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A60FEA-D26D-40EB-9575-DBE67D0E9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