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0480" w14:textId="77777777" w:rsidR="00BB06E6" w:rsidRPr="00C6517E" w:rsidRDefault="004A1EF2" w:rsidP="00BB06E6">
      <w:pPr>
        <w:rPr>
          <w:rFonts w:ascii="Calibri" w:eastAsia="Calibri" w:hAnsi="Calibri"/>
          <w:sz w:val="22"/>
          <w:szCs w:val="22"/>
        </w:rPr>
      </w:pPr>
      <w:r>
        <w:rPr>
          <w:noProof/>
          <w:lang w:val="en-GB" w:eastAsia="en-GB"/>
        </w:rPr>
        <w:drawing>
          <wp:anchor distT="0" distB="0" distL="114300" distR="114300" simplePos="0" relativeHeight="251658240" behindDoc="0" locked="0" layoutInCell="1" allowOverlap="1" wp14:anchorId="429560EF" wp14:editId="07777777">
            <wp:simplePos x="0" y="0"/>
            <wp:positionH relativeFrom="column">
              <wp:posOffset>-219075</wp:posOffset>
            </wp:positionH>
            <wp:positionV relativeFrom="page">
              <wp:posOffset>545465</wp:posOffset>
            </wp:positionV>
            <wp:extent cx="1601470" cy="2038350"/>
            <wp:effectExtent l="19050" t="19050" r="0" b="0"/>
            <wp:wrapSquare wrapText="bothSides"/>
            <wp:docPr id="3"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1470" cy="2038350"/>
                    </a:xfrm>
                    <a:prstGeom prst="rect">
                      <a:avLst/>
                    </a:prstGeom>
                    <a:noFill/>
                    <a:ln w="19050">
                      <a:solidFill>
                        <a:srgbClr val="FFFFFF"/>
                      </a:solidFill>
                      <a:miter lim="800000"/>
                      <a:headEnd/>
                      <a:tailEnd/>
                    </a:ln>
                  </pic:spPr>
                </pic:pic>
              </a:graphicData>
            </a:graphic>
            <wp14:sizeRelH relativeFrom="margin">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413D2EDA" wp14:editId="07777777">
                <wp:simplePos x="0" y="0"/>
                <wp:positionH relativeFrom="page">
                  <wp:align>right</wp:align>
                </wp:positionH>
                <wp:positionV relativeFrom="paragraph">
                  <wp:posOffset>-1270</wp:posOffset>
                </wp:positionV>
                <wp:extent cx="7543165" cy="2066925"/>
                <wp:effectExtent l="0" t="0" r="0" b="0"/>
                <wp:wrapNone/>
                <wp:docPr id="1346"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165" cy="2066925"/>
                        </a:xfrm>
                        <a:prstGeom prst="rect">
                          <a:avLst/>
                        </a:prstGeom>
                        <a:solidFill>
                          <a:srgbClr val="71C0E1"/>
                        </a:solidFill>
                        <a:ln w="12700" cap="flat" cmpd="sng" algn="ctr">
                          <a:noFill/>
                          <a:prstDash val="solid"/>
                          <a:miter lim="800000"/>
                        </a:ln>
                        <a:effectLst/>
                      </wps:spPr>
                      <wps:txbx>
                        <w:txbxContent>
                          <w:p w14:paraId="272172E8" w14:textId="77777777" w:rsidR="00BB06E6" w:rsidRPr="00BB06E6" w:rsidRDefault="00BB06E6" w:rsidP="00BB06E6">
                            <w:pPr>
                              <w:ind w:left="3544"/>
                              <w:jc w:val="center"/>
                              <w:rPr>
                                <w:rFonts w:ascii="Calibri" w:hAnsi="Calibri" w:cs="Calibri"/>
                                <w:color w:val="FFFFFF"/>
                                <w:sz w:val="32"/>
                                <w:szCs w:val="32"/>
                              </w:rPr>
                            </w:pPr>
                            <w:r w:rsidRPr="00BB06E6">
                              <w:rPr>
                                <w:rFonts w:ascii="Calibri" w:hAnsi="Calibri" w:cs="Calibri"/>
                                <w:color w:val="FFFFFF"/>
                                <w:sz w:val="32"/>
                                <w:szCs w:val="32"/>
                              </w:rPr>
                              <w:t>The</w:t>
                            </w:r>
                          </w:p>
                          <w:p w14:paraId="5D11F94B" w14:textId="77777777" w:rsidR="00BB06E6" w:rsidRPr="00BB06E6" w:rsidRDefault="00BB06E6" w:rsidP="00BB06E6">
                            <w:pPr>
                              <w:ind w:left="3544"/>
                              <w:jc w:val="center"/>
                              <w:rPr>
                                <w:rFonts w:ascii="Calibri" w:hAnsi="Calibri" w:cs="Calibri"/>
                                <w:color w:val="FFFFFF"/>
                                <w:sz w:val="96"/>
                                <w:szCs w:val="96"/>
                              </w:rPr>
                            </w:pPr>
                            <w:r w:rsidRPr="00BB06E6">
                              <w:rPr>
                                <w:rFonts w:ascii="Calibri" w:hAnsi="Calibri" w:cs="Calibri"/>
                                <w:color w:val="FFFFFF"/>
                                <w:sz w:val="96"/>
                                <w:szCs w:val="96"/>
                              </w:rPr>
                              <w:t>MAST</w:t>
                            </w:r>
                          </w:p>
                          <w:p w14:paraId="65A17B0B" w14:textId="77777777" w:rsidR="00BB06E6" w:rsidRPr="00A60A3B" w:rsidRDefault="00BB06E6" w:rsidP="00BB06E6">
                            <w:pPr>
                              <w:ind w:left="3544"/>
                              <w:jc w:val="center"/>
                              <w:rPr>
                                <w:sz w:val="64"/>
                                <w:szCs w:val="64"/>
                              </w:rPr>
                            </w:pPr>
                            <w:r w:rsidRPr="00BB06E6">
                              <w:rPr>
                                <w:rFonts w:ascii="Calibri" w:hAnsi="Calibri" w:cs="Calibri"/>
                                <w:color w:val="FFFFFF"/>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D2EDA" id="Rectangle 1346" o:spid="_x0000_s1026" style="position:absolute;margin-left:542.75pt;margin-top:-.1pt;width:593.95pt;height:162.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" fillcolor="#71c0e1" stroked="f" strokeweight="1pt">
                <v:textbox inset="5mm,,5mm">
                  <w:txbxContent>
                    <w:p w14:paraId="272172E8" w14:textId="77777777" w:rsidR="00BB06E6" w:rsidRPr="00BB06E6" w:rsidRDefault="00BB06E6" w:rsidP="00BB06E6">
                      <w:pPr>
                        <w:ind w:left="3544"/>
                        <w:jc w:val="center"/>
                        <w:rPr>
                          <w:rFonts w:ascii="Calibri" w:hAnsi="Calibri" w:cs="Calibri"/>
                          <w:color w:val="FFFFFF"/>
                          <w:sz w:val="32"/>
                          <w:szCs w:val="32"/>
                        </w:rPr>
                      </w:pPr>
                      <w:r w:rsidRPr="00BB06E6">
                        <w:rPr>
                          <w:rFonts w:ascii="Calibri" w:hAnsi="Calibri" w:cs="Calibri"/>
                          <w:color w:val="FFFFFF"/>
                          <w:sz w:val="32"/>
                          <w:szCs w:val="32"/>
                        </w:rPr>
                        <w:t>The</w:t>
                      </w:r>
                    </w:p>
                    <w:p w14:paraId="5D11F94B" w14:textId="77777777" w:rsidR="00BB06E6" w:rsidRPr="00BB06E6" w:rsidRDefault="00BB06E6" w:rsidP="00BB06E6">
                      <w:pPr>
                        <w:ind w:left="3544"/>
                        <w:jc w:val="center"/>
                        <w:rPr>
                          <w:rFonts w:ascii="Calibri" w:hAnsi="Calibri" w:cs="Calibri"/>
                          <w:color w:val="FFFFFF"/>
                          <w:sz w:val="96"/>
                          <w:szCs w:val="96"/>
                        </w:rPr>
                      </w:pPr>
                      <w:r w:rsidRPr="00BB06E6">
                        <w:rPr>
                          <w:rFonts w:ascii="Calibri" w:hAnsi="Calibri" w:cs="Calibri"/>
                          <w:color w:val="FFFFFF"/>
                          <w:sz w:val="96"/>
                          <w:szCs w:val="96"/>
                        </w:rPr>
                        <w:t>MAST</w:t>
                      </w:r>
                    </w:p>
                    <w:p w14:paraId="65A17B0B" w14:textId="77777777" w:rsidR="00BB06E6" w:rsidRPr="00A60A3B" w:rsidRDefault="00BB06E6" w:rsidP="00BB06E6">
                      <w:pPr>
                        <w:ind w:left="3544"/>
                        <w:jc w:val="center"/>
                        <w:rPr>
                          <w:sz w:val="64"/>
                          <w:szCs w:val="64"/>
                        </w:rPr>
                      </w:pPr>
                      <w:r w:rsidRPr="00BB06E6">
                        <w:rPr>
                          <w:rFonts w:ascii="Calibri" w:hAnsi="Calibri" w:cs="Calibri"/>
                          <w:color w:val="FFFFFF"/>
                          <w:sz w:val="64"/>
                          <w:szCs w:val="64"/>
                        </w:rPr>
                        <w:t>Academy Trust</w:t>
                      </w:r>
                    </w:p>
                  </w:txbxContent>
                </v:textbox>
                <w10:wrap anchorx="page"/>
              </v:rect>
            </w:pict>
          </mc:Fallback>
        </mc:AlternateContent>
      </w:r>
    </w:p>
    <w:p w14:paraId="672A6659" w14:textId="77777777" w:rsidR="00BB06E6" w:rsidRPr="00C6517E" w:rsidRDefault="00BB06E6" w:rsidP="00BB06E6">
      <w:pPr>
        <w:spacing w:after="160" w:line="259" w:lineRule="auto"/>
        <w:rPr>
          <w:rFonts w:ascii="Calibri" w:eastAsia="Calibri" w:hAnsi="Calibri"/>
          <w:sz w:val="22"/>
          <w:szCs w:val="22"/>
        </w:rPr>
      </w:pPr>
    </w:p>
    <w:p w14:paraId="0A37501D" w14:textId="77777777" w:rsidR="00BB06E6" w:rsidRPr="00C6517E" w:rsidRDefault="00BB06E6" w:rsidP="00BB06E6">
      <w:pPr>
        <w:spacing w:after="160" w:line="259" w:lineRule="auto"/>
        <w:rPr>
          <w:rFonts w:ascii="Calibri" w:eastAsia="Calibri" w:hAnsi="Calibri"/>
          <w:sz w:val="22"/>
          <w:szCs w:val="22"/>
        </w:rPr>
      </w:pPr>
    </w:p>
    <w:p w14:paraId="5DAB6C7B" w14:textId="77777777" w:rsidR="00BB06E6" w:rsidRPr="00C6517E" w:rsidRDefault="00BB06E6" w:rsidP="00BB06E6">
      <w:pPr>
        <w:spacing w:after="160" w:line="259" w:lineRule="auto"/>
        <w:rPr>
          <w:rFonts w:ascii="Calibri" w:eastAsia="Calibri" w:hAnsi="Calibri"/>
          <w:sz w:val="22"/>
          <w:szCs w:val="22"/>
        </w:rPr>
      </w:pPr>
    </w:p>
    <w:p w14:paraId="02EB378F" w14:textId="77777777" w:rsidR="00BB06E6" w:rsidRPr="00C6517E" w:rsidRDefault="00BB06E6" w:rsidP="00BB06E6">
      <w:pPr>
        <w:spacing w:after="160" w:line="259" w:lineRule="auto"/>
        <w:rPr>
          <w:rFonts w:ascii="Calibri" w:eastAsia="Calibri" w:hAnsi="Calibri"/>
          <w:sz w:val="22"/>
          <w:szCs w:val="22"/>
        </w:rPr>
      </w:pPr>
    </w:p>
    <w:p w14:paraId="6A05A809" w14:textId="77777777" w:rsidR="00BB06E6" w:rsidRPr="00C6517E" w:rsidRDefault="00BB06E6" w:rsidP="00BB06E6">
      <w:pPr>
        <w:spacing w:after="160" w:line="259" w:lineRule="auto"/>
        <w:rPr>
          <w:rFonts w:ascii="Calibri" w:eastAsia="Calibri" w:hAnsi="Calibri"/>
          <w:sz w:val="22"/>
          <w:szCs w:val="22"/>
        </w:rPr>
      </w:pPr>
    </w:p>
    <w:p w14:paraId="5A39BBE3" w14:textId="77777777" w:rsidR="00BB06E6" w:rsidRPr="00C6517E" w:rsidRDefault="00BB06E6" w:rsidP="00BB06E6">
      <w:pPr>
        <w:spacing w:after="160" w:line="259" w:lineRule="auto"/>
        <w:rPr>
          <w:rFonts w:ascii="Calibri" w:eastAsia="Calibri" w:hAnsi="Calibri"/>
          <w:sz w:val="22"/>
          <w:szCs w:val="22"/>
        </w:rPr>
      </w:pPr>
    </w:p>
    <w:p w14:paraId="41C8F396" w14:textId="77777777" w:rsidR="00BB06E6" w:rsidRPr="00C6517E" w:rsidRDefault="00BB06E6" w:rsidP="00BB06E6">
      <w:pPr>
        <w:spacing w:after="160" w:line="259" w:lineRule="auto"/>
        <w:rPr>
          <w:rFonts w:ascii="Calibri" w:eastAsia="Calibri" w:hAnsi="Calibri"/>
          <w:sz w:val="22"/>
          <w:szCs w:val="22"/>
        </w:rPr>
      </w:pPr>
    </w:p>
    <w:p w14:paraId="72A3D3EC" w14:textId="77777777" w:rsidR="00BB06E6" w:rsidRPr="00C6517E" w:rsidRDefault="00BB06E6" w:rsidP="00BB06E6">
      <w:pPr>
        <w:spacing w:after="160" w:line="259" w:lineRule="auto"/>
        <w:rPr>
          <w:rFonts w:ascii="Calibri" w:eastAsia="Calibri" w:hAnsi="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5387"/>
      </w:tblGrid>
      <w:tr w:rsidR="00BB06E6" w:rsidRPr="00BB064B" w14:paraId="7D61701F" w14:textId="77777777" w:rsidTr="00535B52">
        <w:tc>
          <w:tcPr>
            <w:tcW w:w="1758" w:type="dxa"/>
            <w:shd w:val="clear" w:color="auto" w:fill="71C0E1"/>
            <w:vAlign w:val="center"/>
          </w:tcPr>
          <w:p w14:paraId="1F01B27E" w14:textId="77777777" w:rsidR="00BB06E6" w:rsidRPr="00BB064B" w:rsidRDefault="00BB06E6" w:rsidP="00535B52">
            <w:pPr>
              <w:autoSpaceDE w:val="0"/>
              <w:autoSpaceDN w:val="0"/>
              <w:adjustRightInd w:val="0"/>
              <w:spacing w:before="100" w:after="100"/>
              <w:jc w:val="center"/>
              <w:rPr>
                <w:rFonts w:cs="Arial"/>
                <w:b/>
                <w:bCs/>
                <w:color w:val="FFFFFF"/>
                <w:sz w:val="24"/>
                <w:lang w:eastAsia="en-GB"/>
              </w:rPr>
            </w:pPr>
            <w:r w:rsidRPr="00BB064B">
              <w:rPr>
                <w:rFonts w:cs="Arial"/>
                <w:b/>
                <w:bCs/>
                <w:color w:val="FFFFFF"/>
                <w:sz w:val="24"/>
                <w:lang w:eastAsia="en-GB"/>
              </w:rPr>
              <w:t>Policy</w:t>
            </w:r>
          </w:p>
        </w:tc>
        <w:tc>
          <w:tcPr>
            <w:tcW w:w="8727" w:type="dxa"/>
            <w:gridSpan w:val="2"/>
            <w:shd w:val="clear" w:color="auto" w:fill="auto"/>
            <w:vAlign w:val="center"/>
          </w:tcPr>
          <w:p w14:paraId="78547B72" w14:textId="6D583503" w:rsidR="00BB06E6" w:rsidRPr="00BB064B" w:rsidRDefault="00E939DA" w:rsidP="00822F15">
            <w:pPr>
              <w:autoSpaceDE w:val="0"/>
              <w:autoSpaceDN w:val="0"/>
              <w:adjustRightInd w:val="0"/>
              <w:spacing w:before="100" w:after="100"/>
              <w:rPr>
                <w:rFonts w:cs="Arial"/>
                <w:bCs/>
                <w:color w:val="0099FF"/>
                <w:sz w:val="24"/>
                <w:lang w:eastAsia="en-GB"/>
              </w:rPr>
            </w:pPr>
            <w:r>
              <w:rPr>
                <w:rFonts w:cs="Arial"/>
                <w:bCs/>
                <w:sz w:val="24"/>
                <w:lang w:eastAsia="en-GB"/>
              </w:rPr>
              <w:t xml:space="preserve">Curriculum </w:t>
            </w:r>
            <w:proofErr w:type="spellStart"/>
            <w:r>
              <w:rPr>
                <w:rFonts w:cs="Arial"/>
                <w:bCs/>
                <w:sz w:val="24"/>
                <w:lang w:eastAsia="en-GB"/>
              </w:rPr>
              <w:t>Policy</w:t>
            </w:r>
            <w:r w:rsidR="00C80490" w:rsidRPr="00706F86">
              <w:rPr>
                <w:rFonts w:cs="Arial"/>
                <w:bCs/>
                <w:sz w:val="24"/>
                <w:lang w:eastAsia="en-GB"/>
              </w:rPr>
              <w:t>_</w:t>
            </w:r>
            <w:r w:rsidR="00706F86" w:rsidRPr="00706F86">
              <w:rPr>
                <w:rFonts w:cs="Arial"/>
                <w:bCs/>
                <w:sz w:val="24"/>
                <w:lang w:eastAsia="en-GB"/>
              </w:rPr>
              <w:t>SJIS</w:t>
            </w:r>
            <w:proofErr w:type="spellEnd"/>
          </w:p>
        </w:tc>
      </w:tr>
      <w:tr w:rsidR="00BB06E6" w:rsidRPr="00BB064B" w14:paraId="1BD27881" w14:textId="77777777" w:rsidTr="00535B52">
        <w:tc>
          <w:tcPr>
            <w:tcW w:w="1758" w:type="dxa"/>
            <w:shd w:val="clear" w:color="auto" w:fill="71C0E1"/>
            <w:vAlign w:val="center"/>
          </w:tcPr>
          <w:p w14:paraId="36DC6E50" w14:textId="77777777" w:rsidR="00BB06E6" w:rsidRPr="00BB064B" w:rsidRDefault="00BB06E6" w:rsidP="00535B52">
            <w:pPr>
              <w:autoSpaceDE w:val="0"/>
              <w:autoSpaceDN w:val="0"/>
              <w:adjustRightInd w:val="0"/>
              <w:spacing w:before="100" w:after="100"/>
              <w:ind w:firstLine="164"/>
              <w:jc w:val="center"/>
              <w:rPr>
                <w:rFonts w:cs="Arial"/>
                <w:b/>
                <w:bCs/>
                <w:color w:val="FFFFFF"/>
                <w:sz w:val="24"/>
                <w:lang w:eastAsia="en-GB"/>
              </w:rPr>
            </w:pPr>
            <w:r w:rsidRPr="00BB064B">
              <w:rPr>
                <w:rFonts w:cs="Arial"/>
                <w:b/>
                <w:bCs/>
                <w:color w:val="FFFFFF"/>
                <w:sz w:val="24"/>
                <w:lang w:eastAsia="en-GB"/>
              </w:rPr>
              <w:t>Owner</w:t>
            </w:r>
            <w:r w:rsidR="003A593C">
              <w:rPr>
                <w:rFonts w:cs="Arial"/>
                <w:b/>
                <w:bCs/>
                <w:color w:val="FFFFFF"/>
                <w:sz w:val="24"/>
                <w:lang w:eastAsia="en-GB"/>
              </w:rPr>
              <w:t xml:space="preserve"> </w:t>
            </w:r>
            <w:r w:rsidR="003A593C" w:rsidRPr="003A593C">
              <w:rPr>
                <w:rFonts w:cs="Arial"/>
                <w:b/>
                <w:bCs/>
                <w:color w:val="FFFFFF"/>
                <w:sz w:val="16"/>
                <w:szCs w:val="16"/>
                <w:lang w:eastAsia="en-GB"/>
              </w:rPr>
              <w:t>(master document)</w:t>
            </w:r>
          </w:p>
        </w:tc>
        <w:tc>
          <w:tcPr>
            <w:tcW w:w="8727" w:type="dxa"/>
            <w:gridSpan w:val="2"/>
            <w:shd w:val="clear" w:color="auto" w:fill="auto"/>
            <w:vAlign w:val="center"/>
          </w:tcPr>
          <w:p w14:paraId="2A1F4503" w14:textId="25CB4049" w:rsidR="00BB06E6" w:rsidRPr="00706F86" w:rsidRDefault="00706F86" w:rsidP="00822F15">
            <w:pPr>
              <w:autoSpaceDE w:val="0"/>
              <w:autoSpaceDN w:val="0"/>
              <w:adjustRightInd w:val="0"/>
              <w:spacing w:before="100" w:after="100"/>
              <w:rPr>
                <w:rFonts w:cs="Arial"/>
                <w:bCs/>
                <w:sz w:val="24"/>
                <w:lang w:eastAsia="en-GB"/>
              </w:rPr>
            </w:pPr>
            <w:r w:rsidRPr="00706F86">
              <w:rPr>
                <w:rFonts w:cs="Arial"/>
                <w:bCs/>
                <w:sz w:val="24"/>
                <w:lang w:eastAsia="en-GB"/>
              </w:rPr>
              <w:t>Andrew Hancox</w:t>
            </w:r>
          </w:p>
        </w:tc>
      </w:tr>
      <w:tr w:rsidR="00706F86" w:rsidRPr="00706F86" w14:paraId="6E1BA05C" w14:textId="77777777" w:rsidTr="00535B52">
        <w:trPr>
          <w:gridAfter w:val="1"/>
          <w:wAfter w:w="5387" w:type="dxa"/>
        </w:trPr>
        <w:tc>
          <w:tcPr>
            <w:tcW w:w="1758" w:type="dxa"/>
            <w:shd w:val="clear" w:color="auto" w:fill="71C0E1"/>
            <w:vAlign w:val="center"/>
          </w:tcPr>
          <w:p w14:paraId="3C8566DD" w14:textId="77777777" w:rsidR="00FE6F7D" w:rsidRPr="00BB064B" w:rsidRDefault="00FE6F7D" w:rsidP="00535B52">
            <w:pPr>
              <w:autoSpaceDE w:val="0"/>
              <w:autoSpaceDN w:val="0"/>
              <w:adjustRightInd w:val="0"/>
              <w:spacing w:before="100" w:after="100"/>
              <w:jc w:val="center"/>
              <w:rPr>
                <w:rFonts w:cs="Arial"/>
                <w:b/>
                <w:bCs/>
                <w:color w:val="0099FF"/>
                <w:sz w:val="24"/>
                <w:lang w:eastAsia="en-GB"/>
              </w:rPr>
            </w:pPr>
            <w:r w:rsidRPr="00BB064B">
              <w:rPr>
                <w:rFonts w:cs="Arial"/>
                <w:b/>
                <w:bCs/>
                <w:color w:val="FFFFFF"/>
                <w:sz w:val="24"/>
                <w:lang w:eastAsia="en-GB"/>
              </w:rPr>
              <w:t>Date approved</w:t>
            </w:r>
          </w:p>
        </w:tc>
        <w:tc>
          <w:tcPr>
            <w:tcW w:w="3340" w:type="dxa"/>
            <w:shd w:val="clear" w:color="auto" w:fill="auto"/>
            <w:vAlign w:val="center"/>
          </w:tcPr>
          <w:p w14:paraId="0D0B940D" w14:textId="5463627E" w:rsidR="00FE6F7D" w:rsidRPr="00706F86" w:rsidRDefault="00706F86" w:rsidP="00822F15">
            <w:pPr>
              <w:autoSpaceDE w:val="0"/>
              <w:autoSpaceDN w:val="0"/>
              <w:adjustRightInd w:val="0"/>
              <w:spacing w:before="100" w:after="100"/>
              <w:jc w:val="center"/>
              <w:rPr>
                <w:rFonts w:cs="Arial"/>
                <w:bCs/>
                <w:sz w:val="24"/>
                <w:lang w:eastAsia="en-GB"/>
              </w:rPr>
            </w:pPr>
            <w:r w:rsidRPr="00706F86">
              <w:rPr>
                <w:rFonts w:cs="Arial"/>
                <w:bCs/>
                <w:sz w:val="24"/>
                <w:lang w:eastAsia="en-GB"/>
              </w:rPr>
              <w:t>14</w:t>
            </w:r>
            <w:r w:rsidRPr="00706F86">
              <w:rPr>
                <w:rFonts w:cs="Arial"/>
                <w:bCs/>
                <w:sz w:val="24"/>
                <w:vertAlign w:val="superscript"/>
                <w:lang w:eastAsia="en-GB"/>
              </w:rPr>
              <w:t>th</w:t>
            </w:r>
            <w:r w:rsidRPr="00706F86">
              <w:rPr>
                <w:rFonts w:cs="Arial"/>
                <w:bCs/>
                <w:sz w:val="24"/>
                <w:lang w:eastAsia="en-GB"/>
              </w:rPr>
              <w:t xml:space="preserve"> May 2024</w:t>
            </w:r>
          </w:p>
        </w:tc>
      </w:tr>
      <w:tr w:rsidR="00FE6F7D" w:rsidRPr="00BB064B" w14:paraId="0070321C" w14:textId="77777777" w:rsidTr="00535B52">
        <w:trPr>
          <w:gridAfter w:val="1"/>
          <w:wAfter w:w="5387" w:type="dxa"/>
        </w:trPr>
        <w:tc>
          <w:tcPr>
            <w:tcW w:w="1758" w:type="dxa"/>
            <w:shd w:val="clear" w:color="auto" w:fill="71C0E1"/>
            <w:vAlign w:val="center"/>
          </w:tcPr>
          <w:p w14:paraId="1ECE5AA2" w14:textId="77777777" w:rsidR="00FE6F7D" w:rsidRPr="00BB064B" w:rsidRDefault="00FE6F7D" w:rsidP="00535B52">
            <w:pPr>
              <w:autoSpaceDE w:val="0"/>
              <w:autoSpaceDN w:val="0"/>
              <w:adjustRightInd w:val="0"/>
              <w:spacing w:before="100" w:after="100"/>
              <w:jc w:val="center"/>
              <w:rPr>
                <w:rFonts w:cs="Arial"/>
                <w:b/>
                <w:bCs/>
                <w:color w:val="0099FF"/>
                <w:sz w:val="24"/>
                <w:lang w:eastAsia="en-GB"/>
              </w:rPr>
            </w:pPr>
            <w:r w:rsidRPr="00BB064B">
              <w:rPr>
                <w:rFonts w:cs="Arial"/>
                <w:b/>
                <w:bCs/>
                <w:color w:val="FFFFFF"/>
                <w:sz w:val="24"/>
                <w:lang w:eastAsia="en-GB"/>
              </w:rPr>
              <w:t>Approver</w:t>
            </w:r>
          </w:p>
        </w:tc>
        <w:tc>
          <w:tcPr>
            <w:tcW w:w="3340" w:type="dxa"/>
            <w:shd w:val="clear" w:color="auto" w:fill="auto"/>
            <w:vAlign w:val="center"/>
          </w:tcPr>
          <w:p w14:paraId="0E27B00A" w14:textId="780B3647" w:rsidR="00FE6F7D" w:rsidRPr="00BB064B" w:rsidRDefault="00822F15" w:rsidP="00535B52">
            <w:pPr>
              <w:autoSpaceDE w:val="0"/>
              <w:autoSpaceDN w:val="0"/>
              <w:adjustRightInd w:val="0"/>
              <w:spacing w:before="100" w:after="100"/>
              <w:jc w:val="center"/>
              <w:rPr>
                <w:rFonts w:cs="Arial"/>
                <w:bCs/>
                <w:sz w:val="24"/>
                <w:lang w:eastAsia="en-GB"/>
              </w:rPr>
            </w:pPr>
            <w:r>
              <w:rPr>
                <w:rFonts w:cs="Arial"/>
                <w:bCs/>
                <w:sz w:val="24"/>
                <w:lang w:eastAsia="en-GB"/>
              </w:rPr>
              <w:t>Local Governing Body</w:t>
            </w:r>
          </w:p>
        </w:tc>
      </w:tr>
      <w:tr w:rsidR="00BB06E6" w:rsidRPr="00BB064B" w14:paraId="60061E4C" w14:textId="77777777" w:rsidTr="00FE6F7D">
        <w:tc>
          <w:tcPr>
            <w:tcW w:w="1758" w:type="dxa"/>
            <w:tcBorders>
              <w:left w:val="nil"/>
              <w:right w:val="nil"/>
            </w:tcBorders>
            <w:shd w:val="clear" w:color="auto" w:fill="FFFFFF"/>
            <w:vAlign w:val="center"/>
          </w:tcPr>
          <w:p w14:paraId="44EAFD9C" w14:textId="77777777" w:rsidR="00BB06E6" w:rsidRPr="00BB064B" w:rsidRDefault="00BB06E6" w:rsidP="00535B52">
            <w:pPr>
              <w:autoSpaceDE w:val="0"/>
              <w:autoSpaceDN w:val="0"/>
              <w:adjustRightInd w:val="0"/>
              <w:spacing w:before="100" w:after="100"/>
              <w:jc w:val="center"/>
              <w:rPr>
                <w:rFonts w:cs="Arial"/>
                <w:b/>
                <w:bCs/>
                <w:color w:val="FFFFFF"/>
                <w:sz w:val="24"/>
                <w:lang w:eastAsia="en-GB"/>
              </w:rPr>
            </w:pPr>
          </w:p>
        </w:tc>
        <w:tc>
          <w:tcPr>
            <w:tcW w:w="8727" w:type="dxa"/>
            <w:gridSpan w:val="2"/>
            <w:tcBorders>
              <w:top w:val="nil"/>
              <w:left w:val="nil"/>
              <w:right w:val="nil"/>
            </w:tcBorders>
            <w:shd w:val="clear" w:color="auto" w:fill="FFFFFF"/>
            <w:vAlign w:val="center"/>
          </w:tcPr>
          <w:p w14:paraId="4B94D5A5" w14:textId="77777777" w:rsidR="00BB06E6" w:rsidRPr="00BB064B" w:rsidRDefault="00BB06E6" w:rsidP="00535B52">
            <w:pPr>
              <w:autoSpaceDE w:val="0"/>
              <w:autoSpaceDN w:val="0"/>
              <w:adjustRightInd w:val="0"/>
              <w:spacing w:before="100" w:after="100"/>
              <w:jc w:val="center"/>
              <w:rPr>
                <w:rFonts w:cs="Arial"/>
                <w:b/>
                <w:bCs/>
                <w:color w:val="0099FF"/>
                <w:sz w:val="24"/>
                <w:lang w:eastAsia="en-GB"/>
              </w:rPr>
            </w:pPr>
          </w:p>
        </w:tc>
      </w:tr>
      <w:tr w:rsidR="00BB06E6" w:rsidRPr="00BB064B" w14:paraId="6DF570C5" w14:textId="77777777" w:rsidTr="00535B52">
        <w:tc>
          <w:tcPr>
            <w:tcW w:w="1758" w:type="dxa"/>
            <w:tcBorders>
              <w:bottom w:val="single" w:sz="4" w:space="0" w:color="auto"/>
            </w:tcBorders>
            <w:shd w:val="clear" w:color="auto" w:fill="82B941"/>
            <w:vAlign w:val="center"/>
          </w:tcPr>
          <w:p w14:paraId="7AE37CD7" w14:textId="77777777" w:rsidR="00BB06E6" w:rsidRPr="00BB064B" w:rsidRDefault="00BB06E6" w:rsidP="00535B52">
            <w:pPr>
              <w:autoSpaceDE w:val="0"/>
              <w:autoSpaceDN w:val="0"/>
              <w:adjustRightInd w:val="0"/>
              <w:spacing w:before="100" w:after="100"/>
              <w:jc w:val="center"/>
              <w:rPr>
                <w:rFonts w:cs="Arial"/>
                <w:b/>
                <w:bCs/>
                <w:color w:val="FFFFFF"/>
                <w:sz w:val="24"/>
                <w:lang w:eastAsia="en-GB"/>
              </w:rPr>
            </w:pPr>
            <w:r w:rsidRPr="00BB064B">
              <w:rPr>
                <w:rFonts w:cs="Arial"/>
                <w:b/>
                <w:bCs/>
                <w:color w:val="FFFFFF"/>
                <w:sz w:val="24"/>
                <w:lang w:eastAsia="en-GB"/>
              </w:rPr>
              <w:t>Current version</w:t>
            </w:r>
          </w:p>
        </w:tc>
        <w:tc>
          <w:tcPr>
            <w:tcW w:w="8727" w:type="dxa"/>
            <w:gridSpan w:val="2"/>
            <w:tcBorders>
              <w:bottom w:val="single" w:sz="4" w:space="0" w:color="auto"/>
            </w:tcBorders>
            <w:shd w:val="clear" w:color="auto" w:fill="auto"/>
            <w:vAlign w:val="center"/>
          </w:tcPr>
          <w:p w14:paraId="3DEEC669" w14:textId="313C1C5D" w:rsidR="00BB06E6" w:rsidRPr="00235223" w:rsidRDefault="00235223" w:rsidP="0006260D">
            <w:pPr>
              <w:autoSpaceDE w:val="0"/>
              <w:autoSpaceDN w:val="0"/>
              <w:adjustRightInd w:val="0"/>
              <w:spacing w:before="100" w:after="100"/>
              <w:rPr>
                <w:rFonts w:cs="Arial"/>
                <w:bCs/>
                <w:sz w:val="24"/>
                <w:lang w:eastAsia="en-GB"/>
              </w:rPr>
            </w:pPr>
            <w:r w:rsidRPr="00235223">
              <w:rPr>
                <w:rFonts w:cs="Arial"/>
                <w:bCs/>
                <w:sz w:val="24"/>
                <w:lang w:eastAsia="en-GB"/>
              </w:rPr>
              <w:t>V3.0</w:t>
            </w:r>
          </w:p>
        </w:tc>
      </w:tr>
      <w:tr w:rsidR="00BB06E6" w:rsidRPr="00BB064B" w14:paraId="3656B9AB" w14:textId="77777777" w:rsidTr="00535B52">
        <w:tc>
          <w:tcPr>
            <w:tcW w:w="1758" w:type="dxa"/>
            <w:tcBorders>
              <w:left w:val="nil"/>
              <w:right w:val="nil"/>
            </w:tcBorders>
            <w:shd w:val="clear" w:color="auto" w:fill="FFFFFF"/>
            <w:vAlign w:val="center"/>
          </w:tcPr>
          <w:p w14:paraId="45FB0818" w14:textId="77777777" w:rsidR="00BB06E6" w:rsidRPr="00BB064B" w:rsidRDefault="00BB06E6" w:rsidP="00535B52">
            <w:pPr>
              <w:autoSpaceDE w:val="0"/>
              <w:autoSpaceDN w:val="0"/>
              <w:adjustRightInd w:val="0"/>
              <w:spacing w:before="100" w:after="100"/>
              <w:rPr>
                <w:rFonts w:cs="Arial"/>
                <w:b/>
                <w:bCs/>
                <w:color w:val="FFFFFF"/>
                <w:sz w:val="24"/>
                <w:lang w:eastAsia="en-GB"/>
              </w:rPr>
            </w:pPr>
          </w:p>
        </w:tc>
        <w:tc>
          <w:tcPr>
            <w:tcW w:w="8727" w:type="dxa"/>
            <w:gridSpan w:val="2"/>
            <w:tcBorders>
              <w:left w:val="nil"/>
              <w:right w:val="nil"/>
            </w:tcBorders>
            <w:shd w:val="clear" w:color="auto" w:fill="FFFFFF"/>
            <w:vAlign w:val="center"/>
          </w:tcPr>
          <w:p w14:paraId="049F31CB" w14:textId="77777777" w:rsidR="00BB06E6" w:rsidRPr="00235223" w:rsidRDefault="00BB06E6" w:rsidP="00535B52">
            <w:pPr>
              <w:autoSpaceDE w:val="0"/>
              <w:autoSpaceDN w:val="0"/>
              <w:adjustRightInd w:val="0"/>
              <w:spacing w:before="100" w:after="100"/>
              <w:jc w:val="center"/>
              <w:rPr>
                <w:rFonts w:cs="Arial"/>
                <w:b/>
                <w:bCs/>
                <w:sz w:val="24"/>
                <w:lang w:eastAsia="en-GB"/>
              </w:rPr>
            </w:pPr>
          </w:p>
        </w:tc>
      </w:tr>
      <w:tr w:rsidR="00BB06E6" w:rsidRPr="00BB064B" w14:paraId="2DB57C0C" w14:textId="77777777" w:rsidTr="00535B52">
        <w:tc>
          <w:tcPr>
            <w:tcW w:w="1758" w:type="dxa"/>
            <w:shd w:val="clear" w:color="auto" w:fill="82B941"/>
            <w:vAlign w:val="center"/>
          </w:tcPr>
          <w:p w14:paraId="0A1E98C2" w14:textId="77777777" w:rsidR="00BB06E6" w:rsidRPr="00BB064B" w:rsidRDefault="00BB06E6" w:rsidP="00535B52">
            <w:pPr>
              <w:autoSpaceDE w:val="0"/>
              <w:autoSpaceDN w:val="0"/>
              <w:adjustRightInd w:val="0"/>
              <w:spacing w:before="100" w:after="100"/>
              <w:jc w:val="center"/>
              <w:rPr>
                <w:rFonts w:cs="Arial"/>
                <w:b/>
                <w:bCs/>
                <w:color w:val="FFFFFF"/>
                <w:sz w:val="24"/>
                <w:lang w:eastAsia="en-GB"/>
              </w:rPr>
            </w:pPr>
            <w:r w:rsidRPr="00BB064B">
              <w:rPr>
                <w:rFonts w:cs="Arial"/>
                <w:b/>
                <w:bCs/>
                <w:color w:val="FFFFFF"/>
                <w:sz w:val="24"/>
                <w:lang w:eastAsia="en-GB"/>
              </w:rPr>
              <w:t>Next review due</w:t>
            </w:r>
          </w:p>
        </w:tc>
        <w:tc>
          <w:tcPr>
            <w:tcW w:w="8727" w:type="dxa"/>
            <w:gridSpan w:val="2"/>
            <w:shd w:val="clear" w:color="auto" w:fill="auto"/>
            <w:vAlign w:val="center"/>
          </w:tcPr>
          <w:p w14:paraId="53128261" w14:textId="0F99E120" w:rsidR="00BB06E6" w:rsidRPr="00235223" w:rsidRDefault="00235223" w:rsidP="00535B52">
            <w:pPr>
              <w:autoSpaceDE w:val="0"/>
              <w:autoSpaceDN w:val="0"/>
              <w:adjustRightInd w:val="0"/>
              <w:spacing w:before="100" w:after="100"/>
              <w:rPr>
                <w:rFonts w:cs="Arial"/>
                <w:bCs/>
                <w:sz w:val="24"/>
                <w:lang w:eastAsia="en-GB"/>
              </w:rPr>
            </w:pPr>
            <w:r w:rsidRPr="00235223">
              <w:rPr>
                <w:rFonts w:cs="Arial"/>
                <w:bCs/>
                <w:sz w:val="24"/>
                <w:lang w:eastAsia="en-GB"/>
              </w:rPr>
              <w:t xml:space="preserve">Summer 2025 </w:t>
            </w:r>
          </w:p>
        </w:tc>
      </w:tr>
    </w:tbl>
    <w:p w14:paraId="62486C05" w14:textId="77777777" w:rsidR="00BB06E6" w:rsidRPr="00BB064B" w:rsidRDefault="00BB06E6" w:rsidP="00BB06E6">
      <w:pPr>
        <w:spacing w:after="160" w:line="259" w:lineRule="auto"/>
        <w:rPr>
          <w:rFonts w:eastAsia="Calibri" w:cs="Arial"/>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06E6" w:rsidRPr="00BB064B" w14:paraId="38994725" w14:textId="77777777" w:rsidTr="00535B52">
        <w:trPr>
          <w:trHeight w:val="481"/>
        </w:trPr>
        <w:tc>
          <w:tcPr>
            <w:tcW w:w="10485" w:type="dxa"/>
            <w:shd w:val="clear" w:color="auto" w:fill="72A23F"/>
            <w:vAlign w:val="center"/>
          </w:tcPr>
          <w:p w14:paraId="0CA4731A" w14:textId="77777777" w:rsidR="00BB06E6" w:rsidRPr="00BB064B" w:rsidRDefault="00BB06E6" w:rsidP="00535B52">
            <w:pPr>
              <w:autoSpaceDE w:val="0"/>
              <w:autoSpaceDN w:val="0"/>
              <w:adjustRightInd w:val="0"/>
              <w:rPr>
                <w:rFonts w:cs="Arial"/>
                <w:b/>
                <w:bCs/>
                <w:color w:val="FFFFFF"/>
                <w:sz w:val="24"/>
                <w:lang w:eastAsia="en-GB"/>
              </w:rPr>
            </w:pPr>
            <w:r w:rsidRPr="00BB064B">
              <w:rPr>
                <w:rFonts w:cs="Arial"/>
                <w:b/>
                <w:bCs/>
                <w:color w:val="FFFFFF"/>
                <w:sz w:val="24"/>
                <w:lang w:eastAsia="en-GB"/>
              </w:rPr>
              <w:t>Objective of Policy</w:t>
            </w:r>
          </w:p>
        </w:tc>
      </w:tr>
      <w:tr w:rsidR="00BB06E6" w:rsidRPr="00BB064B" w14:paraId="11962919" w14:textId="77777777" w:rsidTr="00BB064B">
        <w:trPr>
          <w:trHeight w:val="3976"/>
        </w:trPr>
        <w:tc>
          <w:tcPr>
            <w:tcW w:w="10485" w:type="dxa"/>
            <w:tcBorders>
              <w:bottom w:val="single" w:sz="4" w:space="0" w:color="auto"/>
            </w:tcBorders>
            <w:shd w:val="clear" w:color="auto" w:fill="auto"/>
          </w:tcPr>
          <w:p w14:paraId="5291E601" w14:textId="77777777" w:rsidR="00BB06E6" w:rsidRPr="00BB064B" w:rsidRDefault="00BB06E6" w:rsidP="00BB064B">
            <w:pPr>
              <w:rPr>
                <w:rFonts w:cs="Arial"/>
                <w:sz w:val="24"/>
              </w:rPr>
            </w:pPr>
            <w:r w:rsidRPr="00BB064B">
              <w:rPr>
                <w:rFonts w:cs="Arial"/>
                <w:bCs/>
                <w:sz w:val="24"/>
                <w:lang w:eastAsia="en-GB"/>
              </w:rPr>
              <w:t xml:space="preserve">To provide guidance on the policy </w:t>
            </w:r>
            <w:r w:rsidR="0006260D">
              <w:rPr>
                <w:rFonts w:cs="Arial"/>
                <w:bCs/>
                <w:sz w:val="24"/>
                <w:lang w:eastAsia="en-GB"/>
              </w:rPr>
              <w:t xml:space="preserve">in relation to Curriculum setting within the MAST </w:t>
            </w:r>
            <w:proofErr w:type="gramStart"/>
            <w:r w:rsidR="0006260D">
              <w:rPr>
                <w:rFonts w:cs="Arial"/>
                <w:bCs/>
                <w:sz w:val="24"/>
                <w:lang w:eastAsia="en-GB"/>
              </w:rPr>
              <w:t>schools</w:t>
            </w:r>
            <w:proofErr w:type="gramEnd"/>
            <w:r w:rsidR="0006260D">
              <w:rPr>
                <w:rFonts w:cs="Arial"/>
                <w:bCs/>
                <w:sz w:val="24"/>
                <w:lang w:eastAsia="en-GB"/>
              </w:rPr>
              <w:t xml:space="preserve"> network.</w:t>
            </w:r>
          </w:p>
          <w:p w14:paraId="4101652C" w14:textId="77777777" w:rsidR="00BB06E6" w:rsidRPr="00BB064B" w:rsidRDefault="00BB06E6" w:rsidP="00BB064B">
            <w:pPr>
              <w:autoSpaceDE w:val="0"/>
              <w:autoSpaceDN w:val="0"/>
              <w:adjustRightInd w:val="0"/>
              <w:rPr>
                <w:rFonts w:cs="Arial"/>
                <w:b/>
                <w:bCs/>
                <w:color w:val="0099FF"/>
                <w:sz w:val="24"/>
                <w:lang w:eastAsia="en-GB"/>
              </w:rPr>
            </w:pPr>
          </w:p>
          <w:p w14:paraId="4B99056E" w14:textId="77777777" w:rsidR="00BB06E6" w:rsidRPr="00BB064B" w:rsidRDefault="00BB06E6" w:rsidP="00BB064B">
            <w:pPr>
              <w:autoSpaceDE w:val="0"/>
              <w:autoSpaceDN w:val="0"/>
              <w:adjustRightInd w:val="0"/>
              <w:rPr>
                <w:rFonts w:cs="Arial"/>
                <w:b/>
                <w:bCs/>
                <w:color w:val="0099FF"/>
                <w:sz w:val="24"/>
                <w:lang w:eastAsia="en-GB"/>
              </w:rPr>
            </w:pPr>
          </w:p>
        </w:tc>
      </w:tr>
    </w:tbl>
    <w:p w14:paraId="1299C43A" w14:textId="77777777" w:rsidR="00BB06E6" w:rsidRPr="00CF5FF6" w:rsidRDefault="00BB06E6" w:rsidP="00BB06E6">
      <w:pPr>
        <w:spacing w:after="160" w:line="259" w:lineRule="auto"/>
        <w:rPr>
          <w:rFonts w:eastAsia="Calibri" w:cs="Arial"/>
          <w:sz w:val="22"/>
          <w:szCs w:val="22"/>
        </w:rPr>
      </w:pPr>
      <w:r w:rsidRPr="00CF5FF6">
        <w:rPr>
          <w:rFonts w:eastAsia="Calibri" w:cs="Arial"/>
          <w:sz w:val="22"/>
          <w:szCs w:val="22"/>
        </w:rP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BB06E6" w:rsidRPr="00CF5FF6" w14:paraId="4DDBEF00" w14:textId="77777777" w:rsidTr="00535B52">
        <w:trPr>
          <w:trHeight w:val="567"/>
        </w:trPr>
        <w:tc>
          <w:tcPr>
            <w:tcW w:w="10485" w:type="dxa"/>
            <w:gridSpan w:val="2"/>
            <w:tcBorders>
              <w:left w:val="nil"/>
              <w:right w:val="nil"/>
            </w:tcBorders>
            <w:shd w:val="clear" w:color="auto" w:fill="auto"/>
            <w:vAlign w:val="center"/>
          </w:tcPr>
          <w:p w14:paraId="3461D779" w14:textId="77777777" w:rsidR="00BB06E6" w:rsidRPr="00CF5FF6" w:rsidRDefault="00BB06E6" w:rsidP="00535B52">
            <w:pPr>
              <w:autoSpaceDE w:val="0"/>
              <w:autoSpaceDN w:val="0"/>
              <w:adjustRightInd w:val="0"/>
              <w:rPr>
                <w:rFonts w:cs="Arial"/>
                <w:b/>
                <w:bCs/>
                <w:color w:val="0099FF"/>
                <w:sz w:val="28"/>
                <w:szCs w:val="28"/>
                <w:lang w:eastAsia="en-GB"/>
              </w:rPr>
            </w:pPr>
          </w:p>
        </w:tc>
      </w:tr>
      <w:tr w:rsidR="00BB06E6" w:rsidRPr="00CF5FF6" w14:paraId="5F5038AD" w14:textId="77777777" w:rsidTr="00535B52">
        <w:trPr>
          <w:trHeight w:val="268"/>
        </w:trPr>
        <w:tc>
          <w:tcPr>
            <w:tcW w:w="10485" w:type="dxa"/>
            <w:gridSpan w:val="2"/>
            <w:shd w:val="clear" w:color="auto" w:fill="71C0E1"/>
            <w:vAlign w:val="center"/>
          </w:tcPr>
          <w:p w14:paraId="2EBD7515" w14:textId="77777777" w:rsidR="00BB06E6" w:rsidRPr="00CF5FF6" w:rsidRDefault="00BB06E6" w:rsidP="00535B52">
            <w:pPr>
              <w:autoSpaceDE w:val="0"/>
              <w:autoSpaceDN w:val="0"/>
              <w:adjustRightInd w:val="0"/>
              <w:rPr>
                <w:rFonts w:cs="Arial"/>
                <w:b/>
                <w:bCs/>
                <w:color w:val="FFFFFF"/>
                <w:lang w:eastAsia="en-GB"/>
              </w:rPr>
            </w:pPr>
            <w:r w:rsidRPr="00CF5FF6">
              <w:rPr>
                <w:rFonts w:cs="Arial"/>
                <w:b/>
                <w:bCs/>
                <w:color w:val="FFFFFF"/>
                <w:lang w:eastAsia="en-GB"/>
              </w:rPr>
              <w:t>Version Control</w:t>
            </w:r>
          </w:p>
        </w:tc>
      </w:tr>
      <w:tr w:rsidR="00BB06E6" w:rsidRPr="00CF5FF6" w14:paraId="53C5128C" w14:textId="77777777" w:rsidTr="00BB06E6">
        <w:trPr>
          <w:trHeight w:val="567"/>
        </w:trPr>
        <w:tc>
          <w:tcPr>
            <w:tcW w:w="1384" w:type="dxa"/>
            <w:shd w:val="clear" w:color="auto" w:fill="E7E6E6"/>
            <w:vAlign w:val="center"/>
          </w:tcPr>
          <w:p w14:paraId="574966AB" w14:textId="77777777" w:rsidR="00BB06E6" w:rsidRPr="00CF5FF6" w:rsidRDefault="00BB06E6" w:rsidP="00535B52">
            <w:pPr>
              <w:autoSpaceDE w:val="0"/>
              <w:autoSpaceDN w:val="0"/>
              <w:adjustRightInd w:val="0"/>
              <w:jc w:val="center"/>
              <w:rPr>
                <w:rFonts w:cs="Arial"/>
                <w:bCs/>
                <w:lang w:eastAsia="en-GB"/>
              </w:rPr>
            </w:pPr>
            <w:r w:rsidRPr="00CF5FF6">
              <w:rPr>
                <w:rFonts w:cs="Arial"/>
                <w:bCs/>
                <w:lang w:eastAsia="en-GB"/>
              </w:rPr>
              <w:t>Version Number</w:t>
            </w:r>
          </w:p>
        </w:tc>
        <w:tc>
          <w:tcPr>
            <w:tcW w:w="9101" w:type="dxa"/>
            <w:shd w:val="clear" w:color="auto" w:fill="E7E6E6"/>
            <w:vAlign w:val="center"/>
          </w:tcPr>
          <w:p w14:paraId="2DA9A46C" w14:textId="77777777" w:rsidR="00BB06E6" w:rsidRPr="00CF5FF6" w:rsidRDefault="00BB06E6" w:rsidP="00535B52">
            <w:pPr>
              <w:autoSpaceDE w:val="0"/>
              <w:autoSpaceDN w:val="0"/>
              <w:adjustRightInd w:val="0"/>
              <w:jc w:val="center"/>
              <w:rPr>
                <w:rFonts w:cs="Arial"/>
                <w:bCs/>
                <w:lang w:eastAsia="en-GB"/>
              </w:rPr>
            </w:pPr>
            <w:r w:rsidRPr="00CF5FF6">
              <w:rPr>
                <w:rFonts w:cs="Arial"/>
                <w:bCs/>
                <w:lang w:eastAsia="en-GB"/>
              </w:rPr>
              <w:t>Summary of amends from previous version</w:t>
            </w:r>
          </w:p>
        </w:tc>
      </w:tr>
      <w:tr w:rsidR="00BB06E6" w:rsidRPr="00CF5FF6" w14:paraId="39816D4F" w14:textId="77777777" w:rsidTr="00535B52">
        <w:trPr>
          <w:trHeight w:val="567"/>
        </w:trPr>
        <w:tc>
          <w:tcPr>
            <w:tcW w:w="1384" w:type="dxa"/>
            <w:shd w:val="clear" w:color="auto" w:fill="auto"/>
            <w:vAlign w:val="center"/>
          </w:tcPr>
          <w:p w14:paraId="699E2A8F" w14:textId="77777777" w:rsidR="00BB06E6" w:rsidRPr="00CF5FF6" w:rsidRDefault="00BB06E6" w:rsidP="00535B52">
            <w:pPr>
              <w:autoSpaceDE w:val="0"/>
              <w:autoSpaceDN w:val="0"/>
              <w:adjustRightInd w:val="0"/>
              <w:jc w:val="center"/>
              <w:rPr>
                <w:rFonts w:cs="Arial"/>
                <w:bCs/>
                <w:lang w:eastAsia="en-GB"/>
              </w:rPr>
            </w:pPr>
            <w:r w:rsidRPr="00CF5FF6">
              <w:rPr>
                <w:rFonts w:cs="Arial"/>
                <w:bCs/>
                <w:lang w:eastAsia="en-GB"/>
              </w:rPr>
              <w:t>2.0</w:t>
            </w:r>
          </w:p>
        </w:tc>
        <w:tc>
          <w:tcPr>
            <w:tcW w:w="9101" w:type="dxa"/>
            <w:shd w:val="clear" w:color="auto" w:fill="auto"/>
            <w:vAlign w:val="center"/>
          </w:tcPr>
          <w:p w14:paraId="2CA62416" w14:textId="77777777" w:rsidR="00BB06E6" w:rsidRPr="00CF5FF6" w:rsidRDefault="00BB06E6" w:rsidP="00535B52">
            <w:pPr>
              <w:autoSpaceDE w:val="0"/>
              <w:autoSpaceDN w:val="0"/>
              <w:adjustRightInd w:val="0"/>
              <w:jc w:val="center"/>
              <w:rPr>
                <w:rFonts w:cs="Arial"/>
                <w:bCs/>
                <w:lang w:eastAsia="en-GB"/>
              </w:rPr>
            </w:pPr>
            <w:r w:rsidRPr="00CF5FF6">
              <w:rPr>
                <w:rFonts w:cs="Arial"/>
                <w:bCs/>
                <w:lang w:eastAsia="en-GB"/>
              </w:rPr>
              <w:t>Review and appropriate updates since last version, front cover amends.</w:t>
            </w:r>
          </w:p>
        </w:tc>
      </w:tr>
      <w:tr w:rsidR="00BB06E6" w:rsidRPr="00CF5FF6" w14:paraId="33082F30" w14:textId="77777777" w:rsidTr="00535B52">
        <w:trPr>
          <w:trHeight w:val="567"/>
        </w:trPr>
        <w:tc>
          <w:tcPr>
            <w:tcW w:w="1384" w:type="dxa"/>
            <w:shd w:val="clear" w:color="auto" w:fill="auto"/>
            <w:vAlign w:val="center"/>
          </w:tcPr>
          <w:p w14:paraId="286B0249" w14:textId="77777777" w:rsidR="00BB06E6" w:rsidRPr="00CF5FF6" w:rsidRDefault="00FE6F7D" w:rsidP="00535B52">
            <w:pPr>
              <w:autoSpaceDE w:val="0"/>
              <w:autoSpaceDN w:val="0"/>
              <w:adjustRightInd w:val="0"/>
              <w:jc w:val="center"/>
              <w:rPr>
                <w:rFonts w:cs="Arial"/>
                <w:bCs/>
                <w:lang w:eastAsia="en-GB"/>
              </w:rPr>
            </w:pPr>
            <w:r>
              <w:rPr>
                <w:rFonts w:cs="Arial"/>
                <w:bCs/>
                <w:lang w:eastAsia="en-GB"/>
              </w:rPr>
              <w:t>3.0</w:t>
            </w:r>
          </w:p>
        </w:tc>
        <w:tc>
          <w:tcPr>
            <w:tcW w:w="9101" w:type="dxa"/>
            <w:shd w:val="clear" w:color="auto" w:fill="auto"/>
            <w:vAlign w:val="center"/>
          </w:tcPr>
          <w:p w14:paraId="34A8C8C3" w14:textId="77777777" w:rsidR="00BB06E6" w:rsidRPr="00CF5FF6" w:rsidRDefault="00FE6F7D" w:rsidP="00535B52">
            <w:pPr>
              <w:autoSpaceDE w:val="0"/>
              <w:autoSpaceDN w:val="0"/>
              <w:adjustRightInd w:val="0"/>
              <w:jc w:val="center"/>
              <w:rPr>
                <w:rFonts w:cs="Arial"/>
                <w:bCs/>
                <w:lang w:eastAsia="en-GB"/>
              </w:rPr>
            </w:pPr>
            <w:r>
              <w:rPr>
                <w:rFonts w:cs="Arial"/>
                <w:bCs/>
                <w:lang w:eastAsia="en-GB"/>
              </w:rPr>
              <w:t>3-year review</w:t>
            </w:r>
          </w:p>
        </w:tc>
      </w:tr>
      <w:tr w:rsidR="00BB06E6" w:rsidRPr="00CF5FF6" w14:paraId="3CF2D8B6" w14:textId="77777777" w:rsidTr="00535B52">
        <w:trPr>
          <w:trHeight w:val="567"/>
        </w:trPr>
        <w:tc>
          <w:tcPr>
            <w:tcW w:w="1384" w:type="dxa"/>
            <w:shd w:val="clear" w:color="auto" w:fill="auto"/>
            <w:vAlign w:val="center"/>
          </w:tcPr>
          <w:p w14:paraId="0FB78278" w14:textId="77777777" w:rsidR="00BB06E6" w:rsidRPr="00CF5FF6" w:rsidRDefault="00BB06E6" w:rsidP="00535B52">
            <w:pPr>
              <w:autoSpaceDE w:val="0"/>
              <w:autoSpaceDN w:val="0"/>
              <w:adjustRightInd w:val="0"/>
              <w:jc w:val="center"/>
              <w:rPr>
                <w:rFonts w:cs="Arial"/>
                <w:bCs/>
                <w:lang w:eastAsia="en-GB"/>
              </w:rPr>
            </w:pPr>
          </w:p>
        </w:tc>
        <w:tc>
          <w:tcPr>
            <w:tcW w:w="9101" w:type="dxa"/>
            <w:shd w:val="clear" w:color="auto" w:fill="auto"/>
            <w:vAlign w:val="center"/>
          </w:tcPr>
          <w:p w14:paraId="1FC39945" w14:textId="77777777" w:rsidR="00BB06E6" w:rsidRPr="00CF5FF6" w:rsidRDefault="00BB06E6" w:rsidP="00535B52">
            <w:pPr>
              <w:autoSpaceDE w:val="0"/>
              <w:autoSpaceDN w:val="0"/>
              <w:adjustRightInd w:val="0"/>
              <w:jc w:val="center"/>
              <w:rPr>
                <w:rFonts w:cs="Arial"/>
                <w:bCs/>
                <w:lang w:eastAsia="en-GB"/>
              </w:rPr>
            </w:pPr>
          </w:p>
        </w:tc>
      </w:tr>
    </w:tbl>
    <w:p w14:paraId="0562CB0E" w14:textId="77777777" w:rsidR="00BB06E6" w:rsidRDefault="00BB06E6" w:rsidP="00BB06E6">
      <w:pPr>
        <w:spacing w:after="160" w:line="259" w:lineRule="auto"/>
        <w:rPr>
          <w:rFonts w:eastAsia="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741"/>
      </w:tblGrid>
      <w:tr w:rsidR="00FE6F7D" w:rsidRPr="00CF5FF6" w14:paraId="45700346" w14:textId="77777777" w:rsidTr="00500C32">
        <w:tc>
          <w:tcPr>
            <w:tcW w:w="10485" w:type="dxa"/>
            <w:gridSpan w:val="2"/>
            <w:shd w:val="clear" w:color="auto" w:fill="72A23F"/>
          </w:tcPr>
          <w:p w14:paraId="615F3689" w14:textId="77777777" w:rsidR="00FE6F7D" w:rsidRPr="00500C32" w:rsidRDefault="00FE6F7D" w:rsidP="00500C32">
            <w:pPr>
              <w:spacing w:after="0"/>
              <w:rPr>
                <w:rFonts w:eastAsia="Calibri"/>
                <w:sz w:val="22"/>
                <w:szCs w:val="22"/>
              </w:rPr>
            </w:pPr>
            <w:r w:rsidRPr="00500C32">
              <w:rPr>
                <w:rFonts w:eastAsia="Calibri"/>
                <w:sz w:val="22"/>
                <w:szCs w:val="22"/>
              </w:rPr>
              <w:t>Sign off requirements</w:t>
            </w:r>
          </w:p>
        </w:tc>
      </w:tr>
      <w:tr w:rsidR="00FE6F7D" w:rsidRPr="00CF5FF6" w14:paraId="3366D344" w14:textId="77777777" w:rsidTr="00500C32">
        <w:tc>
          <w:tcPr>
            <w:tcW w:w="4744" w:type="dxa"/>
            <w:shd w:val="clear" w:color="auto" w:fill="C6DFAC"/>
          </w:tcPr>
          <w:p w14:paraId="736E7244" w14:textId="77777777" w:rsidR="00FE6F7D" w:rsidRPr="00500C32" w:rsidRDefault="00FE6F7D" w:rsidP="00500C32">
            <w:pPr>
              <w:spacing w:after="0"/>
              <w:rPr>
                <w:rFonts w:eastAsia="Calibri"/>
                <w:sz w:val="22"/>
                <w:szCs w:val="22"/>
              </w:rPr>
            </w:pPr>
            <w:r w:rsidRPr="00500C32">
              <w:rPr>
                <w:rFonts w:eastAsia="Calibri"/>
                <w:sz w:val="22"/>
                <w:szCs w:val="22"/>
              </w:rPr>
              <w:t>Approvers</w:t>
            </w:r>
          </w:p>
        </w:tc>
        <w:tc>
          <w:tcPr>
            <w:tcW w:w="5741" w:type="dxa"/>
            <w:shd w:val="clear" w:color="auto" w:fill="C6DFAC"/>
          </w:tcPr>
          <w:p w14:paraId="5EF8972E" w14:textId="77777777" w:rsidR="00FE6F7D" w:rsidRPr="00500C32" w:rsidRDefault="00FE6F7D" w:rsidP="00500C32">
            <w:pPr>
              <w:spacing w:after="0"/>
              <w:rPr>
                <w:rFonts w:eastAsia="Calibri"/>
                <w:sz w:val="22"/>
                <w:szCs w:val="22"/>
              </w:rPr>
            </w:pPr>
            <w:r w:rsidRPr="00500C32">
              <w:rPr>
                <w:rFonts w:eastAsia="Calibri"/>
                <w:sz w:val="22"/>
                <w:szCs w:val="22"/>
              </w:rPr>
              <w:t>Position</w:t>
            </w:r>
          </w:p>
        </w:tc>
      </w:tr>
      <w:tr w:rsidR="00FE6F7D" w:rsidRPr="00CF5FF6" w14:paraId="2926E713" w14:textId="77777777" w:rsidTr="00500C32">
        <w:tc>
          <w:tcPr>
            <w:tcW w:w="4744" w:type="dxa"/>
            <w:shd w:val="clear" w:color="auto" w:fill="auto"/>
          </w:tcPr>
          <w:p w14:paraId="02B697B8" w14:textId="77777777" w:rsidR="00FE6F7D" w:rsidRPr="00500C32" w:rsidRDefault="00FE6F7D" w:rsidP="00500C32">
            <w:pPr>
              <w:spacing w:after="0"/>
              <w:rPr>
                <w:rFonts w:eastAsia="Calibri"/>
                <w:sz w:val="22"/>
                <w:szCs w:val="22"/>
              </w:rPr>
            </w:pPr>
            <w:r w:rsidRPr="00500C32">
              <w:rPr>
                <w:rFonts w:eastAsia="Calibri"/>
                <w:sz w:val="22"/>
                <w:szCs w:val="22"/>
              </w:rPr>
              <w:t>Standards and Effectiveness Committee</w:t>
            </w:r>
          </w:p>
        </w:tc>
        <w:tc>
          <w:tcPr>
            <w:tcW w:w="5741" w:type="dxa"/>
            <w:shd w:val="clear" w:color="auto" w:fill="auto"/>
          </w:tcPr>
          <w:p w14:paraId="4807019C" w14:textId="77777777" w:rsidR="00FE6F7D" w:rsidRPr="00500C32" w:rsidRDefault="00FE6F7D" w:rsidP="00500C32">
            <w:pPr>
              <w:spacing w:after="0"/>
              <w:rPr>
                <w:rFonts w:eastAsia="Calibri"/>
                <w:sz w:val="22"/>
                <w:szCs w:val="22"/>
              </w:rPr>
            </w:pPr>
            <w:r w:rsidRPr="00500C32">
              <w:rPr>
                <w:rFonts w:eastAsia="Calibri"/>
                <w:sz w:val="22"/>
                <w:szCs w:val="22"/>
              </w:rPr>
              <w:t>Trust Board</w:t>
            </w:r>
          </w:p>
        </w:tc>
      </w:tr>
      <w:tr w:rsidR="00822F15" w:rsidRPr="00CF5FF6" w14:paraId="5D204438" w14:textId="77777777" w:rsidTr="00500C32">
        <w:tc>
          <w:tcPr>
            <w:tcW w:w="4744" w:type="dxa"/>
            <w:shd w:val="clear" w:color="auto" w:fill="auto"/>
          </w:tcPr>
          <w:p w14:paraId="0D59E4F9" w14:textId="6C81E400" w:rsidR="00822F15" w:rsidRPr="00500C32" w:rsidRDefault="00822F15" w:rsidP="00500C32">
            <w:pPr>
              <w:spacing w:after="0"/>
              <w:rPr>
                <w:rFonts w:eastAsia="Calibri"/>
                <w:sz w:val="22"/>
                <w:szCs w:val="22"/>
              </w:rPr>
            </w:pPr>
            <w:r>
              <w:rPr>
                <w:rFonts w:eastAsia="Calibri"/>
                <w:sz w:val="22"/>
                <w:szCs w:val="22"/>
              </w:rPr>
              <w:t>Governors</w:t>
            </w:r>
          </w:p>
        </w:tc>
        <w:tc>
          <w:tcPr>
            <w:tcW w:w="5741" w:type="dxa"/>
            <w:shd w:val="clear" w:color="auto" w:fill="auto"/>
          </w:tcPr>
          <w:p w14:paraId="4CB1D409" w14:textId="1DC6B985" w:rsidR="00822F15" w:rsidRPr="00500C32" w:rsidRDefault="00822F15" w:rsidP="00500C32">
            <w:pPr>
              <w:spacing w:after="0"/>
              <w:rPr>
                <w:rFonts w:eastAsia="Calibri"/>
                <w:sz w:val="22"/>
                <w:szCs w:val="22"/>
              </w:rPr>
            </w:pPr>
            <w:r>
              <w:rPr>
                <w:rFonts w:eastAsia="Calibri"/>
                <w:sz w:val="22"/>
                <w:szCs w:val="22"/>
              </w:rPr>
              <w:t>Local Governing Body</w:t>
            </w:r>
          </w:p>
        </w:tc>
      </w:tr>
      <w:tr w:rsidR="00FE6F7D" w:rsidRPr="00CF5FF6" w14:paraId="39173819" w14:textId="77777777" w:rsidTr="00500C32">
        <w:tc>
          <w:tcPr>
            <w:tcW w:w="4744" w:type="dxa"/>
            <w:shd w:val="clear" w:color="auto" w:fill="C6DFAC"/>
          </w:tcPr>
          <w:p w14:paraId="79C4AAB6" w14:textId="77777777" w:rsidR="00FE6F7D" w:rsidRPr="00500C32" w:rsidRDefault="00FE6F7D" w:rsidP="00500C32">
            <w:pPr>
              <w:spacing w:after="0"/>
              <w:rPr>
                <w:rFonts w:eastAsia="Calibri"/>
                <w:sz w:val="22"/>
                <w:szCs w:val="22"/>
              </w:rPr>
            </w:pPr>
            <w:r w:rsidRPr="00500C32">
              <w:rPr>
                <w:rFonts w:eastAsia="Calibri"/>
                <w:sz w:val="22"/>
                <w:szCs w:val="22"/>
              </w:rPr>
              <w:t>Reviewers</w:t>
            </w:r>
          </w:p>
        </w:tc>
        <w:tc>
          <w:tcPr>
            <w:tcW w:w="5741" w:type="dxa"/>
            <w:shd w:val="clear" w:color="auto" w:fill="C6DFAC"/>
          </w:tcPr>
          <w:p w14:paraId="45315AB3" w14:textId="77777777" w:rsidR="00FE6F7D" w:rsidRPr="00500C32" w:rsidRDefault="00FE6F7D" w:rsidP="00500C32">
            <w:pPr>
              <w:spacing w:after="0"/>
              <w:rPr>
                <w:rFonts w:eastAsia="Calibri"/>
                <w:sz w:val="22"/>
                <w:szCs w:val="22"/>
              </w:rPr>
            </w:pPr>
            <w:r w:rsidRPr="00500C32">
              <w:rPr>
                <w:rFonts w:eastAsia="Calibri"/>
                <w:sz w:val="22"/>
                <w:szCs w:val="22"/>
              </w:rPr>
              <w:t>Position</w:t>
            </w:r>
          </w:p>
        </w:tc>
      </w:tr>
      <w:tr w:rsidR="00FE6F7D" w:rsidRPr="00CF5FF6" w14:paraId="1D6157EC" w14:textId="77777777" w:rsidTr="00500C32">
        <w:tc>
          <w:tcPr>
            <w:tcW w:w="4744" w:type="dxa"/>
            <w:shd w:val="clear" w:color="auto" w:fill="auto"/>
          </w:tcPr>
          <w:p w14:paraId="14043F34" w14:textId="77777777" w:rsidR="00FE6F7D" w:rsidRPr="00500C32" w:rsidRDefault="00FE6F7D" w:rsidP="00500C32">
            <w:pPr>
              <w:spacing w:after="0"/>
              <w:rPr>
                <w:rFonts w:eastAsia="Calibri"/>
                <w:sz w:val="22"/>
                <w:szCs w:val="22"/>
              </w:rPr>
            </w:pPr>
            <w:r w:rsidRPr="00500C32">
              <w:rPr>
                <w:rFonts w:eastAsia="Calibri"/>
                <w:sz w:val="22"/>
                <w:szCs w:val="22"/>
              </w:rPr>
              <w:t>Natasha Greenough</w:t>
            </w:r>
          </w:p>
        </w:tc>
        <w:tc>
          <w:tcPr>
            <w:tcW w:w="5741" w:type="dxa"/>
            <w:shd w:val="clear" w:color="auto" w:fill="auto"/>
          </w:tcPr>
          <w:p w14:paraId="0338BE5D" w14:textId="77777777" w:rsidR="00FE6F7D" w:rsidRPr="00500C32" w:rsidRDefault="00FE6F7D" w:rsidP="00500C32">
            <w:pPr>
              <w:spacing w:after="0"/>
              <w:rPr>
                <w:rFonts w:eastAsia="Calibri"/>
                <w:sz w:val="22"/>
                <w:szCs w:val="22"/>
              </w:rPr>
            </w:pPr>
            <w:r w:rsidRPr="00500C32">
              <w:rPr>
                <w:rFonts w:eastAsia="Calibri"/>
                <w:sz w:val="22"/>
                <w:szCs w:val="22"/>
              </w:rPr>
              <w:t>CEO The MAST</w:t>
            </w:r>
          </w:p>
        </w:tc>
      </w:tr>
      <w:tr w:rsidR="00FE6F7D" w:rsidRPr="00CF5FF6" w14:paraId="31BA18C0" w14:textId="77777777" w:rsidTr="00500C32">
        <w:tc>
          <w:tcPr>
            <w:tcW w:w="4744" w:type="dxa"/>
            <w:shd w:val="clear" w:color="auto" w:fill="auto"/>
          </w:tcPr>
          <w:p w14:paraId="34CE0A41" w14:textId="2EA4E766" w:rsidR="00FE6F7D" w:rsidRPr="00500C32" w:rsidRDefault="00235223" w:rsidP="00500C32">
            <w:pPr>
              <w:spacing w:after="0"/>
              <w:rPr>
                <w:rFonts w:eastAsia="Calibri"/>
                <w:sz w:val="22"/>
                <w:szCs w:val="22"/>
              </w:rPr>
            </w:pPr>
            <w:r>
              <w:rPr>
                <w:rFonts w:eastAsia="Calibri"/>
                <w:sz w:val="22"/>
                <w:szCs w:val="22"/>
              </w:rPr>
              <w:t>Gail Howe</w:t>
            </w:r>
          </w:p>
        </w:tc>
        <w:tc>
          <w:tcPr>
            <w:tcW w:w="5741" w:type="dxa"/>
            <w:shd w:val="clear" w:color="auto" w:fill="auto"/>
          </w:tcPr>
          <w:p w14:paraId="13F47CAD" w14:textId="77777777" w:rsidR="00FE6F7D" w:rsidRPr="00500C32" w:rsidRDefault="00FE6F7D" w:rsidP="00500C32">
            <w:pPr>
              <w:spacing w:after="0"/>
              <w:rPr>
                <w:rFonts w:eastAsia="Calibri"/>
                <w:sz w:val="22"/>
                <w:szCs w:val="22"/>
              </w:rPr>
            </w:pPr>
            <w:r w:rsidRPr="00500C32">
              <w:rPr>
                <w:rFonts w:eastAsia="Calibri"/>
                <w:sz w:val="22"/>
                <w:szCs w:val="22"/>
              </w:rPr>
              <w:t>Trustee</w:t>
            </w:r>
          </w:p>
        </w:tc>
      </w:tr>
      <w:tr w:rsidR="00822F15" w:rsidRPr="00CF5FF6" w14:paraId="1A01E159" w14:textId="77777777" w:rsidTr="00500C32">
        <w:tc>
          <w:tcPr>
            <w:tcW w:w="4744" w:type="dxa"/>
            <w:shd w:val="clear" w:color="auto" w:fill="auto"/>
          </w:tcPr>
          <w:p w14:paraId="06FA7426" w14:textId="09DEBF5C" w:rsidR="00822F15" w:rsidRPr="00706F86" w:rsidRDefault="00706F86" w:rsidP="00500C32">
            <w:pPr>
              <w:spacing w:after="0"/>
              <w:rPr>
                <w:rFonts w:eastAsia="Calibri"/>
                <w:sz w:val="22"/>
                <w:szCs w:val="22"/>
              </w:rPr>
            </w:pPr>
            <w:r w:rsidRPr="00706F86">
              <w:rPr>
                <w:rFonts w:eastAsia="Calibri"/>
                <w:sz w:val="22"/>
                <w:szCs w:val="22"/>
              </w:rPr>
              <w:t xml:space="preserve">Andrew Hancox </w:t>
            </w:r>
          </w:p>
        </w:tc>
        <w:tc>
          <w:tcPr>
            <w:tcW w:w="5741" w:type="dxa"/>
            <w:shd w:val="clear" w:color="auto" w:fill="auto"/>
          </w:tcPr>
          <w:p w14:paraId="514688FB" w14:textId="1AF62102" w:rsidR="00822F15" w:rsidRPr="00500C32" w:rsidRDefault="00822F15" w:rsidP="00500C32">
            <w:pPr>
              <w:spacing w:after="0"/>
              <w:rPr>
                <w:rFonts w:eastAsia="Calibri"/>
                <w:sz w:val="22"/>
                <w:szCs w:val="22"/>
              </w:rPr>
            </w:pPr>
            <w:r>
              <w:rPr>
                <w:rFonts w:eastAsia="Calibri"/>
                <w:sz w:val="22"/>
                <w:szCs w:val="22"/>
              </w:rPr>
              <w:t>Headteacher</w:t>
            </w:r>
          </w:p>
        </w:tc>
      </w:tr>
    </w:tbl>
    <w:p w14:paraId="62EBF3C5" w14:textId="77777777" w:rsidR="00FE6F7D" w:rsidRPr="00CF5FF6" w:rsidRDefault="00FE6F7D" w:rsidP="00BB06E6">
      <w:pPr>
        <w:spacing w:after="160" w:line="259" w:lineRule="auto"/>
        <w:rPr>
          <w:rFonts w:eastAsia="Calibri" w:cs="Arial"/>
          <w:sz w:val="22"/>
          <w:szCs w:val="22"/>
        </w:rPr>
      </w:pPr>
    </w:p>
    <w:p w14:paraId="6D98A12B" w14:textId="77777777" w:rsidR="00BB06E6" w:rsidRPr="00CF5FF6" w:rsidRDefault="00BB06E6" w:rsidP="00BB06E6">
      <w:pPr>
        <w:spacing w:after="160" w:line="259" w:lineRule="auto"/>
        <w:rPr>
          <w:rFonts w:eastAsia="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62"/>
        <w:gridCol w:w="1985"/>
      </w:tblGrid>
      <w:tr w:rsidR="00BB064B" w:rsidRPr="00CF5FF6" w14:paraId="16DB2D2B" w14:textId="77777777" w:rsidTr="00BB064B">
        <w:trPr>
          <w:trHeight w:val="560"/>
        </w:trPr>
        <w:tc>
          <w:tcPr>
            <w:tcW w:w="1838" w:type="dxa"/>
            <w:shd w:val="clear" w:color="auto" w:fill="767171"/>
            <w:vAlign w:val="center"/>
          </w:tcPr>
          <w:p w14:paraId="2A4BA178" w14:textId="77777777" w:rsidR="00BB06E6" w:rsidRPr="00BB064B" w:rsidRDefault="00BB06E6" w:rsidP="00BB064B">
            <w:pPr>
              <w:jc w:val="center"/>
              <w:rPr>
                <w:rFonts w:eastAsia="Calibri" w:cs="Arial"/>
                <w:color w:val="FFFFFF"/>
                <w:sz w:val="22"/>
                <w:szCs w:val="22"/>
              </w:rPr>
            </w:pPr>
            <w:r w:rsidRPr="00BB064B">
              <w:rPr>
                <w:rFonts w:eastAsia="Calibri" w:cs="Arial"/>
                <w:color w:val="FFFFFF"/>
                <w:sz w:val="22"/>
                <w:szCs w:val="22"/>
              </w:rPr>
              <w:t>Section Number</w:t>
            </w:r>
          </w:p>
        </w:tc>
        <w:tc>
          <w:tcPr>
            <w:tcW w:w="6662" w:type="dxa"/>
            <w:shd w:val="clear" w:color="auto" w:fill="767171"/>
            <w:vAlign w:val="center"/>
          </w:tcPr>
          <w:p w14:paraId="291E35A2" w14:textId="77777777" w:rsidR="00BB06E6" w:rsidRPr="00BB064B" w:rsidRDefault="00BB06E6" w:rsidP="00535B52">
            <w:pPr>
              <w:rPr>
                <w:rFonts w:eastAsia="Calibri" w:cs="Arial"/>
                <w:color w:val="FFFFFF"/>
                <w:sz w:val="22"/>
                <w:szCs w:val="22"/>
              </w:rPr>
            </w:pPr>
            <w:r w:rsidRPr="00BB064B">
              <w:rPr>
                <w:rFonts w:eastAsia="Calibri" w:cs="Arial"/>
                <w:color w:val="FFFFFF"/>
                <w:sz w:val="22"/>
                <w:szCs w:val="22"/>
              </w:rPr>
              <w:t>Content</w:t>
            </w:r>
          </w:p>
        </w:tc>
        <w:tc>
          <w:tcPr>
            <w:tcW w:w="1985" w:type="dxa"/>
            <w:shd w:val="clear" w:color="auto" w:fill="767171"/>
            <w:vAlign w:val="center"/>
          </w:tcPr>
          <w:p w14:paraId="5870A61F" w14:textId="77777777" w:rsidR="00BB06E6" w:rsidRPr="00BB064B" w:rsidRDefault="00BB06E6" w:rsidP="00BB064B">
            <w:pPr>
              <w:jc w:val="center"/>
              <w:rPr>
                <w:rFonts w:eastAsia="Calibri" w:cs="Arial"/>
                <w:color w:val="FFFFFF"/>
                <w:sz w:val="22"/>
                <w:szCs w:val="22"/>
              </w:rPr>
            </w:pPr>
            <w:r w:rsidRPr="00BB064B">
              <w:rPr>
                <w:rFonts w:eastAsia="Calibri" w:cs="Arial"/>
                <w:color w:val="FFFFFF"/>
                <w:sz w:val="22"/>
                <w:szCs w:val="22"/>
              </w:rPr>
              <w:t>Page Number</w:t>
            </w:r>
          </w:p>
        </w:tc>
      </w:tr>
      <w:tr w:rsidR="00BB064B" w:rsidRPr="00CF5FF6" w14:paraId="6F251294" w14:textId="77777777" w:rsidTr="00BB064B">
        <w:tc>
          <w:tcPr>
            <w:tcW w:w="1838" w:type="dxa"/>
            <w:shd w:val="clear" w:color="auto" w:fill="auto"/>
            <w:vAlign w:val="center"/>
          </w:tcPr>
          <w:p w14:paraId="4B3AA50C" w14:textId="77777777" w:rsidR="00BB06E6" w:rsidRPr="00BB064B" w:rsidRDefault="00BB06E6" w:rsidP="00BB064B">
            <w:pPr>
              <w:jc w:val="center"/>
              <w:rPr>
                <w:rFonts w:eastAsia="Calibri" w:cs="Arial"/>
                <w:sz w:val="22"/>
                <w:szCs w:val="22"/>
              </w:rPr>
            </w:pPr>
            <w:r w:rsidRPr="00BB064B">
              <w:rPr>
                <w:rFonts w:eastAsia="Calibri" w:cs="Arial"/>
                <w:sz w:val="22"/>
                <w:szCs w:val="22"/>
              </w:rPr>
              <w:t>1.0</w:t>
            </w:r>
          </w:p>
        </w:tc>
        <w:tc>
          <w:tcPr>
            <w:tcW w:w="6662" w:type="dxa"/>
            <w:shd w:val="clear" w:color="auto" w:fill="auto"/>
            <w:vAlign w:val="center"/>
          </w:tcPr>
          <w:p w14:paraId="57255E15" w14:textId="77777777" w:rsidR="00BB06E6" w:rsidRPr="00BB064B" w:rsidRDefault="00BB06E6" w:rsidP="00535B52">
            <w:pPr>
              <w:rPr>
                <w:rFonts w:eastAsia="Calibri" w:cs="Arial"/>
                <w:sz w:val="22"/>
                <w:szCs w:val="22"/>
              </w:rPr>
            </w:pPr>
            <w:r w:rsidRPr="00BB064B">
              <w:rPr>
                <w:noProof/>
                <w:sz w:val="22"/>
                <w:szCs w:val="22"/>
              </w:rPr>
              <w:t>Aims</w:t>
            </w:r>
          </w:p>
        </w:tc>
        <w:tc>
          <w:tcPr>
            <w:tcW w:w="1985" w:type="dxa"/>
            <w:shd w:val="clear" w:color="auto" w:fill="auto"/>
            <w:vAlign w:val="center"/>
          </w:tcPr>
          <w:p w14:paraId="5FCD5EC4" w14:textId="77777777" w:rsidR="00BB06E6" w:rsidRPr="00BB064B" w:rsidRDefault="00BB06E6" w:rsidP="00BB064B">
            <w:pPr>
              <w:jc w:val="center"/>
              <w:rPr>
                <w:rFonts w:eastAsia="Calibri" w:cs="Arial"/>
                <w:sz w:val="22"/>
                <w:szCs w:val="22"/>
              </w:rPr>
            </w:pPr>
            <w:r w:rsidRPr="00BB064B">
              <w:rPr>
                <w:rFonts w:eastAsia="Calibri" w:cs="Arial"/>
                <w:sz w:val="22"/>
                <w:szCs w:val="22"/>
              </w:rPr>
              <w:t>3</w:t>
            </w:r>
          </w:p>
        </w:tc>
      </w:tr>
      <w:tr w:rsidR="00BB064B" w:rsidRPr="00CF5FF6" w14:paraId="1A20D884" w14:textId="77777777" w:rsidTr="00BB064B">
        <w:tc>
          <w:tcPr>
            <w:tcW w:w="1838" w:type="dxa"/>
            <w:shd w:val="clear" w:color="auto" w:fill="auto"/>
            <w:vAlign w:val="center"/>
          </w:tcPr>
          <w:p w14:paraId="69D93E1F" w14:textId="77777777" w:rsidR="00BB06E6" w:rsidRPr="00BB064B" w:rsidRDefault="00BB06E6" w:rsidP="00BB064B">
            <w:pPr>
              <w:jc w:val="center"/>
              <w:rPr>
                <w:rFonts w:eastAsia="Calibri" w:cs="Arial"/>
                <w:sz w:val="22"/>
                <w:szCs w:val="22"/>
              </w:rPr>
            </w:pPr>
            <w:r w:rsidRPr="00BB064B">
              <w:rPr>
                <w:rFonts w:eastAsia="Calibri" w:cs="Arial"/>
                <w:sz w:val="22"/>
                <w:szCs w:val="22"/>
              </w:rPr>
              <w:t>2.0</w:t>
            </w:r>
          </w:p>
        </w:tc>
        <w:tc>
          <w:tcPr>
            <w:tcW w:w="6662" w:type="dxa"/>
            <w:shd w:val="clear" w:color="auto" w:fill="auto"/>
            <w:vAlign w:val="center"/>
          </w:tcPr>
          <w:p w14:paraId="6437E09B" w14:textId="77777777" w:rsidR="00BB06E6" w:rsidRPr="00BB064B" w:rsidRDefault="00BB06E6" w:rsidP="00535B52">
            <w:pPr>
              <w:rPr>
                <w:rFonts w:eastAsia="Calibri" w:cs="Arial"/>
                <w:sz w:val="22"/>
                <w:szCs w:val="22"/>
              </w:rPr>
            </w:pPr>
            <w:r w:rsidRPr="00BB064B">
              <w:rPr>
                <w:noProof/>
                <w:sz w:val="22"/>
                <w:szCs w:val="22"/>
              </w:rPr>
              <w:t>Legislation and guidance</w:t>
            </w:r>
          </w:p>
        </w:tc>
        <w:tc>
          <w:tcPr>
            <w:tcW w:w="1985" w:type="dxa"/>
            <w:shd w:val="clear" w:color="auto" w:fill="auto"/>
            <w:vAlign w:val="center"/>
          </w:tcPr>
          <w:p w14:paraId="0B778152" w14:textId="77777777" w:rsidR="00BB06E6" w:rsidRPr="00BB064B" w:rsidRDefault="00BB06E6" w:rsidP="00BB064B">
            <w:pPr>
              <w:jc w:val="center"/>
              <w:rPr>
                <w:rFonts w:eastAsia="Calibri" w:cs="Arial"/>
                <w:sz w:val="22"/>
                <w:szCs w:val="22"/>
              </w:rPr>
            </w:pPr>
            <w:r w:rsidRPr="00BB064B">
              <w:rPr>
                <w:rFonts w:eastAsia="Calibri" w:cs="Arial"/>
                <w:sz w:val="22"/>
                <w:szCs w:val="22"/>
              </w:rPr>
              <w:t>3</w:t>
            </w:r>
          </w:p>
        </w:tc>
      </w:tr>
      <w:tr w:rsidR="00BB064B" w:rsidRPr="00CF5FF6" w14:paraId="1AE86C49" w14:textId="77777777" w:rsidTr="00BB064B">
        <w:tc>
          <w:tcPr>
            <w:tcW w:w="1838" w:type="dxa"/>
            <w:shd w:val="clear" w:color="auto" w:fill="auto"/>
            <w:vAlign w:val="center"/>
          </w:tcPr>
          <w:p w14:paraId="3C663E9D" w14:textId="77777777" w:rsidR="00BB06E6" w:rsidRPr="00BB064B" w:rsidRDefault="00BB06E6" w:rsidP="00BB064B">
            <w:pPr>
              <w:jc w:val="center"/>
              <w:rPr>
                <w:rFonts w:eastAsia="Calibri" w:cs="Arial"/>
                <w:sz w:val="22"/>
                <w:szCs w:val="22"/>
              </w:rPr>
            </w:pPr>
            <w:r w:rsidRPr="00BB064B">
              <w:rPr>
                <w:rFonts w:eastAsia="Calibri" w:cs="Arial"/>
                <w:sz w:val="22"/>
                <w:szCs w:val="22"/>
              </w:rPr>
              <w:t>3.0</w:t>
            </w:r>
          </w:p>
        </w:tc>
        <w:tc>
          <w:tcPr>
            <w:tcW w:w="6662" w:type="dxa"/>
            <w:shd w:val="clear" w:color="auto" w:fill="auto"/>
            <w:vAlign w:val="center"/>
          </w:tcPr>
          <w:p w14:paraId="17FA38F5" w14:textId="77777777" w:rsidR="00BB06E6" w:rsidRPr="00BB064B" w:rsidRDefault="00BB06E6" w:rsidP="00535B52">
            <w:pPr>
              <w:rPr>
                <w:rFonts w:eastAsia="Calibri" w:cs="Arial"/>
                <w:sz w:val="22"/>
                <w:szCs w:val="22"/>
              </w:rPr>
            </w:pPr>
            <w:r w:rsidRPr="00BB064B">
              <w:rPr>
                <w:noProof/>
                <w:sz w:val="22"/>
                <w:szCs w:val="22"/>
              </w:rPr>
              <w:t>Roles and responsibilities</w:t>
            </w:r>
          </w:p>
        </w:tc>
        <w:tc>
          <w:tcPr>
            <w:tcW w:w="1985" w:type="dxa"/>
            <w:shd w:val="clear" w:color="auto" w:fill="auto"/>
            <w:vAlign w:val="center"/>
          </w:tcPr>
          <w:p w14:paraId="2598DEE6" w14:textId="77777777" w:rsidR="00BB06E6" w:rsidRPr="00BB064B" w:rsidRDefault="00BB06E6" w:rsidP="00BB064B">
            <w:pPr>
              <w:jc w:val="center"/>
              <w:rPr>
                <w:rFonts w:eastAsia="Calibri" w:cs="Arial"/>
                <w:sz w:val="22"/>
                <w:szCs w:val="22"/>
              </w:rPr>
            </w:pPr>
            <w:r w:rsidRPr="00BB064B">
              <w:rPr>
                <w:rFonts w:eastAsia="Calibri" w:cs="Arial"/>
                <w:sz w:val="22"/>
                <w:szCs w:val="22"/>
              </w:rPr>
              <w:t>4</w:t>
            </w:r>
          </w:p>
        </w:tc>
      </w:tr>
      <w:tr w:rsidR="00BB064B" w:rsidRPr="00CF5FF6" w14:paraId="436A53C6" w14:textId="77777777" w:rsidTr="00BB064B">
        <w:tc>
          <w:tcPr>
            <w:tcW w:w="1838" w:type="dxa"/>
            <w:shd w:val="clear" w:color="auto" w:fill="auto"/>
            <w:vAlign w:val="center"/>
          </w:tcPr>
          <w:p w14:paraId="1F6B2BC5" w14:textId="77777777" w:rsidR="00BB06E6" w:rsidRPr="00BB064B" w:rsidRDefault="00BB06E6" w:rsidP="00BB064B">
            <w:pPr>
              <w:jc w:val="center"/>
              <w:rPr>
                <w:rFonts w:eastAsia="Calibri" w:cs="Arial"/>
                <w:sz w:val="22"/>
                <w:szCs w:val="22"/>
              </w:rPr>
            </w:pPr>
            <w:r w:rsidRPr="00BB064B">
              <w:rPr>
                <w:rFonts w:eastAsia="Calibri" w:cs="Arial"/>
                <w:sz w:val="22"/>
                <w:szCs w:val="22"/>
              </w:rPr>
              <w:t>4.0</w:t>
            </w:r>
          </w:p>
        </w:tc>
        <w:tc>
          <w:tcPr>
            <w:tcW w:w="6662" w:type="dxa"/>
            <w:shd w:val="clear" w:color="auto" w:fill="auto"/>
            <w:vAlign w:val="center"/>
          </w:tcPr>
          <w:p w14:paraId="151DC8AA" w14:textId="77777777" w:rsidR="00BB06E6" w:rsidRPr="00BB064B" w:rsidRDefault="00BB06E6" w:rsidP="00535B52">
            <w:pPr>
              <w:rPr>
                <w:rFonts w:eastAsia="Calibri" w:cs="Arial"/>
                <w:sz w:val="22"/>
                <w:szCs w:val="22"/>
              </w:rPr>
            </w:pPr>
            <w:r w:rsidRPr="00BB064B">
              <w:rPr>
                <w:noProof/>
                <w:sz w:val="22"/>
                <w:szCs w:val="22"/>
              </w:rPr>
              <w:t>Organisation and planning</w:t>
            </w:r>
          </w:p>
        </w:tc>
        <w:tc>
          <w:tcPr>
            <w:tcW w:w="1985" w:type="dxa"/>
            <w:shd w:val="clear" w:color="auto" w:fill="auto"/>
            <w:vAlign w:val="center"/>
          </w:tcPr>
          <w:p w14:paraId="78941E47" w14:textId="77777777" w:rsidR="00BB06E6" w:rsidRPr="00BB064B" w:rsidRDefault="00BB064B" w:rsidP="00BB064B">
            <w:pPr>
              <w:jc w:val="center"/>
              <w:rPr>
                <w:rFonts w:eastAsia="Calibri" w:cs="Arial"/>
                <w:sz w:val="22"/>
                <w:szCs w:val="22"/>
              </w:rPr>
            </w:pPr>
            <w:r w:rsidRPr="00BB064B">
              <w:rPr>
                <w:rFonts w:eastAsia="Calibri" w:cs="Arial"/>
                <w:sz w:val="22"/>
                <w:szCs w:val="22"/>
              </w:rPr>
              <w:t>5</w:t>
            </w:r>
          </w:p>
        </w:tc>
      </w:tr>
      <w:tr w:rsidR="00BB064B" w:rsidRPr="00CF5FF6" w14:paraId="71CE6D64" w14:textId="77777777" w:rsidTr="00BB064B">
        <w:tc>
          <w:tcPr>
            <w:tcW w:w="1838" w:type="dxa"/>
            <w:shd w:val="clear" w:color="auto" w:fill="auto"/>
            <w:vAlign w:val="center"/>
          </w:tcPr>
          <w:p w14:paraId="0FE1CE37" w14:textId="77777777" w:rsidR="00BB06E6" w:rsidRPr="00BB064B" w:rsidRDefault="00BB06E6" w:rsidP="00BB064B">
            <w:pPr>
              <w:jc w:val="center"/>
              <w:rPr>
                <w:rFonts w:eastAsia="Calibri" w:cs="Arial"/>
                <w:sz w:val="22"/>
                <w:szCs w:val="22"/>
              </w:rPr>
            </w:pPr>
            <w:r w:rsidRPr="00BB064B">
              <w:rPr>
                <w:rFonts w:eastAsia="Calibri" w:cs="Arial"/>
                <w:sz w:val="22"/>
                <w:szCs w:val="22"/>
              </w:rPr>
              <w:t>5.0</w:t>
            </w:r>
          </w:p>
        </w:tc>
        <w:tc>
          <w:tcPr>
            <w:tcW w:w="6662" w:type="dxa"/>
            <w:shd w:val="clear" w:color="auto" w:fill="auto"/>
            <w:vAlign w:val="center"/>
          </w:tcPr>
          <w:p w14:paraId="55DB467E" w14:textId="77777777" w:rsidR="00BB06E6" w:rsidRPr="00BB064B" w:rsidRDefault="00BB06E6" w:rsidP="00535B52">
            <w:pPr>
              <w:rPr>
                <w:rFonts w:eastAsia="Calibri" w:cs="Arial"/>
                <w:sz w:val="22"/>
                <w:szCs w:val="22"/>
              </w:rPr>
            </w:pPr>
            <w:r w:rsidRPr="00BB064B">
              <w:rPr>
                <w:noProof/>
                <w:sz w:val="22"/>
                <w:szCs w:val="22"/>
              </w:rPr>
              <w:t>Inclusion</w:t>
            </w:r>
          </w:p>
        </w:tc>
        <w:tc>
          <w:tcPr>
            <w:tcW w:w="1985" w:type="dxa"/>
            <w:shd w:val="clear" w:color="auto" w:fill="auto"/>
            <w:vAlign w:val="center"/>
          </w:tcPr>
          <w:p w14:paraId="44240AAE" w14:textId="77777777" w:rsidR="00BB06E6" w:rsidRPr="00BB064B" w:rsidRDefault="00BB064B" w:rsidP="00BB064B">
            <w:pPr>
              <w:jc w:val="center"/>
              <w:rPr>
                <w:rFonts w:eastAsia="Calibri" w:cs="Arial"/>
                <w:sz w:val="22"/>
                <w:szCs w:val="22"/>
              </w:rPr>
            </w:pPr>
            <w:r w:rsidRPr="00BB064B">
              <w:rPr>
                <w:rFonts w:eastAsia="Calibri" w:cs="Arial"/>
                <w:sz w:val="22"/>
                <w:szCs w:val="22"/>
              </w:rPr>
              <w:t>5</w:t>
            </w:r>
          </w:p>
        </w:tc>
      </w:tr>
      <w:tr w:rsidR="00BB064B" w:rsidRPr="00CF5FF6" w14:paraId="43FB10F4" w14:textId="77777777" w:rsidTr="00BB064B">
        <w:tc>
          <w:tcPr>
            <w:tcW w:w="1838" w:type="dxa"/>
            <w:shd w:val="clear" w:color="auto" w:fill="auto"/>
            <w:vAlign w:val="center"/>
          </w:tcPr>
          <w:p w14:paraId="7FCFF2D4" w14:textId="77777777" w:rsidR="00BB06E6" w:rsidRPr="00BB064B" w:rsidRDefault="00BB06E6" w:rsidP="00BB064B">
            <w:pPr>
              <w:jc w:val="center"/>
              <w:rPr>
                <w:rFonts w:eastAsia="Calibri" w:cs="Arial"/>
                <w:sz w:val="22"/>
                <w:szCs w:val="22"/>
              </w:rPr>
            </w:pPr>
            <w:r w:rsidRPr="00BB064B">
              <w:rPr>
                <w:rFonts w:eastAsia="Calibri" w:cs="Arial"/>
                <w:sz w:val="22"/>
                <w:szCs w:val="22"/>
              </w:rPr>
              <w:t>6.0</w:t>
            </w:r>
          </w:p>
        </w:tc>
        <w:tc>
          <w:tcPr>
            <w:tcW w:w="6662" w:type="dxa"/>
            <w:shd w:val="clear" w:color="auto" w:fill="auto"/>
            <w:vAlign w:val="center"/>
          </w:tcPr>
          <w:p w14:paraId="64B293F6" w14:textId="77777777" w:rsidR="00BB06E6" w:rsidRPr="00BB064B" w:rsidRDefault="00BB06E6" w:rsidP="00535B52">
            <w:pPr>
              <w:rPr>
                <w:rFonts w:eastAsia="Calibri" w:cs="Arial"/>
                <w:sz w:val="22"/>
                <w:szCs w:val="22"/>
              </w:rPr>
            </w:pPr>
            <w:r w:rsidRPr="00BB064B">
              <w:rPr>
                <w:noProof/>
                <w:sz w:val="22"/>
                <w:szCs w:val="22"/>
              </w:rPr>
              <w:t>Monitoring arrangements</w:t>
            </w:r>
          </w:p>
        </w:tc>
        <w:tc>
          <w:tcPr>
            <w:tcW w:w="1985" w:type="dxa"/>
            <w:shd w:val="clear" w:color="auto" w:fill="auto"/>
            <w:vAlign w:val="center"/>
          </w:tcPr>
          <w:p w14:paraId="76DB90EB" w14:textId="77777777" w:rsidR="00BB06E6" w:rsidRPr="00BB064B" w:rsidRDefault="00BB064B" w:rsidP="00BB064B">
            <w:pPr>
              <w:jc w:val="center"/>
              <w:rPr>
                <w:rFonts w:eastAsia="Calibri" w:cs="Arial"/>
                <w:sz w:val="22"/>
                <w:szCs w:val="22"/>
              </w:rPr>
            </w:pPr>
            <w:r w:rsidRPr="00BB064B">
              <w:rPr>
                <w:rFonts w:eastAsia="Calibri" w:cs="Arial"/>
                <w:sz w:val="22"/>
                <w:szCs w:val="22"/>
              </w:rPr>
              <w:t>5</w:t>
            </w:r>
          </w:p>
        </w:tc>
      </w:tr>
      <w:tr w:rsidR="00BB064B" w:rsidRPr="00CF5FF6" w14:paraId="08362028" w14:textId="77777777" w:rsidTr="00BB064B">
        <w:tc>
          <w:tcPr>
            <w:tcW w:w="1838" w:type="dxa"/>
            <w:shd w:val="clear" w:color="auto" w:fill="auto"/>
            <w:vAlign w:val="center"/>
          </w:tcPr>
          <w:p w14:paraId="635AF377" w14:textId="77777777" w:rsidR="00BB06E6" w:rsidRPr="00BB064B" w:rsidRDefault="00BB06E6" w:rsidP="00BB064B">
            <w:pPr>
              <w:jc w:val="center"/>
              <w:rPr>
                <w:rFonts w:eastAsia="Calibri" w:cs="Arial"/>
                <w:sz w:val="22"/>
                <w:szCs w:val="22"/>
              </w:rPr>
            </w:pPr>
            <w:r w:rsidRPr="00BB064B">
              <w:rPr>
                <w:rFonts w:eastAsia="Calibri" w:cs="Arial"/>
                <w:sz w:val="22"/>
                <w:szCs w:val="22"/>
              </w:rPr>
              <w:t>7.0</w:t>
            </w:r>
          </w:p>
        </w:tc>
        <w:tc>
          <w:tcPr>
            <w:tcW w:w="6662" w:type="dxa"/>
            <w:shd w:val="clear" w:color="auto" w:fill="auto"/>
            <w:vAlign w:val="center"/>
          </w:tcPr>
          <w:p w14:paraId="772B1832" w14:textId="77777777" w:rsidR="00BB06E6" w:rsidRPr="00BB064B" w:rsidRDefault="00BB06E6" w:rsidP="00535B52">
            <w:pPr>
              <w:rPr>
                <w:rFonts w:cs="Arial"/>
                <w:sz w:val="22"/>
                <w:szCs w:val="22"/>
              </w:rPr>
            </w:pPr>
            <w:r w:rsidRPr="00BB064B">
              <w:rPr>
                <w:noProof/>
                <w:sz w:val="22"/>
                <w:szCs w:val="22"/>
              </w:rPr>
              <w:t>Links with other policies</w:t>
            </w:r>
          </w:p>
        </w:tc>
        <w:tc>
          <w:tcPr>
            <w:tcW w:w="1985" w:type="dxa"/>
            <w:shd w:val="clear" w:color="auto" w:fill="auto"/>
            <w:vAlign w:val="center"/>
          </w:tcPr>
          <w:p w14:paraId="29B4EA11" w14:textId="77777777" w:rsidR="00BB06E6" w:rsidRPr="00BB064B" w:rsidRDefault="00BB064B" w:rsidP="00BB064B">
            <w:pPr>
              <w:jc w:val="center"/>
              <w:rPr>
                <w:rFonts w:eastAsia="Calibri" w:cs="Arial"/>
                <w:sz w:val="22"/>
                <w:szCs w:val="22"/>
              </w:rPr>
            </w:pPr>
            <w:r w:rsidRPr="00BB064B">
              <w:rPr>
                <w:rFonts w:eastAsia="Calibri" w:cs="Arial"/>
                <w:sz w:val="22"/>
                <w:szCs w:val="22"/>
              </w:rPr>
              <w:t>6</w:t>
            </w:r>
          </w:p>
        </w:tc>
      </w:tr>
    </w:tbl>
    <w:p w14:paraId="2946DB82" w14:textId="77777777" w:rsidR="00BB06E6" w:rsidRPr="00CF5FF6" w:rsidRDefault="00BB06E6" w:rsidP="00BB06E6">
      <w:pPr>
        <w:spacing w:after="160" w:line="259" w:lineRule="auto"/>
        <w:rPr>
          <w:rFonts w:eastAsia="Calibri" w:cs="Arial"/>
          <w:sz w:val="22"/>
          <w:szCs w:val="22"/>
        </w:rPr>
      </w:pPr>
    </w:p>
    <w:p w14:paraId="041ECABF" w14:textId="77777777" w:rsidR="00706F86" w:rsidRDefault="00706F86">
      <w:pPr>
        <w:spacing w:before="0" w:after="0"/>
        <w:rPr>
          <w:rFonts w:eastAsia="MS Gothic" w:cs="Arial"/>
          <w:b/>
          <w:bCs/>
          <w:sz w:val="22"/>
          <w:szCs w:val="22"/>
        </w:rPr>
      </w:pPr>
      <w:bookmarkStart w:id="0" w:name="_Toc357429510"/>
      <w:r>
        <w:rPr>
          <w:rFonts w:cs="Arial"/>
          <w:sz w:val="22"/>
          <w:szCs w:val="22"/>
        </w:rPr>
        <w:br w:type="page"/>
      </w:r>
    </w:p>
    <w:p w14:paraId="6BC9FC24" w14:textId="29CEF878" w:rsidR="00042646" w:rsidRPr="00706F86" w:rsidRDefault="00BB064B" w:rsidP="0011435C">
      <w:pPr>
        <w:pStyle w:val="Heading1"/>
        <w:rPr>
          <w:rFonts w:cs="Arial"/>
          <w:sz w:val="22"/>
          <w:szCs w:val="22"/>
        </w:rPr>
      </w:pPr>
      <w:r w:rsidRPr="00706F86">
        <w:rPr>
          <w:rFonts w:cs="Arial"/>
          <w:sz w:val="22"/>
          <w:szCs w:val="22"/>
        </w:rPr>
        <w:lastRenderedPageBreak/>
        <w:t>Ov</w:t>
      </w:r>
      <w:r w:rsidR="00975111" w:rsidRPr="00706F86">
        <w:rPr>
          <w:rFonts w:cs="Arial"/>
          <w:sz w:val="22"/>
          <w:szCs w:val="22"/>
        </w:rPr>
        <w:t>erall Curriculum statement of Intent:</w:t>
      </w:r>
    </w:p>
    <w:p w14:paraId="158A1C11" w14:textId="77777777" w:rsidR="00456549" w:rsidRPr="00706F86" w:rsidRDefault="00CA7BF5" w:rsidP="0011435C">
      <w:pPr>
        <w:pStyle w:val="Heading1"/>
        <w:rPr>
          <w:rFonts w:cs="Arial"/>
          <w:sz w:val="22"/>
          <w:szCs w:val="22"/>
        </w:rPr>
      </w:pPr>
      <w:bookmarkStart w:id="1" w:name="_Toc496795955"/>
      <w:bookmarkEnd w:id="0"/>
      <w:r w:rsidRPr="00706F86">
        <w:rPr>
          <w:rFonts w:cs="Arial"/>
          <w:sz w:val="22"/>
          <w:szCs w:val="22"/>
        </w:rPr>
        <w:t>1</w:t>
      </w:r>
      <w:r w:rsidR="00456549" w:rsidRPr="00706F86">
        <w:rPr>
          <w:rFonts w:cs="Arial"/>
          <w:sz w:val="22"/>
          <w:szCs w:val="22"/>
        </w:rPr>
        <w:t xml:space="preserve">. </w:t>
      </w:r>
      <w:r w:rsidRPr="00706F86">
        <w:rPr>
          <w:rFonts w:cs="Arial"/>
          <w:sz w:val="22"/>
          <w:szCs w:val="22"/>
        </w:rPr>
        <w:t>Aims</w:t>
      </w:r>
      <w:bookmarkEnd w:id="1"/>
    </w:p>
    <w:p w14:paraId="55C3F725" w14:textId="77777777" w:rsidR="00CA7BF5" w:rsidRPr="00706F86" w:rsidRDefault="00CA7BF5" w:rsidP="00CA7BF5">
      <w:pPr>
        <w:rPr>
          <w:rFonts w:cs="Arial"/>
          <w:sz w:val="22"/>
          <w:szCs w:val="22"/>
        </w:rPr>
      </w:pPr>
      <w:r w:rsidRPr="00706F86">
        <w:rPr>
          <w:rFonts w:cs="Arial"/>
          <w:sz w:val="22"/>
          <w:szCs w:val="22"/>
        </w:rPr>
        <w:t>Our curriculum aims to:</w:t>
      </w:r>
    </w:p>
    <w:p w14:paraId="2E4A0266"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Provide a broad and balanced education for all pupils</w:t>
      </w:r>
      <w:r w:rsidR="00975111" w:rsidRPr="00706F86">
        <w:rPr>
          <w:rFonts w:eastAsia="MS Mincho" w:cs="Arial"/>
          <w:sz w:val="22"/>
          <w:szCs w:val="22"/>
          <w:shd w:val="clear" w:color="auto" w:fill="FFFFFF"/>
        </w:rPr>
        <w:t xml:space="preserve"> which adheres to the expectation of the National Curriculum and its challenging intent.</w:t>
      </w:r>
    </w:p>
    <w:p w14:paraId="3F5B360B"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 xml:space="preserve">Enable pupils to develop knowledge, understand concepts and acquire skills, and be able to choose and apply these in relevant </w:t>
      </w:r>
      <w:proofErr w:type="gramStart"/>
      <w:r w:rsidRPr="00706F86">
        <w:rPr>
          <w:rFonts w:eastAsia="MS Mincho" w:cs="Arial"/>
          <w:sz w:val="22"/>
          <w:szCs w:val="22"/>
          <w:shd w:val="clear" w:color="auto" w:fill="FFFFFF"/>
        </w:rPr>
        <w:t>situations</w:t>
      </w:r>
      <w:proofErr w:type="gramEnd"/>
    </w:p>
    <w:p w14:paraId="720B49B8"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 xml:space="preserve">Support pupils’ spiritual, moral, </w:t>
      </w:r>
      <w:proofErr w:type="gramStart"/>
      <w:r w:rsidRPr="00706F86">
        <w:rPr>
          <w:rFonts w:eastAsia="MS Mincho" w:cs="Arial"/>
          <w:sz w:val="22"/>
          <w:szCs w:val="22"/>
          <w:shd w:val="clear" w:color="auto" w:fill="FFFFFF"/>
        </w:rPr>
        <w:t>social</w:t>
      </w:r>
      <w:proofErr w:type="gramEnd"/>
      <w:r w:rsidRPr="00706F86">
        <w:rPr>
          <w:rFonts w:eastAsia="MS Mincho" w:cs="Arial"/>
          <w:sz w:val="22"/>
          <w:szCs w:val="22"/>
          <w:shd w:val="clear" w:color="auto" w:fill="FFFFFF"/>
        </w:rPr>
        <w:t xml:space="preserve"> and cultural development</w:t>
      </w:r>
      <w:r w:rsidR="00975111" w:rsidRPr="00706F86">
        <w:rPr>
          <w:rFonts w:eastAsia="MS Mincho" w:cs="Arial"/>
          <w:sz w:val="22"/>
          <w:szCs w:val="22"/>
          <w:shd w:val="clear" w:color="auto" w:fill="FFFFFF"/>
        </w:rPr>
        <w:t xml:space="preserve"> through bespoke and regular teaching opportunities in RE and PHSE, but also within the broad curriculum where opportunities to develop character and promote equality are always taken.</w:t>
      </w:r>
    </w:p>
    <w:p w14:paraId="3773A27A"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 xml:space="preserve">Support pupils’ physical development and responsibility for their own health, and enable them to be </w:t>
      </w:r>
      <w:proofErr w:type="gramStart"/>
      <w:r w:rsidRPr="00706F86">
        <w:rPr>
          <w:rFonts w:eastAsia="MS Mincho" w:cs="Arial"/>
          <w:sz w:val="22"/>
          <w:szCs w:val="22"/>
          <w:shd w:val="clear" w:color="auto" w:fill="FFFFFF"/>
        </w:rPr>
        <w:t>active</w:t>
      </w:r>
      <w:proofErr w:type="gramEnd"/>
    </w:p>
    <w:p w14:paraId="07F6B75B" w14:textId="77777777" w:rsidR="00975111" w:rsidRPr="00706F86" w:rsidRDefault="00975111" w:rsidP="00975111">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Supports pupils in developing resilience and an understanding of strategies for maintaining good mental health and emotional well-being.</w:t>
      </w:r>
    </w:p>
    <w:p w14:paraId="592DB007"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 xml:space="preserve">Promote a positive attitude towards </w:t>
      </w:r>
      <w:proofErr w:type="gramStart"/>
      <w:r w:rsidRPr="00706F86">
        <w:rPr>
          <w:rFonts w:eastAsia="MS Mincho" w:cs="Arial"/>
          <w:sz w:val="22"/>
          <w:szCs w:val="22"/>
          <w:shd w:val="clear" w:color="auto" w:fill="FFFFFF"/>
        </w:rPr>
        <w:t>learning</w:t>
      </w:r>
      <w:proofErr w:type="gramEnd"/>
    </w:p>
    <w:p w14:paraId="0017E934" w14:textId="77777777"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Ensure equal access to learning, with high expectations for every pupil and appropriate levels of challenge and support</w:t>
      </w:r>
      <w:r w:rsidR="00975111" w:rsidRPr="00706F86">
        <w:rPr>
          <w:rFonts w:eastAsia="MS Mincho" w:cs="Arial"/>
          <w:sz w:val="22"/>
          <w:szCs w:val="22"/>
          <w:shd w:val="clear" w:color="auto" w:fill="FFFFFF"/>
        </w:rPr>
        <w:t>.</w:t>
      </w:r>
    </w:p>
    <w:p w14:paraId="1355B43F" w14:textId="77777777" w:rsidR="00975111" w:rsidRPr="00706F86" w:rsidRDefault="00975111"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 xml:space="preserve">Ensure pupils who have a SEND, have access to the full curriculum wherever possible alongside focussed and specific support to ensure they make strong progress comparable to those from similar starting point. </w:t>
      </w:r>
    </w:p>
    <w:p w14:paraId="68CCD13C" w14:textId="77F30E89" w:rsidR="00CA7BF5" w:rsidRPr="00706F86" w:rsidRDefault="00CA7BF5" w:rsidP="007B096D">
      <w:pPr>
        <w:pStyle w:val="ColorfulList-Accent11"/>
        <w:rPr>
          <w:rFonts w:eastAsia="MS Mincho" w:cs="Arial"/>
          <w:sz w:val="22"/>
          <w:szCs w:val="22"/>
          <w:shd w:val="clear" w:color="auto" w:fill="FFFFFF"/>
        </w:rPr>
      </w:pPr>
      <w:r w:rsidRPr="00706F86">
        <w:rPr>
          <w:rFonts w:eastAsia="MS Mincho" w:cs="Arial"/>
          <w:sz w:val="22"/>
          <w:szCs w:val="22"/>
          <w:shd w:val="clear" w:color="auto" w:fill="FFFFFF"/>
        </w:rPr>
        <w:t>Promote the learning and develo</w:t>
      </w:r>
      <w:r w:rsidR="00975111" w:rsidRPr="00706F86">
        <w:rPr>
          <w:rFonts w:eastAsia="MS Mincho" w:cs="Arial"/>
          <w:sz w:val="22"/>
          <w:szCs w:val="22"/>
          <w:shd w:val="clear" w:color="auto" w:fill="FFFFFF"/>
        </w:rPr>
        <w:t>pment of reading through the effective teaching of Phonics for children at the early stage of reading and through providing rich opportunities for pupils to be exposed to a variety of texts which challenge their thinking.</w:t>
      </w:r>
    </w:p>
    <w:p w14:paraId="5A6832C5" w14:textId="77777777" w:rsidR="00316437" w:rsidRPr="00BB064B" w:rsidRDefault="00316437" w:rsidP="007B096D">
      <w:pPr>
        <w:pStyle w:val="ColorfulList-Accent11"/>
        <w:rPr>
          <w:rFonts w:eastAsia="MS Mincho" w:cs="Arial"/>
          <w:color w:val="FF0000"/>
          <w:sz w:val="22"/>
          <w:szCs w:val="22"/>
          <w:shd w:val="clear" w:color="auto" w:fill="FFFFFF"/>
        </w:rPr>
      </w:pPr>
      <w:r w:rsidRPr="00706F86">
        <w:rPr>
          <w:rFonts w:eastAsia="MS Mincho" w:cs="Arial"/>
          <w:sz w:val="22"/>
          <w:szCs w:val="22"/>
          <w:shd w:val="clear" w:color="auto" w:fill="FFFFFF"/>
        </w:rPr>
        <w:t>Prepares pupils for the next phase of their education and exposes them to the rich opportunities for future education and employment.</w:t>
      </w:r>
    </w:p>
    <w:p w14:paraId="31DFA780" w14:textId="77777777" w:rsidR="00456549" w:rsidRPr="00BB064B" w:rsidRDefault="00CA7BF5" w:rsidP="0011435C">
      <w:pPr>
        <w:pStyle w:val="Heading1"/>
        <w:rPr>
          <w:rFonts w:cs="Arial"/>
          <w:sz w:val="22"/>
          <w:szCs w:val="22"/>
        </w:rPr>
      </w:pPr>
      <w:bookmarkStart w:id="2" w:name="_Toc496795956"/>
      <w:r w:rsidRPr="00BB064B">
        <w:rPr>
          <w:rFonts w:cs="Arial"/>
          <w:sz w:val="22"/>
          <w:szCs w:val="22"/>
        </w:rPr>
        <w:t>2</w:t>
      </w:r>
      <w:r w:rsidR="00456549" w:rsidRPr="00BB064B">
        <w:rPr>
          <w:rFonts w:cs="Arial"/>
          <w:sz w:val="22"/>
          <w:szCs w:val="22"/>
        </w:rPr>
        <w:t xml:space="preserve">. </w:t>
      </w:r>
      <w:r w:rsidRPr="00BB064B">
        <w:rPr>
          <w:rFonts w:cs="Arial"/>
          <w:sz w:val="22"/>
          <w:szCs w:val="22"/>
        </w:rPr>
        <w:t>Legislation and guidance</w:t>
      </w:r>
      <w:bookmarkEnd w:id="2"/>
    </w:p>
    <w:p w14:paraId="1E346568" w14:textId="77777777" w:rsidR="00CA7BF5" w:rsidRPr="00BB064B" w:rsidRDefault="00CA7BF5" w:rsidP="007B096D">
      <w:pPr>
        <w:rPr>
          <w:rFonts w:cs="Arial"/>
          <w:sz w:val="22"/>
          <w:szCs w:val="22"/>
        </w:rPr>
      </w:pPr>
      <w:r w:rsidRPr="00BB064B">
        <w:rPr>
          <w:rFonts w:cs="Arial"/>
          <w:sz w:val="22"/>
          <w:szCs w:val="22"/>
          <w:lang w:val="en-GB"/>
        </w:rPr>
        <w:t xml:space="preserve">This policy reflects the requirements for academies to provide a broad and balanced curriculum as per the </w:t>
      </w:r>
      <w:hyperlink r:id="rId12" w:history="1">
        <w:r w:rsidRPr="00BB064B">
          <w:rPr>
            <w:rStyle w:val="Hyperlink"/>
            <w:rFonts w:cs="Arial"/>
            <w:sz w:val="22"/>
            <w:szCs w:val="22"/>
            <w:lang w:val="en-GB"/>
          </w:rPr>
          <w:t>Academies Act 2010</w:t>
        </w:r>
      </w:hyperlink>
      <w:r w:rsidRPr="00BB064B">
        <w:rPr>
          <w:rFonts w:cs="Arial"/>
          <w:sz w:val="22"/>
          <w:szCs w:val="22"/>
          <w:lang w:val="en-GB"/>
        </w:rPr>
        <w:t xml:space="preserve">, and the </w:t>
      </w:r>
      <w:hyperlink r:id="rId13" w:history="1">
        <w:r w:rsidRPr="00BB064B">
          <w:rPr>
            <w:rStyle w:val="Hyperlink"/>
            <w:rFonts w:cs="Arial"/>
            <w:sz w:val="22"/>
            <w:szCs w:val="22"/>
            <w:lang w:val="en-GB"/>
          </w:rPr>
          <w:t>National Curriculum programmes of study</w:t>
        </w:r>
      </w:hyperlink>
      <w:r w:rsidR="00C71B66" w:rsidRPr="00BB064B">
        <w:rPr>
          <w:rFonts w:cs="Arial"/>
          <w:sz w:val="22"/>
          <w:szCs w:val="22"/>
        </w:rPr>
        <w:t xml:space="preserve"> which </w:t>
      </w:r>
      <w:r w:rsidR="00A12932" w:rsidRPr="00BB064B">
        <w:rPr>
          <w:rFonts w:cs="Arial"/>
          <w:sz w:val="22"/>
          <w:szCs w:val="22"/>
        </w:rPr>
        <w:t>the school has</w:t>
      </w:r>
      <w:r w:rsidR="00C71B66" w:rsidRPr="00BB064B">
        <w:rPr>
          <w:rFonts w:cs="Arial"/>
          <w:sz w:val="22"/>
          <w:szCs w:val="22"/>
        </w:rPr>
        <w:t xml:space="preserve"> chosen to follow.</w:t>
      </w:r>
    </w:p>
    <w:p w14:paraId="58C72407" w14:textId="77777777" w:rsidR="00CA7BF5" w:rsidRPr="00BB064B" w:rsidRDefault="00CA7BF5" w:rsidP="007B096D">
      <w:pPr>
        <w:rPr>
          <w:rFonts w:cs="Arial"/>
          <w:sz w:val="22"/>
          <w:szCs w:val="22"/>
          <w:lang w:val="en-GB"/>
        </w:rPr>
      </w:pPr>
      <w:r w:rsidRPr="00BB064B">
        <w:rPr>
          <w:rFonts w:cs="Arial"/>
          <w:sz w:val="22"/>
          <w:szCs w:val="22"/>
          <w:lang w:val="en-GB"/>
        </w:rPr>
        <w:t xml:space="preserve">It also reflects requirements for inclusion and equality as set out in the </w:t>
      </w:r>
      <w:hyperlink r:id="rId14" w:history="1">
        <w:r w:rsidRPr="00BB064B">
          <w:rPr>
            <w:rStyle w:val="Hyperlink"/>
            <w:rFonts w:cs="Arial"/>
            <w:sz w:val="22"/>
            <w:szCs w:val="22"/>
            <w:lang w:val="en-GB"/>
          </w:rPr>
          <w:t>Special Educational Needs and Disability Code of Practice 2014</w:t>
        </w:r>
      </w:hyperlink>
      <w:r w:rsidRPr="00BB064B">
        <w:rPr>
          <w:rFonts w:cs="Arial"/>
          <w:sz w:val="22"/>
          <w:szCs w:val="22"/>
          <w:lang w:val="en-GB"/>
        </w:rPr>
        <w:t xml:space="preserve"> and </w:t>
      </w:r>
      <w:hyperlink r:id="rId15" w:history="1">
        <w:r w:rsidRPr="00BB064B">
          <w:rPr>
            <w:rStyle w:val="Hyperlink"/>
            <w:rFonts w:cs="Arial"/>
            <w:sz w:val="22"/>
            <w:szCs w:val="22"/>
            <w:lang w:val="en-GB"/>
          </w:rPr>
          <w:t>Equality Act 2010</w:t>
        </w:r>
      </w:hyperlink>
      <w:r w:rsidRPr="00BB064B">
        <w:rPr>
          <w:rFonts w:cs="Arial"/>
          <w:sz w:val="22"/>
          <w:szCs w:val="22"/>
          <w:lang w:val="en-GB"/>
        </w:rPr>
        <w:t>, and refers to curriculum-related expectations of governing boards set out in the</w:t>
      </w:r>
      <w:r w:rsidR="00A12932" w:rsidRPr="00BB064B">
        <w:rPr>
          <w:rFonts w:cs="Arial"/>
          <w:sz w:val="22"/>
          <w:szCs w:val="22"/>
          <w:lang w:val="en-GB"/>
        </w:rPr>
        <w:t xml:space="preserve"> Department for Education’s</w:t>
      </w:r>
      <w:r w:rsidRPr="00BB064B">
        <w:rPr>
          <w:rFonts w:cs="Arial"/>
          <w:sz w:val="22"/>
          <w:szCs w:val="22"/>
          <w:lang w:val="en-GB"/>
        </w:rPr>
        <w:t xml:space="preserve"> </w:t>
      </w:r>
      <w:hyperlink r:id="rId16" w:history="1">
        <w:r w:rsidRPr="00BB064B">
          <w:rPr>
            <w:rStyle w:val="Hyperlink"/>
            <w:rFonts w:cs="Arial"/>
            <w:sz w:val="22"/>
            <w:szCs w:val="22"/>
            <w:lang w:val="en-GB"/>
          </w:rPr>
          <w:t>Governance Handbook</w:t>
        </w:r>
      </w:hyperlink>
      <w:r w:rsidRPr="00BB064B">
        <w:rPr>
          <w:rFonts w:cs="Arial"/>
          <w:sz w:val="22"/>
          <w:szCs w:val="22"/>
          <w:lang w:val="en-GB"/>
        </w:rPr>
        <w:t>.</w:t>
      </w:r>
    </w:p>
    <w:p w14:paraId="0C3F1824" w14:textId="77777777" w:rsidR="00CA7BF5" w:rsidRPr="00BB064B" w:rsidRDefault="00CA7BF5" w:rsidP="007B096D">
      <w:pPr>
        <w:rPr>
          <w:rFonts w:cs="Arial"/>
          <w:sz w:val="22"/>
          <w:szCs w:val="22"/>
          <w:lang w:val="en-GB"/>
        </w:rPr>
      </w:pPr>
      <w:r w:rsidRPr="00BB064B">
        <w:rPr>
          <w:rFonts w:cs="Arial"/>
          <w:sz w:val="22"/>
          <w:szCs w:val="22"/>
        </w:rPr>
        <w:t xml:space="preserve">It </w:t>
      </w:r>
      <w:r w:rsidRPr="00BB064B">
        <w:rPr>
          <w:rFonts w:cs="Arial"/>
          <w:sz w:val="22"/>
          <w:szCs w:val="22"/>
          <w:lang w:val="en-GB"/>
        </w:rPr>
        <w:t>complies with our funding agreement and articles of association.</w:t>
      </w:r>
    </w:p>
    <w:p w14:paraId="2CF4E26D" w14:textId="77777777" w:rsidR="00CA7BF5" w:rsidRPr="00BB064B" w:rsidRDefault="00CA7BF5" w:rsidP="007B096D">
      <w:pPr>
        <w:rPr>
          <w:rFonts w:cs="Arial"/>
          <w:sz w:val="22"/>
          <w:szCs w:val="22"/>
        </w:rPr>
      </w:pPr>
      <w:r w:rsidRPr="00BB064B">
        <w:rPr>
          <w:rFonts w:cs="Arial"/>
          <w:sz w:val="22"/>
          <w:szCs w:val="22"/>
          <w:lang w:val="en-GB"/>
        </w:rPr>
        <w:t xml:space="preserve">In addition, this policy acknowledges the requirements for promoting the learning and development of children set out in the </w:t>
      </w:r>
      <w:hyperlink r:id="rId17" w:history="1">
        <w:r w:rsidRPr="00BB064B">
          <w:rPr>
            <w:rStyle w:val="Hyperlink"/>
            <w:rFonts w:cs="Arial"/>
            <w:sz w:val="22"/>
            <w:szCs w:val="22"/>
            <w:lang w:val="en-GB"/>
          </w:rPr>
          <w:t>Early Years Foundation Stage (EYFS) statutory framework</w:t>
        </w:r>
      </w:hyperlink>
      <w:r w:rsidRPr="00BB064B">
        <w:rPr>
          <w:rFonts w:cs="Arial"/>
          <w:sz w:val="22"/>
          <w:szCs w:val="22"/>
          <w:lang w:val="en-GB"/>
        </w:rPr>
        <w:t>.</w:t>
      </w:r>
    </w:p>
    <w:p w14:paraId="7726E004" w14:textId="77777777" w:rsidR="00456549" w:rsidRPr="00BB064B" w:rsidRDefault="00CA7BF5" w:rsidP="0011435C">
      <w:pPr>
        <w:pStyle w:val="Heading1"/>
        <w:rPr>
          <w:rFonts w:cs="Arial"/>
          <w:sz w:val="22"/>
          <w:szCs w:val="22"/>
        </w:rPr>
      </w:pPr>
      <w:bookmarkStart w:id="3" w:name="_Toc496795957"/>
      <w:r w:rsidRPr="00BB064B">
        <w:rPr>
          <w:rFonts w:cs="Arial"/>
          <w:sz w:val="22"/>
          <w:szCs w:val="22"/>
        </w:rPr>
        <w:t>3. Roles and responsibilities</w:t>
      </w:r>
      <w:bookmarkEnd w:id="3"/>
    </w:p>
    <w:p w14:paraId="108301EF" w14:textId="77777777" w:rsidR="00975111" w:rsidRPr="00BB064B" w:rsidRDefault="00975111" w:rsidP="00975111">
      <w:pPr>
        <w:rPr>
          <w:rFonts w:cs="Arial"/>
          <w:b/>
          <w:sz w:val="22"/>
          <w:szCs w:val="22"/>
        </w:rPr>
      </w:pPr>
      <w:r w:rsidRPr="00BB064B">
        <w:rPr>
          <w:rFonts w:cs="Arial"/>
          <w:b/>
          <w:sz w:val="22"/>
          <w:szCs w:val="22"/>
        </w:rPr>
        <w:t>3.1 The Trust Board</w:t>
      </w:r>
    </w:p>
    <w:p w14:paraId="68DE1FAA" w14:textId="77777777" w:rsidR="00975111" w:rsidRPr="00BB064B" w:rsidRDefault="00975111" w:rsidP="00975111">
      <w:pPr>
        <w:rPr>
          <w:rFonts w:cs="Arial"/>
          <w:sz w:val="22"/>
          <w:szCs w:val="22"/>
        </w:rPr>
      </w:pPr>
      <w:r w:rsidRPr="00BB064B">
        <w:rPr>
          <w:rFonts w:cs="Arial"/>
          <w:sz w:val="22"/>
          <w:szCs w:val="22"/>
        </w:rPr>
        <w:t>The Trust Board will monitor the effectiveness of this policy across the schools within our Trust. It delegates responsibility for curriculum design to Governing Bodies under the framework of this policy.</w:t>
      </w:r>
    </w:p>
    <w:p w14:paraId="0FC5BAD8" w14:textId="77777777" w:rsidR="00CA7BF5" w:rsidRPr="00BB064B" w:rsidRDefault="00CA7BF5" w:rsidP="00CA7BF5">
      <w:pPr>
        <w:rPr>
          <w:rFonts w:cs="Arial"/>
          <w:b/>
          <w:sz w:val="22"/>
          <w:szCs w:val="22"/>
        </w:rPr>
      </w:pPr>
      <w:r w:rsidRPr="00BB064B">
        <w:rPr>
          <w:rFonts w:cs="Arial"/>
          <w:b/>
          <w:sz w:val="22"/>
          <w:szCs w:val="22"/>
        </w:rPr>
        <w:t>3.1 The governing board</w:t>
      </w:r>
    </w:p>
    <w:p w14:paraId="23DCFBCE" w14:textId="77777777" w:rsidR="001B4527" w:rsidRPr="00BB064B" w:rsidRDefault="00CA7BF5" w:rsidP="009D71AD">
      <w:pPr>
        <w:rPr>
          <w:rFonts w:cs="Arial"/>
          <w:sz w:val="22"/>
          <w:szCs w:val="22"/>
          <w:lang w:val="en-GB"/>
        </w:rPr>
      </w:pPr>
      <w:r w:rsidRPr="00BB064B">
        <w:rPr>
          <w:rFonts w:cs="Arial"/>
          <w:sz w:val="22"/>
          <w:szCs w:val="22"/>
          <w:lang w:val="en-GB"/>
        </w:rPr>
        <w:lastRenderedPageBreak/>
        <w:t xml:space="preserve">The governing board </w:t>
      </w:r>
      <w:r w:rsidR="00427C5C" w:rsidRPr="00BB064B">
        <w:rPr>
          <w:rFonts w:cs="Arial"/>
          <w:sz w:val="22"/>
          <w:szCs w:val="22"/>
          <w:lang w:val="en-GB"/>
        </w:rPr>
        <w:t>will monitor the effectiveness of this policy and hold the headteacher to account for its</w:t>
      </w:r>
      <w:r w:rsidR="001B4527" w:rsidRPr="00BB064B">
        <w:rPr>
          <w:rFonts w:cs="Arial"/>
          <w:sz w:val="22"/>
          <w:szCs w:val="22"/>
          <w:lang w:val="en-GB"/>
        </w:rPr>
        <w:t xml:space="preserve"> implementation.</w:t>
      </w:r>
    </w:p>
    <w:p w14:paraId="530C44F3" w14:textId="77777777" w:rsidR="00CA7BF5" w:rsidRPr="00BB064B" w:rsidRDefault="00427C5C" w:rsidP="009D71AD">
      <w:pPr>
        <w:rPr>
          <w:rFonts w:cs="Arial"/>
          <w:sz w:val="22"/>
          <w:szCs w:val="22"/>
          <w:lang w:val="en-GB"/>
        </w:rPr>
      </w:pPr>
      <w:r w:rsidRPr="00BB064B">
        <w:rPr>
          <w:rFonts w:cs="Arial"/>
          <w:sz w:val="22"/>
          <w:szCs w:val="22"/>
          <w:lang w:val="en-GB"/>
        </w:rPr>
        <w:t xml:space="preserve">The governing board will also </w:t>
      </w:r>
      <w:r w:rsidR="00CA7BF5" w:rsidRPr="00BB064B">
        <w:rPr>
          <w:rFonts w:cs="Arial"/>
          <w:sz w:val="22"/>
          <w:szCs w:val="22"/>
          <w:lang w:val="en-GB"/>
        </w:rPr>
        <w:t>ensure that:</w:t>
      </w:r>
    </w:p>
    <w:p w14:paraId="1FB0469B" w14:textId="77777777" w:rsidR="00E82FB1" w:rsidRPr="00BB064B" w:rsidRDefault="00E82FB1" w:rsidP="00E82FB1">
      <w:pPr>
        <w:pStyle w:val="ColorfulList-Accent11"/>
        <w:rPr>
          <w:rFonts w:cs="Arial"/>
          <w:sz w:val="22"/>
          <w:szCs w:val="22"/>
        </w:rPr>
      </w:pPr>
      <w:r w:rsidRPr="00BB064B">
        <w:rPr>
          <w:rFonts w:cs="Arial"/>
          <w:sz w:val="22"/>
          <w:szCs w:val="22"/>
        </w:rPr>
        <w:t xml:space="preserve">A robust framework is in place for setting curriculum priorities and aspirational </w:t>
      </w:r>
      <w:proofErr w:type="gramStart"/>
      <w:r w:rsidRPr="00BB064B">
        <w:rPr>
          <w:rFonts w:cs="Arial"/>
          <w:sz w:val="22"/>
          <w:szCs w:val="22"/>
        </w:rPr>
        <w:t>targets</w:t>
      </w:r>
      <w:proofErr w:type="gramEnd"/>
    </w:p>
    <w:p w14:paraId="1DBCC64A" w14:textId="77777777" w:rsidR="00CA7BF5" w:rsidRPr="00BB064B" w:rsidRDefault="00CA7BF5" w:rsidP="009D71AD">
      <w:pPr>
        <w:pStyle w:val="ColorfulList-Accent11"/>
        <w:rPr>
          <w:rFonts w:cs="Arial"/>
          <w:sz w:val="22"/>
          <w:szCs w:val="22"/>
        </w:rPr>
      </w:pPr>
      <w:r w:rsidRPr="00BB064B">
        <w:rPr>
          <w:rFonts w:cs="Arial"/>
          <w:sz w:val="22"/>
          <w:szCs w:val="22"/>
        </w:rPr>
        <w:t xml:space="preserve">Enough teaching time is provided for pupils to cover the National Curriculum and other statutory </w:t>
      </w:r>
      <w:proofErr w:type="gramStart"/>
      <w:r w:rsidRPr="00BB064B">
        <w:rPr>
          <w:rFonts w:cs="Arial"/>
          <w:sz w:val="22"/>
          <w:szCs w:val="22"/>
        </w:rPr>
        <w:t>requirements</w:t>
      </w:r>
      <w:proofErr w:type="gramEnd"/>
    </w:p>
    <w:p w14:paraId="55EB0F43" w14:textId="3F1D97E7" w:rsidR="00CA7BF5" w:rsidRPr="00BB064B" w:rsidRDefault="00316437" w:rsidP="009D71AD">
      <w:pPr>
        <w:pStyle w:val="ColorfulList-Accent11"/>
        <w:rPr>
          <w:rFonts w:cs="Arial"/>
          <w:sz w:val="22"/>
          <w:szCs w:val="22"/>
        </w:rPr>
      </w:pPr>
      <w:r w:rsidRPr="00BB064B">
        <w:rPr>
          <w:rFonts w:eastAsia="MS Mincho" w:cs="Arial"/>
          <w:sz w:val="22"/>
          <w:szCs w:val="22"/>
          <w:shd w:val="clear" w:color="auto" w:fill="FFFFFF"/>
        </w:rPr>
        <w:t>The</w:t>
      </w:r>
      <w:r w:rsidRPr="4B1ED9C2">
        <w:rPr>
          <w:rFonts w:eastAsia="MS Mincho" w:cs="Arial"/>
          <w:i/>
          <w:iCs/>
          <w:color w:val="F15F22"/>
          <w:sz w:val="22"/>
          <w:szCs w:val="22"/>
          <w:shd w:val="clear" w:color="auto" w:fill="FFFFFF"/>
        </w:rPr>
        <w:t xml:space="preserve"> </w:t>
      </w:r>
      <w:r w:rsidR="00CA7BF5" w:rsidRPr="00BB064B">
        <w:rPr>
          <w:rFonts w:cs="Arial"/>
          <w:sz w:val="22"/>
          <w:szCs w:val="22"/>
        </w:rPr>
        <w:t>school is complying w</w:t>
      </w:r>
      <w:r w:rsidR="005A3D87" w:rsidRPr="00BB064B">
        <w:rPr>
          <w:rFonts w:cs="Arial"/>
          <w:sz w:val="22"/>
          <w:szCs w:val="22"/>
        </w:rPr>
        <w:t xml:space="preserve">ith </w:t>
      </w:r>
      <w:r w:rsidR="00A12932" w:rsidRPr="00BB064B">
        <w:rPr>
          <w:rFonts w:cs="Arial"/>
          <w:sz w:val="22"/>
          <w:szCs w:val="22"/>
        </w:rPr>
        <w:t>its</w:t>
      </w:r>
      <w:r w:rsidR="005A3D87" w:rsidRPr="00BB064B">
        <w:rPr>
          <w:rFonts w:cs="Arial"/>
          <w:sz w:val="22"/>
          <w:szCs w:val="22"/>
        </w:rPr>
        <w:t xml:space="preserve"> funding agreement and</w:t>
      </w:r>
      <w:r w:rsidR="00CA7BF5" w:rsidRPr="00BB064B">
        <w:rPr>
          <w:rFonts w:cs="Arial"/>
          <w:sz w:val="22"/>
          <w:szCs w:val="22"/>
        </w:rPr>
        <w:t xml:space="preserve"> teaching a "broad and balanced curriculum" </w:t>
      </w:r>
      <w:r w:rsidR="005A3D87" w:rsidRPr="00BB064B">
        <w:rPr>
          <w:rFonts w:cs="Arial"/>
          <w:sz w:val="22"/>
          <w:szCs w:val="22"/>
        </w:rPr>
        <w:t>and enough teaching time is provided for pupils to cover the requirements of the funding agreement. (A school week should be at least 32.5hrs per week)</w:t>
      </w:r>
    </w:p>
    <w:p w14:paraId="66143999" w14:textId="77777777" w:rsidR="00004D60" w:rsidRPr="00BB064B" w:rsidRDefault="00004D60" w:rsidP="00004D60">
      <w:pPr>
        <w:pStyle w:val="ColorfulList-Accent11"/>
        <w:rPr>
          <w:rFonts w:cs="Arial"/>
          <w:sz w:val="22"/>
          <w:szCs w:val="22"/>
        </w:rPr>
      </w:pPr>
      <w:r w:rsidRPr="00BB064B">
        <w:rPr>
          <w:rFonts w:cs="Arial"/>
          <w:sz w:val="22"/>
          <w:szCs w:val="22"/>
        </w:rPr>
        <w:t>Proper provision is made for pupils with different abilities and needs, including children with special educational needs (SEN</w:t>
      </w:r>
      <w:r w:rsidR="00316437" w:rsidRPr="00BB064B">
        <w:rPr>
          <w:rFonts w:cs="Arial"/>
          <w:sz w:val="22"/>
          <w:szCs w:val="22"/>
        </w:rPr>
        <w:t>D</w:t>
      </w:r>
      <w:r w:rsidRPr="00BB064B">
        <w:rPr>
          <w:rFonts w:cs="Arial"/>
          <w:sz w:val="22"/>
          <w:szCs w:val="22"/>
        </w:rPr>
        <w:t>)</w:t>
      </w:r>
    </w:p>
    <w:p w14:paraId="7F3E50D0" w14:textId="77777777" w:rsidR="00CA7BF5" w:rsidRPr="00BB064B" w:rsidRDefault="00CA7BF5" w:rsidP="009D71AD">
      <w:pPr>
        <w:pStyle w:val="ColorfulList-Accent11"/>
        <w:rPr>
          <w:rFonts w:cs="Arial"/>
          <w:sz w:val="22"/>
          <w:szCs w:val="22"/>
        </w:rPr>
      </w:pPr>
      <w:r w:rsidRPr="00BB064B">
        <w:rPr>
          <w:rFonts w:cs="Arial"/>
          <w:sz w:val="22"/>
          <w:szCs w:val="22"/>
        </w:rPr>
        <w:t>The</w:t>
      </w:r>
      <w:r w:rsidR="00004D60" w:rsidRPr="00BB064B">
        <w:rPr>
          <w:rFonts w:cs="Arial"/>
          <w:sz w:val="22"/>
          <w:szCs w:val="22"/>
        </w:rPr>
        <w:t xml:space="preserve"> school implements the</w:t>
      </w:r>
      <w:r w:rsidRPr="00BB064B">
        <w:rPr>
          <w:rFonts w:cs="Arial"/>
          <w:sz w:val="22"/>
          <w:szCs w:val="22"/>
        </w:rPr>
        <w:t xml:space="preserve"> relevant statutory assessment </w:t>
      </w:r>
      <w:proofErr w:type="gramStart"/>
      <w:r w:rsidRPr="00BB064B">
        <w:rPr>
          <w:rFonts w:cs="Arial"/>
          <w:sz w:val="22"/>
          <w:szCs w:val="22"/>
        </w:rPr>
        <w:t>arrangements</w:t>
      </w:r>
      <w:proofErr w:type="gramEnd"/>
    </w:p>
    <w:p w14:paraId="2F1811A6" w14:textId="77777777" w:rsidR="00316437" w:rsidRPr="00BB064B" w:rsidRDefault="00316437" w:rsidP="009D71AD">
      <w:pPr>
        <w:pStyle w:val="ColorfulList-Accent11"/>
        <w:rPr>
          <w:rFonts w:cs="Arial"/>
          <w:sz w:val="22"/>
          <w:szCs w:val="22"/>
        </w:rPr>
      </w:pPr>
      <w:r w:rsidRPr="00BB064B">
        <w:rPr>
          <w:rFonts w:cs="Arial"/>
          <w:sz w:val="22"/>
          <w:szCs w:val="22"/>
        </w:rPr>
        <w:t>The school has a considered approach to the wider curriculum and the opportunities available to all pupils, including those who may be disadvantaged, to be exposed to opportunities to develop their ‘cultural capital’.</w:t>
      </w:r>
    </w:p>
    <w:p w14:paraId="006671BE" w14:textId="77777777" w:rsidR="00CA7BF5" w:rsidRPr="00BB064B" w:rsidRDefault="00CA7BF5" w:rsidP="009D71AD">
      <w:pPr>
        <w:pStyle w:val="ColorfulList-Accent11"/>
        <w:rPr>
          <w:rFonts w:cs="Arial"/>
          <w:sz w:val="22"/>
          <w:szCs w:val="22"/>
        </w:rPr>
      </w:pPr>
      <w:r w:rsidRPr="00BB064B">
        <w:rPr>
          <w:rFonts w:cs="Arial"/>
          <w:sz w:val="22"/>
          <w:szCs w:val="22"/>
        </w:rPr>
        <w:t>It participates actively in decision-making about the breadth and balance of the curriculum</w:t>
      </w:r>
      <w:r w:rsidR="00316437" w:rsidRPr="00BB064B">
        <w:rPr>
          <w:rFonts w:cs="Arial"/>
          <w:sz w:val="22"/>
          <w:szCs w:val="22"/>
        </w:rPr>
        <w:t xml:space="preserve"> and has a good understanding of how the curriculum plan is implemented and how its impact is assessed.</w:t>
      </w:r>
    </w:p>
    <w:p w14:paraId="1E019997" w14:textId="77777777" w:rsidR="00316437" w:rsidRPr="00BB064B" w:rsidRDefault="00316437" w:rsidP="009D71AD">
      <w:pPr>
        <w:pStyle w:val="ColorfulList-Accent11"/>
        <w:rPr>
          <w:rFonts w:cs="Arial"/>
          <w:sz w:val="22"/>
          <w:szCs w:val="22"/>
        </w:rPr>
      </w:pPr>
      <w:r w:rsidRPr="00BB064B">
        <w:rPr>
          <w:rFonts w:cs="Arial"/>
          <w:sz w:val="22"/>
          <w:szCs w:val="22"/>
        </w:rPr>
        <w:t xml:space="preserve">It understands how any disapplication, or separation of teaching, operates and that there </w:t>
      </w:r>
      <w:proofErr w:type="gramStart"/>
      <w:r w:rsidR="00BB064B">
        <w:rPr>
          <w:rFonts w:cs="Arial"/>
          <w:sz w:val="22"/>
          <w:szCs w:val="22"/>
        </w:rPr>
        <w:t>is</w:t>
      </w:r>
      <w:proofErr w:type="gramEnd"/>
      <w:r w:rsidR="00BB064B">
        <w:rPr>
          <w:rFonts w:cs="Arial"/>
          <w:sz w:val="22"/>
          <w:szCs w:val="22"/>
        </w:rPr>
        <w:t xml:space="preserve"> </w:t>
      </w:r>
      <w:r w:rsidRPr="00BB064B">
        <w:rPr>
          <w:rFonts w:cs="Arial"/>
          <w:sz w:val="22"/>
          <w:szCs w:val="22"/>
        </w:rPr>
        <w:t>sound educational reasons for this to happen</w:t>
      </w:r>
    </w:p>
    <w:p w14:paraId="137D37B4" w14:textId="77777777" w:rsidR="00CA7BF5" w:rsidRPr="00BB064B" w:rsidRDefault="00CA7BF5" w:rsidP="009D71AD">
      <w:pPr>
        <w:pStyle w:val="ColorfulList-Accent11"/>
        <w:rPr>
          <w:rFonts w:cs="Arial"/>
          <w:sz w:val="22"/>
          <w:szCs w:val="22"/>
        </w:rPr>
      </w:pPr>
      <w:r w:rsidRPr="00BB064B">
        <w:rPr>
          <w:rFonts w:cs="Arial"/>
          <w:sz w:val="22"/>
          <w:szCs w:val="22"/>
        </w:rPr>
        <w:t>Pupils from year 8 onwards are provided with independent</w:t>
      </w:r>
      <w:r w:rsidR="009A058F" w:rsidRPr="00BB064B">
        <w:rPr>
          <w:rFonts w:cs="Arial"/>
          <w:sz w:val="22"/>
          <w:szCs w:val="22"/>
        </w:rPr>
        <w:t>, impartial</w:t>
      </w:r>
      <w:r w:rsidRPr="00BB064B">
        <w:rPr>
          <w:rFonts w:cs="Arial"/>
          <w:sz w:val="22"/>
          <w:szCs w:val="22"/>
        </w:rPr>
        <w:t xml:space="preserve"> careers guidance</w:t>
      </w:r>
      <w:r w:rsidR="00965A5E" w:rsidRPr="00BB064B">
        <w:rPr>
          <w:rFonts w:cs="Arial"/>
          <w:sz w:val="22"/>
          <w:szCs w:val="22"/>
        </w:rPr>
        <w:t>, and that this</w:t>
      </w:r>
      <w:r w:rsidR="009A058F" w:rsidRPr="00BB064B">
        <w:rPr>
          <w:rFonts w:cs="Arial"/>
          <w:sz w:val="22"/>
          <w:szCs w:val="22"/>
        </w:rPr>
        <w:t xml:space="preserve"> is appropriately </w:t>
      </w:r>
      <w:proofErr w:type="gramStart"/>
      <w:r w:rsidR="009A058F" w:rsidRPr="00BB064B">
        <w:rPr>
          <w:rFonts w:cs="Arial"/>
          <w:sz w:val="22"/>
          <w:szCs w:val="22"/>
        </w:rPr>
        <w:t>resourced</w:t>
      </w:r>
      <w:proofErr w:type="gramEnd"/>
    </w:p>
    <w:p w14:paraId="2F8FDFC9" w14:textId="77777777" w:rsidR="00CA7BF5" w:rsidRPr="00BB064B" w:rsidRDefault="00CA7BF5" w:rsidP="00CA7BF5">
      <w:pPr>
        <w:rPr>
          <w:rFonts w:cs="Arial"/>
          <w:b/>
          <w:sz w:val="22"/>
          <w:szCs w:val="22"/>
        </w:rPr>
      </w:pPr>
      <w:r w:rsidRPr="00BB064B">
        <w:rPr>
          <w:rFonts w:cs="Arial"/>
          <w:b/>
          <w:sz w:val="22"/>
          <w:szCs w:val="22"/>
        </w:rPr>
        <w:t>3.2 Headteacher</w:t>
      </w:r>
    </w:p>
    <w:p w14:paraId="5050C88A" w14:textId="77777777" w:rsidR="00CA7BF5" w:rsidRPr="00BB064B" w:rsidRDefault="00CA7BF5" w:rsidP="00CA7BF5">
      <w:pPr>
        <w:rPr>
          <w:rFonts w:cs="Arial"/>
          <w:sz w:val="22"/>
          <w:szCs w:val="22"/>
          <w:lang w:val="en-GB"/>
        </w:rPr>
      </w:pPr>
      <w:r w:rsidRPr="00BB064B">
        <w:rPr>
          <w:rFonts w:cs="Arial"/>
          <w:sz w:val="22"/>
          <w:szCs w:val="22"/>
          <w:lang w:val="en-GB"/>
        </w:rPr>
        <w:t xml:space="preserve">The headteacher </w:t>
      </w:r>
      <w:r w:rsidR="00427C5C" w:rsidRPr="00BB064B">
        <w:rPr>
          <w:rFonts w:cs="Arial"/>
          <w:sz w:val="22"/>
          <w:szCs w:val="22"/>
          <w:lang w:val="en-GB"/>
        </w:rPr>
        <w:t>is responsible for ensuring that this policy is adhered to, and that</w:t>
      </w:r>
      <w:r w:rsidRPr="00BB064B">
        <w:rPr>
          <w:rFonts w:cs="Arial"/>
          <w:sz w:val="22"/>
          <w:szCs w:val="22"/>
          <w:lang w:val="en-GB"/>
        </w:rPr>
        <w:t>:</w:t>
      </w:r>
    </w:p>
    <w:p w14:paraId="1B53700E" w14:textId="77777777" w:rsidR="00295B4D" w:rsidRPr="00BB064B" w:rsidRDefault="00CA7BF5" w:rsidP="00D50311">
      <w:pPr>
        <w:pStyle w:val="ColorfulList-Accent11"/>
        <w:rPr>
          <w:rFonts w:cs="Arial"/>
          <w:sz w:val="22"/>
          <w:szCs w:val="22"/>
        </w:rPr>
      </w:pPr>
      <w:r w:rsidRPr="00BB064B">
        <w:rPr>
          <w:rFonts w:cs="Arial"/>
          <w:sz w:val="22"/>
          <w:szCs w:val="22"/>
        </w:rPr>
        <w:t xml:space="preserve">All </w:t>
      </w:r>
      <w:r w:rsidR="00295B4D" w:rsidRPr="00BB064B">
        <w:rPr>
          <w:rFonts w:cs="Arial"/>
          <w:sz w:val="22"/>
          <w:szCs w:val="22"/>
        </w:rPr>
        <w:t>required</w:t>
      </w:r>
      <w:r w:rsidRPr="00BB064B">
        <w:rPr>
          <w:rFonts w:cs="Arial"/>
          <w:sz w:val="22"/>
          <w:szCs w:val="22"/>
        </w:rPr>
        <w:t xml:space="preserve"> elements of the curriculum, and those subjects which the school chooses to offer, have aims and objectives which reflect the aims of the school and indicate how the needs of individual pupils will be </w:t>
      </w:r>
      <w:proofErr w:type="gramStart"/>
      <w:r w:rsidR="008B4C6F" w:rsidRPr="00BB064B">
        <w:rPr>
          <w:rFonts w:cs="Arial"/>
          <w:sz w:val="22"/>
          <w:szCs w:val="22"/>
        </w:rPr>
        <w:t>met</w:t>
      </w:r>
      <w:proofErr w:type="gramEnd"/>
    </w:p>
    <w:p w14:paraId="38EE8856" w14:textId="77777777" w:rsidR="00CA7BF5" w:rsidRPr="00BB064B" w:rsidRDefault="00CA7BF5" w:rsidP="00D50311">
      <w:pPr>
        <w:pStyle w:val="ColorfulList-Accent11"/>
        <w:rPr>
          <w:rFonts w:cs="Arial"/>
          <w:sz w:val="22"/>
          <w:szCs w:val="22"/>
        </w:rPr>
      </w:pPr>
      <w:r w:rsidRPr="00BB064B">
        <w:rPr>
          <w:rFonts w:cs="Arial"/>
          <w:sz w:val="22"/>
          <w:szCs w:val="22"/>
        </w:rPr>
        <w:t xml:space="preserve">The amount of time provided for teaching the </w:t>
      </w:r>
      <w:r w:rsidR="00295B4D" w:rsidRPr="00BB064B">
        <w:rPr>
          <w:rFonts w:cs="Arial"/>
          <w:sz w:val="22"/>
          <w:szCs w:val="22"/>
        </w:rPr>
        <w:t xml:space="preserve">required elements of the </w:t>
      </w:r>
      <w:r w:rsidRPr="00BB064B">
        <w:rPr>
          <w:rFonts w:cs="Arial"/>
          <w:sz w:val="22"/>
          <w:szCs w:val="22"/>
        </w:rPr>
        <w:t xml:space="preserve">curriculum is adequate and is reviewed by the governing </w:t>
      </w:r>
      <w:proofErr w:type="gramStart"/>
      <w:r w:rsidRPr="00BB064B">
        <w:rPr>
          <w:rFonts w:cs="Arial"/>
          <w:sz w:val="22"/>
          <w:szCs w:val="22"/>
        </w:rPr>
        <w:t>board</w:t>
      </w:r>
      <w:proofErr w:type="gramEnd"/>
    </w:p>
    <w:p w14:paraId="39E11083" w14:textId="77777777" w:rsidR="00E60B71" w:rsidRPr="00BB064B" w:rsidRDefault="00E60B71" w:rsidP="00CA7BF5">
      <w:pPr>
        <w:pStyle w:val="ColorfulList-Accent11"/>
        <w:rPr>
          <w:rFonts w:cs="Arial"/>
          <w:sz w:val="22"/>
          <w:szCs w:val="22"/>
        </w:rPr>
      </w:pPr>
      <w:r w:rsidRPr="00BB064B">
        <w:rPr>
          <w:rFonts w:cs="Arial"/>
          <w:sz w:val="22"/>
          <w:szCs w:val="22"/>
        </w:rPr>
        <w:t xml:space="preserve">They manage requests to withdraw children from curriculum subjects, </w:t>
      </w:r>
      <w:r w:rsidR="006743EE" w:rsidRPr="00BB064B">
        <w:rPr>
          <w:rFonts w:cs="Arial"/>
          <w:sz w:val="22"/>
          <w:szCs w:val="22"/>
        </w:rPr>
        <w:t xml:space="preserve">where </w:t>
      </w:r>
      <w:r w:rsidRPr="00BB064B">
        <w:rPr>
          <w:rFonts w:cs="Arial"/>
          <w:sz w:val="22"/>
          <w:szCs w:val="22"/>
        </w:rPr>
        <w:t>appropriate</w:t>
      </w:r>
      <w:r w:rsidR="00316437" w:rsidRPr="00BB064B">
        <w:rPr>
          <w:rFonts w:cs="Arial"/>
          <w:sz w:val="22"/>
          <w:szCs w:val="22"/>
        </w:rPr>
        <w:t>, in accordance with legislative guidance</w:t>
      </w:r>
    </w:p>
    <w:p w14:paraId="6DC64050" w14:textId="77777777" w:rsidR="00CA7BF5" w:rsidRPr="00BB064B" w:rsidRDefault="00CA7BF5" w:rsidP="00CA7BF5">
      <w:pPr>
        <w:pStyle w:val="ColorfulList-Accent11"/>
        <w:rPr>
          <w:rFonts w:cs="Arial"/>
          <w:sz w:val="22"/>
          <w:szCs w:val="22"/>
        </w:rPr>
      </w:pPr>
      <w:r w:rsidRPr="00BB064B">
        <w:rPr>
          <w:rFonts w:cs="Arial"/>
          <w:sz w:val="22"/>
          <w:szCs w:val="22"/>
        </w:rPr>
        <w:t xml:space="preserve">The school’s procedures for assessment meet all legal </w:t>
      </w:r>
      <w:proofErr w:type="gramStart"/>
      <w:r w:rsidRPr="00BB064B">
        <w:rPr>
          <w:rFonts w:cs="Arial"/>
          <w:sz w:val="22"/>
          <w:szCs w:val="22"/>
        </w:rPr>
        <w:t>requirements</w:t>
      </w:r>
      <w:proofErr w:type="gramEnd"/>
    </w:p>
    <w:p w14:paraId="71EAEF0E" w14:textId="77777777" w:rsidR="00CA7BF5" w:rsidRPr="00BB064B" w:rsidRDefault="00CA7BF5" w:rsidP="00CA7BF5">
      <w:pPr>
        <w:pStyle w:val="ColorfulList-Accent11"/>
        <w:rPr>
          <w:rFonts w:cs="Arial"/>
          <w:sz w:val="22"/>
          <w:szCs w:val="22"/>
        </w:rPr>
      </w:pPr>
      <w:r w:rsidRPr="00BB064B">
        <w:rPr>
          <w:rFonts w:cs="Arial"/>
          <w:sz w:val="22"/>
          <w:szCs w:val="22"/>
        </w:rPr>
        <w:t xml:space="preserve">The governing board is fully involved in decision-making processes that relate to the breadth and balance of the </w:t>
      </w:r>
      <w:proofErr w:type="gramStart"/>
      <w:r w:rsidRPr="00BB064B">
        <w:rPr>
          <w:rFonts w:cs="Arial"/>
          <w:sz w:val="22"/>
          <w:szCs w:val="22"/>
        </w:rPr>
        <w:t>curriculum</w:t>
      </w:r>
      <w:proofErr w:type="gramEnd"/>
    </w:p>
    <w:p w14:paraId="4C668341" w14:textId="77777777" w:rsidR="00CA7BF5" w:rsidRPr="00BB064B" w:rsidRDefault="00CA7BF5" w:rsidP="00CA7BF5">
      <w:pPr>
        <w:pStyle w:val="ColorfulList-Accent11"/>
        <w:rPr>
          <w:rFonts w:cs="Arial"/>
          <w:sz w:val="22"/>
          <w:szCs w:val="22"/>
        </w:rPr>
      </w:pPr>
      <w:r w:rsidRPr="00BB064B">
        <w:rPr>
          <w:rFonts w:cs="Arial"/>
          <w:sz w:val="22"/>
          <w:szCs w:val="22"/>
        </w:rPr>
        <w:t xml:space="preserve">The governing board is advised on whole-school targets in order to make informed </w:t>
      </w:r>
      <w:proofErr w:type="gramStart"/>
      <w:r w:rsidR="00A12788" w:rsidRPr="00BB064B">
        <w:rPr>
          <w:rFonts w:cs="Arial"/>
          <w:sz w:val="22"/>
          <w:szCs w:val="22"/>
        </w:rPr>
        <w:t>decisions</w:t>
      </w:r>
      <w:proofErr w:type="gramEnd"/>
    </w:p>
    <w:p w14:paraId="0BBBED1B" w14:textId="77777777" w:rsidR="00CA7BF5" w:rsidRPr="00BB064B" w:rsidRDefault="00CA7BF5" w:rsidP="00CA7BF5">
      <w:pPr>
        <w:pStyle w:val="ColorfulList-Accent11"/>
        <w:rPr>
          <w:rFonts w:cs="Arial"/>
          <w:sz w:val="22"/>
          <w:szCs w:val="22"/>
        </w:rPr>
      </w:pPr>
      <w:r w:rsidRPr="00BB064B">
        <w:rPr>
          <w:rFonts w:cs="Arial"/>
          <w:sz w:val="22"/>
          <w:szCs w:val="22"/>
        </w:rPr>
        <w:t xml:space="preserve">Proper provision is </w:t>
      </w:r>
      <w:r w:rsidR="007F2355" w:rsidRPr="00BB064B">
        <w:rPr>
          <w:rFonts w:cs="Arial"/>
          <w:sz w:val="22"/>
          <w:szCs w:val="22"/>
        </w:rPr>
        <w:t>in place</w:t>
      </w:r>
      <w:r w:rsidRPr="00BB064B">
        <w:rPr>
          <w:rFonts w:cs="Arial"/>
          <w:sz w:val="22"/>
          <w:szCs w:val="22"/>
        </w:rPr>
        <w:t xml:space="preserve"> for pupils with different abilities</w:t>
      </w:r>
      <w:r w:rsidR="007F2355" w:rsidRPr="00BB064B">
        <w:rPr>
          <w:rFonts w:cs="Arial"/>
          <w:sz w:val="22"/>
          <w:szCs w:val="22"/>
        </w:rPr>
        <w:t xml:space="preserve"> and needs</w:t>
      </w:r>
      <w:r w:rsidRPr="00BB064B">
        <w:rPr>
          <w:rFonts w:cs="Arial"/>
          <w:sz w:val="22"/>
          <w:szCs w:val="22"/>
        </w:rPr>
        <w:t>, including children with SEN</w:t>
      </w:r>
      <w:r w:rsidR="004B1D9E" w:rsidRPr="00BB064B">
        <w:rPr>
          <w:rFonts w:cs="Arial"/>
          <w:sz w:val="22"/>
          <w:szCs w:val="22"/>
        </w:rPr>
        <w:t xml:space="preserve"> and there is an equality of access in place.</w:t>
      </w:r>
    </w:p>
    <w:p w14:paraId="1545E4BD" w14:textId="77777777" w:rsidR="00CA7BF5" w:rsidRPr="00BB064B" w:rsidRDefault="00CA7BF5" w:rsidP="00CA7BF5">
      <w:pPr>
        <w:rPr>
          <w:rFonts w:cs="Arial"/>
          <w:b/>
          <w:sz w:val="22"/>
          <w:szCs w:val="22"/>
        </w:rPr>
      </w:pPr>
      <w:r w:rsidRPr="00BB064B">
        <w:rPr>
          <w:rFonts w:cs="Arial"/>
          <w:b/>
          <w:sz w:val="22"/>
          <w:szCs w:val="22"/>
        </w:rPr>
        <w:t>3.3 Other staff</w:t>
      </w:r>
    </w:p>
    <w:p w14:paraId="02A989B3" w14:textId="77777777" w:rsidR="00CA7BF5" w:rsidRPr="00BB064B" w:rsidRDefault="00CA7BF5" w:rsidP="00CA7BF5">
      <w:pPr>
        <w:rPr>
          <w:rFonts w:cs="Arial"/>
          <w:sz w:val="22"/>
          <w:szCs w:val="22"/>
          <w:lang w:val="en-GB"/>
        </w:rPr>
      </w:pPr>
      <w:r w:rsidRPr="00BB064B">
        <w:rPr>
          <w:rFonts w:cs="Arial"/>
          <w:sz w:val="22"/>
          <w:szCs w:val="22"/>
          <w:lang w:val="en-GB"/>
        </w:rPr>
        <w:t>Other staff will ensure that the school curriculum is implemented in accordance with this policy.</w:t>
      </w:r>
    </w:p>
    <w:p w14:paraId="094044D1" w14:textId="77777777" w:rsidR="00456549" w:rsidRPr="00BB064B" w:rsidRDefault="00CA7BF5" w:rsidP="0011435C">
      <w:pPr>
        <w:pStyle w:val="Heading1"/>
        <w:rPr>
          <w:rFonts w:cs="Arial"/>
          <w:sz w:val="22"/>
          <w:szCs w:val="22"/>
        </w:rPr>
      </w:pPr>
      <w:bookmarkStart w:id="4" w:name="_Toc496795958"/>
      <w:r w:rsidRPr="00BB064B">
        <w:rPr>
          <w:rFonts w:cs="Arial"/>
          <w:sz w:val="22"/>
          <w:szCs w:val="22"/>
        </w:rPr>
        <w:t xml:space="preserve">4. </w:t>
      </w:r>
      <w:proofErr w:type="spellStart"/>
      <w:r w:rsidRPr="00BB064B">
        <w:rPr>
          <w:rFonts w:cs="Arial"/>
          <w:sz w:val="22"/>
          <w:szCs w:val="22"/>
        </w:rPr>
        <w:t>Organisation</w:t>
      </w:r>
      <w:proofErr w:type="spellEnd"/>
      <w:r w:rsidRPr="00BB064B">
        <w:rPr>
          <w:rFonts w:cs="Arial"/>
          <w:sz w:val="22"/>
          <w:szCs w:val="22"/>
        </w:rPr>
        <w:t xml:space="preserve"> and planning</w:t>
      </w:r>
      <w:bookmarkEnd w:id="4"/>
    </w:p>
    <w:p w14:paraId="46036CAF" w14:textId="77777777" w:rsidR="00706F86" w:rsidRPr="00706F86" w:rsidRDefault="00706F86" w:rsidP="003329F7">
      <w:pPr>
        <w:pStyle w:val="ColorfulList-Accent11"/>
        <w:rPr>
          <w:rFonts w:eastAsia="MS Mincho" w:cs="Arial"/>
          <w:iCs/>
          <w:sz w:val="22"/>
          <w:szCs w:val="22"/>
          <w:shd w:val="clear" w:color="auto" w:fill="FFFFFF"/>
        </w:rPr>
      </w:pPr>
      <w:r w:rsidRPr="00706F86">
        <w:rPr>
          <w:rFonts w:eastAsia="MS Mincho" w:cs="Arial"/>
          <w:iCs/>
          <w:sz w:val="22"/>
          <w:szCs w:val="22"/>
          <w:shd w:val="clear" w:color="auto" w:fill="FFFFFF"/>
        </w:rPr>
        <w:t xml:space="preserve">Our curriculum follows a broadly thematic approach where many core and foundation subjects link to one central theme for the half term. English and maths are taught from their own separate curriculums. </w:t>
      </w:r>
    </w:p>
    <w:p w14:paraId="1B776307" w14:textId="377B3EDA" w:rsidR="00CA7BF5" w:rsidRPr="00706F86" w:rsidRDefault="00706F86" w:rsidP="003329F7">
      <w:pPr>
        <w:pStyle w:val="ColorfulList-Accent11"/>
        <w:rPr>
          <w:rFonts w:eastAsia="MS Mincho" w:cs="Arial"/>
          <w:iCs/>
          <w:sz w:val="22"/>
          <w:szCs w:val="22"/>
          <w:shd w:val="clear" w:color="auto" w:fill="FFFFFF"/>
        </w:rPr>
      </w:pPr>
      <w:r w:rsidRPr="00706F86">
        <w:rPr>
          <w:rFonts w:eastAsia="MS Mincho" w:cs="Arial"/>
          <w:iCs/>
          <w:sz w:val="22"/>
          <w:szCs w:val="22"/>
          <w:shd w:val="clear" w:color="auto" w:fill="FFFFFF"/>
        </w:rPr>
        <w:lastRenderedPageBreak/>
        <w:t xml:space="preserve">The curriculum at Scholes is representative of the local area and uses opportunities available to us in the village of Scholes to enhance the offer to pupils. This includes local visits, </w:t>
      </w:r>
      <w:proofErr w:type="gramStart"/>
      <w:r w:rsidRPr="00706F86">
        <w:rPr>
          <w:rFonts w:eastAsia="MS Mincho" w:cs="Arial"/>
          <w:iCs/>
          <w:sz w:val="22"/>
          <w:szCs w:val="22"/>
          <w:shd w:val="clear" w:color="auto" w:fill="FFFFFF"/>
        </w:rPr>
        <w:t>visitors</w:t>
      </w:r>
      <w:proofErr w:type="gramEnd"/>
      <w:r w:rsidRPr="00706F86">
        <w:rPr>
          <w:rFonts w:eastAsia="MS Mincho" w:cs="Arial"/>
          <w:iCs/>
          <w:sz w:val="22"/>
          <w:szCs w:val="22"/>
          <w:shd w:val="clear" w:color="auto" w:fill="FFFFFF"/>
        </w:rPr>
        <w:t xml:space="preserve"> and speakers from the local area. </w:t>
      </w:r>
    </w:p>
    <w:p w14:paraId="16A79C56" w14:textId="4F87B2DE" w:rsidR="00CA7BF5" w:rsidRPr="00706F86" w:rsidRDefault="00706F86" w:rsidP="003329F7">
      <w:pPr>
        <w:pStyle w:val="ColorfulList-Accent11"/>
        <w:rPr>
          <w:rFonts w:eastAsia="MS Mincho" w:cs="Arial"/>
          <w:iCs/>
          <w:sz w:val="22"/>
          <w:szCs w:val="22"/>
          <w:shd w:val="clear" w:color="auto" w:fill="FFFFFF"/>
        </w:rPr>
      </w:pPr>
      <w:r w:rsidRPr="00706F86">
        <w:rPr>
          <w:rFonts w:eastAsia="MS Mincho" w:cs="Arial"/>
          <w:iCs/>
          <w:sz w:val="22"/>
          <w:szCs w:val="22"/>
          <w:shd w:val="clear" w:color="auto" w:fill="FFFFFF"/>
        </w:rPr>
        <w:t xml:space="preserve">Subjects are taught discretely in KS1 and KS2. In the Early Years Foundation Stage, a ‘continuous provision’ model of teaching and learning has been adopted.  </w:t>
      </w:r>
    </w:p>
    <w:p w14:paraId="35E10AF6" w14:textId="4794C107" w:rsidR="00174F40" w:rsidRPr="00706F86" w:rsidRDefault="00706F86" w:rsidP="003329F7">
      <w:pPr>
        <w:pStyle w:val="ColorfulList-Accent11"/>
        <w:rPr>
          <w:rFonts w:eastAsia="MS Mincho" w:cs="Arial"/>
          <w:iCs/>
          <w:sz w:val="22"/>
          <w:szCs w:val="22"/>
          <w:shd w:val="clear" w:color="auto" w:fill="FFFFFF"/>
        </w:rPr>
      </w:pPr>
      <w:r w:rsidRPr="00706F86">
        <w:rPr>
          <w:rFonts w:eastAsia="MS Mincho" w:cs="Arial"/>
          <w:iCs/>
          <w:sz w:val="22"/>
          <w:szCs w:val="22"/>
          <w:shd w:val="clear" w:color="auto" w:fill="FFFFFF"/>
        </w:rPr>
        <w:t xml:space="preserve">Curriculum coverage of statutory content is taught through the following: </w:t>
      </w:r>
    </w:p>
    <w:p w14:paraId="1565470C" w14:textId="7C5705E7" w:rsidR="00174F40" w:rsidRPr="00706F86" w:rsidRDefault="00174F40" w:rsidP="00174F40">
      <w:pPr>
        <w:pStyle w:val="ColorfulList-Accent11"/>
        <w:numPr>
          <w:ilvl w:val="1"/>
          <w:numId w:val="20"/>
        </w:numPr>
        <w:rPr>
          <w:rFonts w:eastAsia="MS Mincho" w:cs="Arial"/>
          <w:iCs/>
          <w:sz w:val="22"/>
          <w:szCs w:val="22"/>
          <w:shd w:val="clear" w:color="auto" w:fill="FFFFFF"/>
        </w:rPr>
      </w:pPr>
      <w:r w:rsidRPr="00706F86">
        <w:rPr>
          <w:rFonts w:eastAsia="MS Mincho" w:cs="Arial"/>
          <w:iCs/>
          <w:sz w:val="22"/>
          <w:szCs w:val="22"/>
          <w:shd w:val="clear" w:color="auto" w:fill="FFFFFF"/>
        </w:rPr>
        <w:t>S</w:t>
      </w:r>
      <w:r w:rsidR="00CA7BF5" w:rsidRPr="00706F86">
        <w:rPr>
          <w:rFonts w:eastAsia="MS Mincho" w:cs="Arial"/>
          <w:iCs/>
          <w:sz w:val="22"/>
          <w:szCs w:val="22"/>
          <w:shd w:val="clear" w:color="auto" w:fill="FFFFFF"/>
        </w:rPr>
        <w:t>ex and relatio</w:t>
      </w:r>
      <w:r w:rsidRPr="00706F86">
        <w:rPr>
          <w:rFonts w:eastAsia="MS Mincho" w:cs="Arial"/>
          <w:iCs/>
          <w:sz w:val="22"/>
          <w:szCs w:val="22"/>
          <w:shd w:val="clear" w:color="auto" w:fill="FFFFFF"/>
        </w:rPr>
        <w:t xml:space="preserve">nship education </w:t>
      </w:r>
      <w:r w:rsidR="00706F86" w:rsidRPr="00706F86">
        <w:rPr>
          <w:rFonts w:eastAsia="MS Mincho" w:cs="Arial"/>
          <w:iCs/>
          <w:sz w:val="22"/>
          <w:szCs w:val="22"/>
          <w:shd w:val="clear" w:color="auto" w:fill="FFFFFF"/>
        </w:rPr>
        <w:t xml:space="preserve">is taught through our ‘JIGSAW’ PSHE scheme of </w:t>
      </w:r>
      <w:proofErr w:type="gramStart"/>
      <w:r w:rsidR="00706F86" w:rsidRPr="00706F86">
        <w:rPr>
          <w:rFonts w:eastAsia="MS Mincho" w:cs="Arial"/>
          <w:iCs/>
          <w:sz w:val="22"/>
          <w:szCs w:val="22"/>
          <w:shd w:val="clear" w:color="auto" w:fill="FFFFFF"/>
        </w:rPr>
        <w:t>work</w:t>
      </w:r>
      <w:proofErr w:type="gramEnd"/>
    </w:p>
    <w:p w14:paraId="661A8721" w14:textId="3EACD503" w:rsidR="00174F40" w:rsidRPr="00706F86" w:rsidRDefault="00174F40" w:rsidP="00174F40">
      <w:pPr>
        <w:pStyle w:val="ColorfulList-Accent11"/>
        <w:numPr>
          <w:ilvl w:val="1"/>
          <w:numId w:val="20"/>
        </w:numPr>
        <w:rPr>
          <w:rFonts w:eastAsia="MS Mincho" w:cs="Arial"/>
          <w:iCs/>
          <w:sz w:val="22"/>
          <w:szCs w:val="22"/>
          <w:shd w:val="clear" w:color="auto" w:fill="FFFFFF"/>
        </w:rPr>
      </w:pPr>
      <w:r w:rsidRPr="00706F86">
        <w:rPr>
          <w:rFonts w:eastAsia="MS Mincho" w:cs="Arial"/>
          <w:iCs/>
          <w:sz w:val="22"/>
          <w:szCs w:val="22"/>
          <w:shd w:val="clear" w:color="auto" w:fill="FFFFFF"/>
        </w:rPr>
        <w:t>S</w:t>
      </w:r>
      <w:r w:rsidR="00CA7BF5" w:rsidRPr="00706F86">
        <w:rPr>
          <w:rFonts w:eastAsia="MS Mincho" w:cs="Arial"/>
          <w:iCs/>
          <w:sz w:val="22"/>
          <w:szCs w:val="22"/>
          <w:shd w:val="clear" w:color="auto" w:fill="FFFFFF"/>
        </w:rPr>
        <w:t>piritual, moral, social and cultural</w:t>
      </w:r>
      <w:r w:rsidRPr="00706F86">
        <w:rPr>
          <w:rFonts w:eastAsia="MS Mincho" w:cs="Arial"/>
          <w:iCs/>
          <w:sz w:val="22"/>
          <w:szCs w:val="22"/>
          <w:shd w:val="clear" w:color="auto" w:fill="FFFFFF"/>
        </w:rPr>
        <w:t xml:space="preserve"> development</w:t>
      </w:r>
      <w:r w:rsidR="00706F86" w:rsidRPr="00706F86">
        <w:rPr>
          <w:rFonts w:eastAsia="MS Mincho" w:cs="Arial"/>
          <w:iCs/>
          <w:sz w:val="22"/>
          <w:szCs w:val="22"/>
          <w:shd w:val="clear" w:color="auto" w:fill="FFFFFF"/>
        </w:rPr>
        <w:t xml:space="preserve"> are part of RE </w:t>
      </w:r>
      <w:proofErr w:type="gramStart"/>
      <w:r w:rsidR="00706F86" w:rsidRPr="00706F86">
        <w:rPr>
          <w:rFonts w:eastAsia="MS Mincho" w:cs="Arial"/>
          <w:iCs/>
          <w:sz w:val="22"/>
          <w:szCs w:val="22"/>
          <w:shd w:val="clear" w:color="auto" w:fill="FFFFFF"/>
        </w:rPr>
        <w:t>sessions</w:t>
      </w:r>
      <w:proofErr w:type="gramEnd"/>
    </w:p>
    <w:p w14:paraId="010A9990" w14:textId="13887764" w:rsidR="00174F40" w:rsidRPr="00706F86" w:rsidRDefault="00CA7BF5" w:rsidP="00174F40">
      <w:pPr>
        <w:pStyle w:val="ColorfulList-Accent11"/>
        <w:numPr>
          <w:ilvl w:val="1"/>
          <w:numId w:val="20"/>
        </w:numPr>
        <w:rPr>
          <w:rFonts w:eastAsia="MS Mincho" w:cs="Arial"/>
          <w:iCs/>
          <w:sz w:val="22"/>
          <w:szCs w:val="22"/>
          <w:shd w:val="clear" w:color="auto" w:fill="FFFFFF"/>
        </w:rPr>
      </w:pPr>
      <w:r w:rsidRPr="00706F86">
        <w:rPr>
          <w:rFonts w:eastAsia="MS Mincho" w:cs="Arial"/>
          <w:iCs/>
          <w:sz w:val="22"/>
          <w:szCs w:val="22"/>
          <w:shd w:val="clear" w:color="auto" w:fill="FFFFFF"/>
        </w:rPr>
        <w:t>British values</w:t>
      </w:r>
      <w:r w:rsidR="00706F86" w:rsidRPr="00706F86">
        <w:rPr>
          <w:rFonts w:eastAsia="MS Mincho" w:cs="Arial"/>
          <w:iCs/>
          <w:sz w:val="22"/>
          <w:szCs w:val="22"/>
          <w:shd w:val="clear" w:color="auto" w:fill="FFFFFF"/>
        </w:rPr>
        <w:t xml:space="preserve"> </w:t>
      </w:r>
      <w:proofErr w:type="gramStart"/>
      <w:r w:rsidR="00706F86" w:rsidRPr="00706F86">
        <w:rPr>
          <w:rFonts w:eastAsia="MS Mincho" w:cs="Arial"/>
          <w:iCs/>
          <w:sz w:val="22"/>
          <w:szCs w:val="22"/>
          <w:shd w:val="clear" w:color="auto" w:fill="FFFFFF"/>
        </w:rPr>
        <w:t>is</w:t>
      </w:r>
      <w:proofErr w:type="gramEnd"/>
      <w:r w:rsidR="00706F86" w:rsidRPr="00706F86">
        <w:rPr>
          <w:rFonts w:eastAsia="MS Mincho" w:cs="Arial"/>
          <w:iCs/>
          <w:sz w:val="22"/>
          <w:szCs w:val="22"/>
          <w:shd w:val="clear" w:color="auto" w:fill="FFFFFF"/>
        </w:rPr>
        <w:t xml:space="preserve"> woven into the curriculum</w:t>
      </w:r>
    </w:p>
    <w:p w14:paraId="30DAD705" w14:textId="7747D5AF" w:rsidR="00CA7BF5" w:rsidRPr="00BB064B" w:rsidRDefault="00706F86" w:rsidP="003329F7">
      <w:pPr>
        <w:pStyle w:val="ColorfulList-Accent11"/>
        <w:rPr>
          <w:rFonts w:eastAsia="MS Mincho" w:cs="Arial"/>
          <w:i/>
          <w:color w:val="F15F22"/>
          <w:sz w:val="22"/>
          <w:szCs w:val="22"/>
          <w:shd w:val="clear" w:color="auto" w:fill="FFFFFF"/>
        </w:rPr>
      </w:pPr>
      <w:r w:rsidRPr="00706F86">
        <w:rPr>
          <w:rFonts w:eastAsia="MS Mincho" w:cs="Arial"/>
          <w:iCs/>
          <w:sz w:val="22"/>
          <w:szCs w:val="22"/>
          <w:shd w:val="clear" w:color="auto" w:fill="FFFFFF"/>
        </w:rPr>
        <w:t xml:space="preserve">Examples of short, </w:t>
      </w:r>
      <w:proofErr w:type="gramStart"/>
      <w:r w:rsidRPr="00706F86">
        <w:rPr>
          <w:rFonts w:eastAsia="MS Mincho" w:cs="Arial"/>
          <w:iCs/>
          <w:sz w:val="22"/>
          <w:szCs w:val="22"/>
          <w:shd w:val="clear" w:color="auto" w:fill="FFFFFF"/>
        </w:rPr>
        <w:t>medium</w:t>
      </w:r>
      <w:proofErr w:type="gramEnd"/>
      <w:r w:rsidRPr="00706F86">
        <w:rPr>
          <w:rFonts w:eastAsia="MS Mincho" w:cs="Arial"/>
          <w:iCs/>
          <w:sz w:val="22"/>
          <w:szCs w:val="22"/>
          <w:shd w:val="clear" w:color="auto" w:fill="FFFFFF"/>
        </w:rPr>
        <w:t xml:space="preserve"> and long-term planning can be provided by subject leaders and a full curriculum statement for each subject is available on the relevant curriculum page.</w:t>
      </w:r>
    </w:p>
    <w:p w14:paraId="7BE5F74E" w14:textId="77777777" w:rsidR="00456549" w:rsidRPr="00BB064B" w:rsidRDefault="00CA7BF5" w:rsidP="0011435C">
      <w:pPr>
        <w:pStyle w:val="Heading1"/>
        <w:rPr>
          <w:rFonts w:cs="Arial"/>
          <w:sz w:val="22"/>
          <w:szCs w:val="22"/>
        </w:rPr>
      </w:pPr>
      <w:bookmarkStart w:id="5" w:name="_Toc496795959"/>
      <w:r w:rsidRPr="00BB064B">
        <w:rPr>
          <w:rFonts w:cs="Arial"/>
          <w:sz w:val="22"/>
          <w:szCs w:val="22"/>
        </w:rPr>
        <w:t>5</w:t>
      </w:r>
      <w:r w:rsidR="00346052" w:rsidRPr="00BB064B">
        <w:rPr>
          <w:rFonts w:cs="Arial"/>
          <w:sz w:val="22"/>
          <w:szCs w:val="22"/>
        </w:rPr>
        <w:t xml:space="preserve">. </w:t>
      </w:r>
      <w:r w:rsidRPr="00BB064B">
        <w:rPr>
          <w:rFonts w:cs="Arial"/>
          <w:sz w:val="22"/>
          <w:szCs w:val="22"/>
        </w:rPr>
        <w:t>Inclusion</w:t>
      </w:r>
      <w:bookmarkEnd w:id="5"/>
    </w:p>
    <w:p w14:paraId="36FE2E7F" w14:textId="77777777" w:rsidR="00DA4842" w:rsidRPr="00BB064B" w:rsidRDefault="00DA4842" w:rsidP="00882F7B">
      <w:pPr>
        <w:rPr>
          <w:rFonts w:cs="Arial"/>
          <w:sz w:val="22"/>
          <w:szCs w:val="22"/>
          <w:lang w:val="en-GB"/>
        </w:rPr>
      </w:pPr>
      <w:r w:rsidRPr="00BB064B">
        <w:rPr>
          <w:rFonts w:cs="Arial"/>
          <w:sz w:val="22"/>
          <w:szCs w:val="22"/>
          <w:lang w:val="en-GB"/>
        </w:rPr>
        <w:t>Teachers set high expectations for all pupils</w:t>
      </w:r>
      <w:r w:rsidR="009B5EC0" w:rsidRPr="00BB064B">
        <w:rPr>
          <w:rFonts w:cs="Arial"/>
          <w:sz w:val="22"/>
          <w:szCs w:val="22"/>
          <w:lang w:val="en-GB"/>
        </w:rPr>
        <w:t>. They will use appropriate assessment to set ambitious targets and plan challenging work for all groups, including:</w:t>
      </w:r>
    </w:p>
    <w:p w14:paraId="37B0735D" w14:textId="77777777" w:rsidR="00DA4842" w:rsidRPr="00BB064B" w:rsidRDefault="004B1D9E" w:rsidP="00DA4842">
      <w:pPr>
        <w:pStyle w:val="ColorfulList-Accent11"/>
        <w:rPr>
          <w:rFonts w:cs="Arial"/>
          <w:sz w:val="22"/>
          <w:szCs w:val="22"/>
        </w:rPr>
      </w:pPr>
      <w:r w:rsidRPr="00BB064B">
        <w:rPr>
          <w:rFonts w:cs="Arial"/>
          <w:sz w:val="22"/>
          <w:szCs w:val="22"/>
        </w:rPr>
        <w:t>More-</w:t>
      </w:r>
      <w:r w:rsidR="00DA4842" w:rsidRPr="00BB064B">
        <w:rPr>
          <w:rFonts w:cs="Arial"/>
          <w:sz w:val="22"/>
          <w:szCs w:val="22"/>
        </w:rPr>
        <w:t>able pupils</w:t>
      </w:r>
    </w:p>
    <w:p w14:paraId="3B983A97" w14:textId="77777777" w:rsidR="00DA4842" w:rsidRPr="00BB064B" w:rsidRDefault="00DA4842" w:rsidP="00DA4842">
      <w:pPr>
        <w:pStyle w:val="ColorfulList-Accent11"/>
        <w:rPr>
          <w:rFonts w:cs="Arial"/>
          <w:sz w:val="22"/>
          <w:szCs w:val="22"/>
        </w:rPr>
      </w:pPr>
      <w:r w:rsidRPr="00BB064B">
        <w:rPr>
          <w:rFonts w:cs="Arial"/>
          <w:sz w:val="22"/>
          <w:szCs w:val="22"/>
        </w:rPr>
        <w:t>Pupils with low prior attainment</w:t>
      </w:r>
    </w:p>
    <w:p w14:paraId="2387E16D" w14:textId="77777777" w:rsidR="00DA4842" w:rsidRPr="00BB064B" w:rsidRDefault="00DA4842" w:rsidP="00DA4842">
      <w:pPr>
        <w:pStyle w:val="ColorfulList-Accent11"/>
        <w:rPr>
          <w:rFonts w:cs="Arial"/>
          <w:sz w:val="22"/>
          <w:szCs w:val="22"/>
        </w:rPr>
      </w:pPr>
      <w:r w:rsidRPr="00BB064B">
        <w:rPr>
          <w:rFonts w:cs="Arial"/>
          <w:sz w:val="22"/>
          <w:szCs w:val="22"/>
        </w:rPr>
        <w:t>Pupils from disadvantaged backgrounds</w:t>
      </w:r>
    </w:p>
    <w:p w14:paraId="23577558" w14:textId="77777777" w:rsidR="00DA4842" w:rsidRPr="00BB064B" w:rsidRDefault="00DA4842" w:rsidP="00DA4842">
      <w:pPr>
        <w:pStyle w:val="ColorfulList-Accent11"/>
        <w:rPr>
          <w:rFonts w:cs="Arial"/>
          <w:sz w:val="22"/>
          <w:szCs w:val="22"/>
        </w:rPr>
      </w:pPr>
      <w:r w:rsidRPr="00BB064B">
        <w:rPr>
          <w:rFonts w:cs="Arial"/>
          <w:sz w:val="22"/>
          <w:szCs w:val="22"/>
        </w:rPr>
        <w:t xml:space="preserve">Pupils </w:t>
      </w:r>
      <w:r w:rsidR="00EA02B3" w:rsidRPr="00BB064B">
        <w:rPr>
          <w:rFonts w:cs="Arial"/>
          <w:sz w:val="22"/>
          <w:szCs w:val="22"/>
        </w:rPr>
        <w:t>with SEN</w:t>
      </w:r>
      <w:r w:rsidR="004B1D9E" w:rsidRPr="00BB064B">
        <w:rPr>
          <w:rFonts w:cs="Arial"/>
          <w:sz w:val="22"/>
          <w:szCs w:val="22"/>
        </w:rPr>
        <w:t>D</w:t>
      </w:r>
    </w:p>
    <w:p w14:paraId="69C991DA" w14:textId="77777777" w:rsidR="00DA4842" w:rsidRPr="00BB064B" w:rsidRDefault="00DA4842" w:rsidP="00DA4842">
      <w:pPr>
        <w:pStyle w:val="ColorfulList-Accent11"/>
        <w:rPr>
          <w:rFonts w:cs="Arial"/>
          <w:sz w:val="22"/>
          <w:szCs w:val="22"/>
        </w:rPr>
      </w:pPr>
      <w:r w:rsidRPr="00BB064B">
        <w:rPr>
          <w:rFonts w:cs="Arial"/>
          <w:sz w:val="22"/>
          <w:szCs w:val="22"/>
        </w:rPr>
        <w:t xml:space="preserve">Pupils with English as an </w:t>
      </w:r>
      <w:r w:rsidR="00746133" w:rsidRPr="00BB064B">
        <w:rPr>
          <w:rFonts w:cs="Arial"/>
          <w:sz w:val="22"/>
          <w:szCs w:val="22"/>
        </w:rPr>
        <w:t>A</w:t>
      </w:r>
      <w:r w:rsidRPr="00BB064B">
        <w:rPr>
          <w:rFonts w:cs="Arial"/>
          <w:sz w:val="22"/>
          <w:szCs w:val="22"/>
        </w:rPr>
        <w:t xml:space="preserve">dditional </w:t>
      </w:r>
      <w:r w:rsidR="00746133" w:rsidRPr="00BB064B">
        <w:rPr>
          <w:rFonts w:cs="Arial"/>
          <w:sz w:val="22"/>
          <w:szCs w:val="22"/>
        </w:rPr>
        <w:t>L</w:t>
      </w:r>
      <w:r w:rsidRPr="00BB064B">
        <w:rPr>
          <w:rFonts w:cs="Arial"/>
          <w:sz w:val="22"/>
          <w:szCs w:val="22"/>
        </w:rPr>
        <w:t>anguage (EAL)</w:t>
      </w:r>
    </w:p>
    <w:p w14:paraId="1F9EEA39" w14:textId="77777777" w:rsidR="00A12788" w:rsidRPr="00BB064B" w:rsidRDefault="00CA7BF5" w:rsidP="00CA7BF5">
      <w:pPr>
        <w:rPr>
          <w:rFonts w:cs="Arial"/>
          <w:sz w:val="22"/>
          <w:szCs w:val="22"/>
          <w:lang w:val="en-GB"/>
        </w:rPr>
      </w:pPr>
      <w:r w:rsidRPr="00BB064B">
        <w:rPr>
          <w:rFonts w:cs="Arial"/>
          <w:sz w:val="22"/>
          <w:szCs w:val="22"/>
          <w:lang w:val="en-GB"/>
        </w:rPr>
        <w:t>Teachers</w:t>
      </w:r>
      <w:r w:rsidR="009B5EC0" w:rsidRPr="00BB064B">
        <w:rPr>
          <w:rFonts w:cs="Arial"/>
          <w:sz w:val="22"/>
          <w:szCs w:val="22"/>
          <w:lang w:val="en-GB"/>
        </w:rPr>
        <w:t xml:space="preserve"> will</w:t>
      </w:r>
      <w:r w:rsidRPr="00BB064B">
        <w:rPr>
          <w:rFonts w:cs="Arial"/>
          <w:sz w:val="22"/>
          <w:szCs w:val="22"/>
          <w:lang w:val="en-GB"/>
        </w:rPr>
        <w:t xml:space="preserve"> plan lessons so that pupils</w:t>
      </w:r>
      <w:r w:rsidR="00BB73CF" w:rsidRPr="00BB064B">
        <w:rPr>
          <w:rFonts w:cs="Arial"/>
          <w:sz w:val="22"/>
          <w:szCs w:val="22"/>
          <w:lang w:val="en-GB"/>
        </w:rPr>
        <w:t xml:space="preserve"> with SEN and/or disabilities </w:t>
      </w:r>
      <w:r w:rsidRPr="00BB064B">
        <w:rPr>
          <w:rFonts w:cs="Arial"/>
          <w:sz w:val="22"/>
          <w:szCs w:val="22"/>
          <w:lang w:val="en-GB"/>
        </w:rPr>
        <w:t>can study every National Curriculum subject</w:t>
      </w:r>
      <w:r w:rsidR="00BB73CF" w:rsidRPr="00BB064B">
        <w:rPr>
          <w:rFonts w:cs="Arial"/>
          <w:sz w:val="22"/>
          <w:szCs w:val="22"/>
          <w:lang w:val="en-GB"/>
        </w:rPr>
        <w:t>,</w:t>
      </w:r>
      <w:r w:rsidRPr="00BB064B">
        <w:rPr>
          <w:rFonts w:cs="Arial"/>
          <w:sz w:val="22"/>
          <w:szCs w:val="22"/>
          <w:lang w:val="en-GB"/>
        </w:rPr>
        <w:t xml:space="preserve"> </w:t>
      </w:r>
      <w:r w:rsidR="00A12788" w:rsidRPr="00BB064B">
        <w:rPr>
          <w:rFonts w:cs="Arial"/>
          <w:sz w:val="22"/>
          <w:szCs w:val="22"/>
          <w:lang w:val="en-GB"/>
        </w:rPr>
        <w:t xml:space="preserve">wherever possible, </w:t>
      </w:r>
      <w:r w:rsidRPr="00BB064B">
        <w:rPr>
          <w:rFonts w:cs="Arial"/>
          <w:sz w:val="22"/>
          <w:szCs w:val="22"/>
          <w:lang w:val="en-GB"/>
        </w:rPr>
        <w:t>and ensure that there are no barriers to every pupil achieving</w:t>
      </w:r>
      <w:r w:rsidR="00A12788" w:rsidRPr="00BB064B">
        <w:rPr>
          <w:rFonts w:cs="Arial"/>
          <w:sz w:val="22"/>
          <w:szCs w:val="22"/>
          <w:lang w:val="en-GB"/>
        </w:rPr>
        <w:t>.</w:t>
      </w:r>
      <w:r w:rsidR="004B1D9E" w:rsidRPr="00BB064B">
        <w:rPr>
          <w:rFonts w:cs="Arial"/>
          <w:sz w:val="22"/>
          <w:szCs w:val="22"/>
          <w:lang w:val="en-GB"/>
        </w:rPr>
        <w:t xml:space="preserve"> They will ensure pupils </w:t>
      </w:r>
      <w:proofErr w:type="gramStart"/>
      <w:r w:rsidR="004B1D9E" w:rsidRPr="00BB064B">
        <w:rPr>
          <w:rFonts w:cs="Arial"/>
          <w:sz w:val="22"/>
          <w:szCs w:val="22"/>
          <w:lang w:val="en-GB"/>
        </w:rPr>
        <w:t>have the opportunity to</w:t>
      </w:r>
      <w:proofErr w:type="gramEnd"/>
      <w:r w:rsidR="004B1D9E" w:rsidRPr="00BB064B">
        <w:rPr>
          <w:rFonts w:cs="Arial"/>
          <w:sz w:val="22"/>
          <w:szCs w:val="22"/>
          <w:lang w:val="en-GB"/>
        </w:rPr>
        <w:t xml:space="preserve"> grow in independence and avoid ‘over scaffolding’ wherever possible.  </w:t>
      </w:r>
    </w:p>
    <w:p w14:paraId="399CCD1F" w14:textId="77777777" w:rsidR="00CA7BF5" w:rsidRPr="00BB064B" w:rsidRDefault="00CA7BF5" w:rsidP="00CA7BF5">
      <w:pPr>
        <w:rPr>
          <w:rFonts w:cs="Arial"/>
          <w:sz w:val="22"/>
          <w:szCs w:val="22"/>
          <w:lang w:val="en-GB"/>
        </w:rPr>
      </w:pPr>
      <w:r w:rsidRPr="00BB064B">
        <w:rPr>
          <w:rFonts w:cs="Arial"/>
          <w:sz w:val="22"/>
          <w:szCs w:val="22"/>
          <w:lang w:val="en-GB"/>
        </w:rPr>
        <w:t xml:space="preserve">Teachers </w:t>
      </w:r>
      <w:r w:rsidR="009B5EC0" w:rsidRPr="00BB064B">
        <w:rPr>
          <w:rFonts w:cs="Arial"/>
          <w:sz w:val="22"/>
          <w:szCs w:val="22"/>
          <w:lang w:val="en-GB"/>
        </w:rPr>
        <w:t xml:space="preserve">will </w:t>
      </w:r>
      <w:r w:rsidRPr="00BB064B">
        <w:rPr>
          <w:rFonts w:cs="Arial"/>
          <w:sz w:val="22"/>
          <w:szCs w:val="22"/>
          <w:lang w:val="en-GB"/>
        </w:rPr>
        <w:t>also take account of the needs of pupils whose first language is not English. Lessons</w:t>
      </w:r>
      <w:r w:rsidR="009B5EC0" w:rsidRPr="00BB064B">
        <w:rPr>
          <w:rFonts w:cs="Arial"/>
          <w:sz w:val="22"/>
          <w:szCs w:val="22"/>
          <w:lang w:val="en-GB"/>
        </w:rPr>
        <w:t xml:space="preserve"> will be</w:t>
      </w:r>
      <w:r w:rsidRPr="00BB064B">
        <w:rPr>
          <w:rFonts w:cs="Arial"/>
          <w:sz w:val="22"/>
          <w:szCs w:val="22"/>
          <w:lang w:val="en-GB"/>
        </w:rPr>
        <w:t xml:space="preserve"> planned so that teaching opportunities help pupils to develop their English, </w:t>
      </w:r>
      <w:r w:rsidR="009B5EC0" w:rsidRPr="00BB064B">
        <w:rPr>
          <w:rFonts w:cs="Arial"/>
          <w:sz w:val="22"/>
          <w:szCs w:val="22"/>
          <w:lang w:val="en-GB"/>
        </w:rPr>
        <w:t>and to</w:t>
      </w:r>
      <w:r w:rsidRPr="00BB064B">
        <w:rPr>
          <w:rFonts w:cs="Arial"/>
          <w:sz w:val="22"/>
          <w:szCs w:val="22"/>
          <w:lang w:val="en-GB"/>
        </w:rPr>
        <w:t xml:space="preserve"> </w:t>
      </w:r>
      <w:r w:rsidR="00882F7B" w:rsidRPr="00BB064B">
        <w:rPr>
          <w:rFonts w:cs="Arial"/>
          <w:sz w:val="22"/>
          <w:szCs w:val="22"/>
          <w:lang w:val="en-GB"/>
        </w:rPr>
        <w:t>support pupils to take part in all subjects</w:t>
      </w:r>
      <w:r w:rsidR="00DA4842" w:rsidRPr="00BB064B">
        <w:rPr>
          <w:rFonts w:cs="Arial"/>
          <w:sz w:val="22"/>
          <w:szCs w:val="22"/>
          <w:lang w:val="en-GB"/>
        </w:rPr>
        <w:t>.</w:t>
      </w:r>
    </w:p>
    <w:p w14:paraId="567CB433" w14:textId="77777777" w:rsidR="00CA7BF5" w:rsidRPr="00BB064B" w:rsidRDefault="00CA7BF5" w:rsidP="00CA7BF5">
      <w:pPr>
        <w:rPr>
          <w:rFonts w:cs="Arial"/>
          <w:sz w:val="22"/>
          <w:szCs w:val="22"/>
          <w:lang w:val="en-GB"/>
        </w:rPr>
      </w:pPr>
      <w:r w:rsidRPr="00BB064B">
        <w:rPr>
          <w:rFonts w:cs="Arial"/>
          <w:sz w:val="22"/>
          <w:szCs w:val="22"/>
          <w:lang w:val="en-GB"/>
        </w:rPr>
        <w:t>Further information can be found in our statement of equality information and objectives</w:t>
      </w:r>
      <w:r w:rsidR="00E669D6" w:rsidRPr="00BB064B">
        <w:rPr>
          <w:rFonts w:cs="Arial"/>
          <w:sz w:val="22"/>
          <w:szCs w:val="22"/>
          <w:lang w:val="en-GB"/>
        </w:rPr>
        <w:t>,</w:t>
      </w:r>
      <w:r w:rsidRPr="00BB064B">
        <w:rPr>
          <w:rFonts w:cs="Arial"/>
          <w:sz w:val="22"/>
          <w:szCs w:val="22"/>
          <w:lang w:val="en-GB"/>
        </w:rPr>
        <w:t xml:space="preserve"> and</w:t>
      </w:r>
      <w:r w:rsidR="00E669D6" w:rsidRPr="00BB064B">
        <w:rPr>
          <w:rFonts w:cs="Arial"/>
          <w:sz w:val="22"/>
          <w:szCs w:val="22"/>
          <w:lang w:val="en-GB"/>
        </w:rPr>
        <w:t xml:space="preserve"> in</w:t>
      </w:r>
      <w:r w:rsidRPr="00BB064B">
        <w:rPr>
          <w:rFonts w:cs="Arial"/>
          <w:sz w:val="22"/>
          <w:szCs w:val="22"/>
          <w:lang w:val="en-GB"/>
        </w:rPr>
        <w:t xml:space="preserve"> our </w:t>
      </w:r>
      <w:r w:rsidR="00E669D6" w:rsidRPr="00BB064B">
        <w:rPr>
          <w:rFonts w:cs="Arial"/>
          <w:sz w:val="22"/>
          <w:szCs w:val="22"/>
          <w:lang w:val="en-GB"/>
        </w:rPr>
        <w:t>SEN</w:t>
      </w:r>
      <w:r w:rsidR="004B1D9E" w:rsidRPr="00BB064B">
        <w:rPr>
          <w:rFonts w:cs="Arial"/>
          <w:sz w:val="22"/>
          <w:szCs w:val="22"/>
          <w:lang w:val="en-GB"/>
        </w:rPr>
        <w:t>D</w:t>
      </w:r>
      <w:r w:rsidR="00E669D6" w:rsidRPr="00BB064B">
        <w:rPr>
          <w:rFonts w:cs="Arial"/>
          <w:sz w:val="22"/>
          <w:szCs w:val="22"/>
          <w:lang w:val="en-GB"/>
        </w:rPr>
        <w:t xml:space="preserve"> p</w:t>
      </w:r>
      <w:r w:rsidRPr="00BB064B">
        <w:rPr>
          <w:rFonts w:cs="Arial"/>
          <w:sz w:val="22"/>
          <w:szCs w:val="22"/>
          <w:lang w:val="en-GB"/>
        </w:rPr>
        <w:t>olicy and information report</w:t>
      </w:r>
      <w:r w:rsidR="005D0014" w:rsidRPr="00BB064B">
        <w:rPr>
          <w:rFonts w:cs="Arial"/>
          <w:sz w:val="22"/>
          <w:szCs w:val="22"/>
          <w:lang w:val="en-GB"/>
        </w:rPr>
        <w:t>.</w:t>
      </w:r>
    </w:p>
    <w:p w14:paraId="4B63459F" w14:textId="77777777" w:rsidR="00456549" w:rsidRPr="00BB064B" w:rsidRDefault="00CA7BF5" w:rsidP="0011435C">
      <w:pPr>
        <w:pStyle w:val="Heading1"/>
        <w:rPr>
          <w:rFonts w:cs="Arial"/>
          <w:sz w:val="22"/>
          <w:szCs w:val="22"/>
        </w:rPr>
      </w:pPr>
      <w:bookmarkStart w:id="6" w:name="_Toc496795960"/>
      <w:r w:rsidRPr="00BB064B">
        <w:rPr>
          <w:rFonts w:cs="Arial"/>
          <w:sz w:val="22"/>
          <w:szCs w:val="22"/>
        </w:rPr>
        <w:t>6</w:t>
      </w:r>
      <w:r w:rsidR="00346052" w:rsidRPr="00BB064B">
        <w:rPr>
          <w:rFonts w:cs="Arial"/>
          <w:sz w:val="22"/>
          <w:szCs w:val="22"/>
        </w:rPr>
        <w:t xml:space="preserve">. </w:t>
      </w:r>
      <w:r w:rsidRPr="00BB064B">
        <w:rPr>
          <w:rFonts w:cs="Arial"/>
          <w:sz w:val="22"/>
          <w:szCs w:val="22"/>
        </w:rPr>
        <w:t>Monitoring arrangements</w:t>
      </w:r>
      <w:bookmarkEnd w:id="6"/>
    </w:p>
    <w:p w14:paraId="3BB03D86" w14:textId="77777777" w:rsidR="00CA7BF5" w:rsidRPr="00BB064B" w:rsidRDefault="00E669D6" w:rsidP="00CA7BF5">
      <w:pPr>
        <w:spacing w:before="0" w:after="160" w:line="259" w:lineRule="auto"/>
        <w:rPr>
          <w:rFonts w:eastAsia="Calibri" w:cs="Arial"/>
          <w:sz w:val="22"/>
          <w:szCs w:val="22"/>
          <w:lang w:val="en-GB"/>
        </w:rPr>
      </w:pPr>
      <w:r w:rsidRPr="00BB064B">
        <w:rPr>
          <w:rFonts w:eastAsia="Calibri" w:cs="Arial"/>
          <w:sz w:val="22"/>
          <w:szCs w:val="22"/>
          <w:lang w:val="en-GB"/>
        </w:rPr>
        <w:t>Governors monitor</w:t>
      </w:r>
      <w:r w:rsidR="004212FA" w:rsidRPr="00BB064B">
        <w:rPr>
          <w:rFonts w:eastAsia="Calibri" w:cs="Arial"/>
          <w:sz w:val="22"/>
          <w:szCs w:val="22"/>
          <w:lang w:val="en-GB"/>
        </w:rPr>
        <w:t xml:space="preserve"> whether the school is complying with </w:t>
      </w:r>
      <w:r w:rsidR="0008664D" w:rsidRPr="00BB064B">
        <w:rPr>
          <w:rFonts w:eastAsia="Calibri" w:cs="Arial"/>
          <w:sz w:val="22"/>
          <w:szCs w:val="22"/>
          <w:lang w:val="en-GB"/>
        </w:rPr>
        <w:t>its</w:t>
      </w:r>
      <w:r w:rsidR="004212FA" w:rsidRPr="00BB064B">
        <w:rPr>
          <w:rFonts w:eastAsia="Calibri" w:cs="Arial"/>
          <w:sz w:val="22"/>
          <w:szCs w:val="22"/>
          <w:lang w:val="en-GB"/>
        </w:rPr>
        <w:t xml:space="preserve"> funding agreement and teaching a “</w:t>
      </w:r>
      <w:r w:rsidRPr="00BB064B">
        <w:rPr>
          <w:rFonts w:eastAsia="Calibri" w:cs="Arial"/>
          <w:sz w:val="22"/>
          <w:szCs w:val="22"/>
          <w:lang w:val="en-GB"/>
        </w:rPr>
        <w:t>br</w:t>
      </w:r>
      <w:r w:rsidR="004212FA" w:rsidRPr="00BB064B">
        <w:rPr>
          <w:rFonts w:eastAsia="Calibri" w:cs="Arial"/>
          <w:sz w:val="22"/>
          <w:szCs w:val="22"/>
          <w:lang w:val="en-GB"/>
        </w:rPr>
        <w:t>oad and balanced curriculum” which includes the required subjects, through</w:t>
      </w:r>
      <w:r w:rsidRPr="00BB064B">
        <w:rPr>
          <w:rFonts w:eastAsia="Calibri" w:cs="Arial"/>
          <w:sz w:val="22"/>
          <w:szCs w:val="22"/>
          <w:lang w:val="en-GB"/>
        </w:rPr>
        <w:t>:</w:t>
      </w:r>
    </w:p>
    <w:p w14:paraId="3B7CC91D" w14:textId="77777777" w:rsidR="00E77C33" w:rsidRPr="00BB064B" w:rsidRDefault="00CA6F3E"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t>Reviewing annually the curriculum plan including</w:t>
      </w:r>
      <w:r w:rsidR="004B1D9E" w:rsidRPr="00BB064B">
        <w:rPr>
          <w:rFonts w:eastAsia="Calibri" w:cs="Arial"/>
          <w:sz w:val="22"/>
          <w:szCs w:val="22"/>
          <w:lang w:val="en-GB"/>
        </w:rPr>
        <w:t xml:space="preserve"> the proportion of time spent on each aspect of the National Curriculum in each year </w:t>
      </w:r>
      <w:proofErr w:type="gramStart"/>
      <w:r w:rsidR="004B1D9E" w:rsidRPr="00BB064B">
        <w:rPr>
          <w:rFonts w:eastAsia="Calibri" w:cs="Arial"/>
          <w:sz w:val="22"/>
          <w:szCs w:val="22"/>
          <w:lang w:val="en-GB"/>
        </w:rPr>
        <w:t>group</w:t>
      </w:r>
      <w:proofErr w:type="gramEnd"/>
    </w:p>
    <w:p w14:paraId="291D671D" w14:textId="77777777" w:rsidR="00E77C33" w:rsidRPr="00BB064B" w:rsidRDefault="00E77C33"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t>Understanding how the curriculum is delivered and how skills and knowledge are directly taught</w:t>
      </w:r>
      <w:r w:rsidR="003B69E9" w:rsidRPr="00BB064B">
        <w:rPr>
          <w:rFonts w:eastAsia="Calibri" w:cs="Arial"/>
          <w:sz w:val="22"/>
          <w:szCs w:val="22"/>
          <w:lang w:val="en-GB"/>
        </w:rPr>
        <w:t xml:space="preserve"> and sequenced</w:t>
      </w:r>
      <w:r w:rsidR="00CA6F3E" w:rsidRPr="00BB064B">
        <w:rPr>
          <w:rFonts w:eastAsia="Calibri" w:cs="Arial"/>
          <w:sz w:val="22"/>
          <w:szCs w:val="22"/>
          <w:lang w:val="en-GB"/>
        </w:rPr>
        <w:t xml:space="preserve"> through link Governor meetings/visits.</w:t>
      </w:r>
    </w:p>
    <w:p w14:paraId="5660B046" w14:textId="77777777" w:rsidR="004B1D9E" w:rsidRPr="00BB064B" w:rsidRDefault="00CA6F3E"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t>U</w:t>
      </w:r>
      <w:r w:rsidR="003B69E9" w:rsidRPr="00BB064B">
        <w:rPr>
          <w:rFonts w:eastAsia="Calibri" w:cs="Arial"/>
          <w:sz w:val="22"/>
          <w:szCs w:val="22"/>
          <w:lang w:val="en-GB"/>
        </w:rPr>
        <w:t xml:space="preserve">nderstanding </w:t>
      </w:r>
      <w:r w:rsidRPr="00BB064B">
        <w:rPr>
          <w:rFonts w:eastAsia="Calibri" w:cs="Arial"/>
          <w:sz w:val="22"/>
          <w:szCs w:val="22"/>
          <w:lang w:val="en-GB"/>
        </w:rPr>
        <w:t>of how Relationships and Sex E</w:t>
      </w:r>
      <w:r w:rsidR="003B69E9" w:rsidRPr="00BB064B">
        <w:rPr>
          <w:rFonts w:eastAsia="Calibri" w:cs="Arial"/>
          <w:sz w:val="22"/>
          <w:szCs w:val="22"/>
          <w:lang w:val="en-GB"/>
        </w:rPr>
        <w:t xml:space="preserve">ducation is delivered in an </w:t>
      </w:r>
      <w:proofErr w:type="gramStart"/>
      <w:r w:rsidR="003B69E9" w:rsidRPr="00BB064B">
        <w:rPr>
          <w:rFonts w:eastAsia="Calibri" w:cs="Arial"/>
          <w:sz w:val="22"/>
          <w:szCs w:val="22"/>
          <w:lang w:val="en-GB"/>
        </w:rPr>
        <w:t>age appropriate</w:t>
      </w:r>
      <w:proofErr w:type="gramEnd"/>
      <w:r w:rsidR="003B69E9" w:rsidRPr="00BB064B">
        <w:rPr>
          <w:rFonts w:eastAsia="Calibri" w:cs="Arial"/>
          <w:sz w:val="22"/>
          <w:szCs w:val="22"/>
          <w:lang w:val="en-GB"/>
        </w:rPr>
        <w:t xml:space="preserve"> way</w:t>
      </w:r>
      <w:r w:rsidRPr="00BB064B">
        <w:rPr>
          <w:rFonts w:eastAsia="Calibri" w:cs="Arial"/>
          <w:sz w:val="22"/>
          <w:szCs w:val="22"/>
          <w:lang w:val="en-GB"/>
        </w:rPr>
        <w:t xml:space="preserve"> through link Governor visits. </w:t>
      </w:r>
    </w:p>
    <w:p w14:paraId="00520DA3" w14:textId="77777777" w:rsidR="004B1D9E" w:rsidRPr="00BB064B" w:rsidRDefault="00E77C33"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t>Having an oversite of how the school develops reading and the impact of the strategies used by the school for all pupils including SEND and those who are disadvantaged.</w:t>
      </w:r>
    </w:p>
    <w:p w14:paraId="680A856B" w14:textId="77777777" w:rsidR="003B69E9" w:rsidRPr="00BB064B" w:rsidRDefault="003B69E9"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t xml:space="preserve">Understanding of the quality of implementation of the curriculum through Headteacher reports and external validation including through Trust Peer reviews. </w:t>
      </w:r>
    </w:p>
    <w:p w14:paraId="249767F8" w14:textId="77777777" w:rsidR="00E77C33" w:rsidRPr="00BB064B" w:rsidRDefault="003B69E9" w:rsidP="004B1D9E">
      <w:pPr>
        <w:numPr>
          <w:ilvl w:val="0"/>
          <w:numId w:val="24"/>
        </w:numPr>
        <w:spacing w:before="0" w:after="160" w:line="259" w:lineRule="auto"/>
        <w:rPr>
          <w:rFonts w:eastAsia="Calibri" w:cs="Arial"/>
          <w:sz w:val="22"/>
          <w:szCs w:val="22"/>
          <w:lang w:val="en-GB"/>
        </w:rPr>
      </w:pPr>
      <w:r w:rsidRPr="00BB064B">
        <w:rPr>
          <w:rFonts w:eastAsia="Calibri" w:cs="Arial"/>
          <w:sz w:val="22"/>
          <w:szCs w:val="22"/>
          <w:lang w:val="en-GB"/>
        </w:rPr>
        <w:lastRenderedPageBreak/>
        <w:t>Using Impact evidence to challenge leaders and ensure the curriculum is developed and adapted to meet the needs of learners</w:t>
      </w:r>
      <w:r w:rsidR="00CA6F3E" w:rsidRPr="00BB064B">
        <w:rPr>
          <w:rFonts w:eastAsia="Calibri" w:cs="Arial"/>
          <w:sz w:val="22"/>
          <w:szCs w:val="22"/>
          <w:lang w:val="en-GB"/>
        </w:rPr>
        <w:t xml:space="preserve"> in Governor meetings.</w:t>
      </w:r>
    </w:p>
    <w:p w14:paraId="110FFD37" w14:textId="77777777" w:rsidR="00CA6F3E" w:rsidRPr="00BB064B" w:rsidRDefault="00CA6F3E" w:rsidP="00CA6F3E">
      <w:pPr>
        <w:spacing w:before="0" w:after="160" w:line="259" w:lineRule="auto"/>
        <w:rPr>
          <w:rFonts w:eastAsia="Calibri" w:cs="Arial"/>
          <w:sz w:val="22"/>
          <w:szCs w:val="22"/>
          <w:lang w:val="en-GB"/>
        </w:rPr>
      </w:pPr>
    </w:p>
    <w:p w14:paraId="5CBBC3E6" w14:textId="77777777" w:rsidR="00943C42" w:rsidRPr="00BB064B" w:rsidRDefault="00CA6F3E" w:rsidP="00943C42">
      <w:pPr>
        <w:rPr>
          <w:rFonts w:cs="Arial"/>
          <w:sz w:val="22"/>
          <w:szCs w:val="22"/>
          <w:lang w:val="en-GB"/>
        </w:rPr>
      </w:pPr>
      <w:r w:rsidRPr="00BB064B">
        <w:rPr>
          <w:rFonts w:cs="Arial"/>
          <w:sz w:val="22"/>
          <w:szCs w:val="22"/>
          <w:lang w:val="en-GB"/>
        </w:rPr>
        <w:t>Leaders will monitor the quality of the curriculum through:</w:t>
      </w:r>
    </w:p>
    <w:p w14:paraId="7139545C" w14:textId="77777777" w:rsidR="00CA6F3E" w:rsidRPr="00BB064B" w:rsidRDefault="00CA6F3E" w:rsidP="00CA6F3E">
      <w:pPr>
        <w:numPr>
          <w:ilvl w:val="0"/>
          <w:numId w:val="27"/>
        </w:numPr>
        <w:rPr>
          <w:rFonts w:cs="Arial"/>
          <w:sz w:val="22"/>
          <w:szCs w:val="22"/>
          <w:lang w:val="en-GB"/>
        </w:rPr>
      </w:pPr>
      <w:r w:rsidRPr="00BB064B">
        <w:rPr>
          <w:rFonts w:cs="Arial"/>
          <w:sz w:val="22"/>
          <w:szCs w:val="22"/>
          <w:lang w:val="en-GB"/>
        </w:rPr>
        <w:t>Work Scrutiny at least half termly</w:t>
      </w:r>
      <w:r w:rsidR="00350C2F" w:rsidRPr="00BB064B">
        <w:rPr>
          <w:rFonts w:cs="Arial"/>
          <w:sz w:val="22"/>
          <w:szCs w:val="22"/>
          <w:lang w:val="en-GB"/>
        </w:rPr>
        <w:t xml:space="preserve"> to assess the quality of implementation of the curriculum and to evaluate the effectiveness of skills and knowledge </w:t>
      </w:r>
      <w:proofErr w:type="gramStart"/>
      <w:r w:rsidR="00350C2F" w:rsidRPr="00BB064B">
        <w:rPr>
          <w:rFonts w:cs="Arial"/>
          <w:sz w:val="22"/>
          <w:szCs w:val="22"/>
          <w:lang w:val="en-GB"/>
        </w:rPr>
        <w:t>acquisition</w:t>
      </w:r>
      <w:proofErr w:type="gramEnd"/>
    </w:p>
    <w:p w14:paraId="0992FA7A" w14:textId="77777777" w:rsidR="00CA6F3E" w:rsidRPr="00BB064B" w:rsidRDefault="00CA6F3E" w:rsidP="00CA6F3E">
      <w:pPr>
        <w:numPr>
          <w:ilvl w:val="0"/>
          <w:numId w:val="27"/>
        </w:numPr>
        <w:rPr>
          <w:rFonts w:cs="Arial"/>
          <w:sz w:val="22"/>
          <w:szCs w:val="22"/>
          <w:lang w:val="en-GB"/>
        </w:rPr>
      </w:pPr>
      <w:r w:rsidRPr="00BB064B">
        <w:rPr>
          <w:rFonts w:cs="Arial"/>
          <w:sz w:val="22"/>
          <w:szCs w:val="22"/>
          <w:lang w:val="en-GB"/>
        </w:rPr>
        <w:t>Evaluation of assessment information</w:t>
      </w:r>
      <w:r w:rsidR="00350C2F" w:rsidRPr="00BB064B">
        <w:rPr>
          <w:rFonts w:cs="Arial"/>
          <w:sz w:val="22"/>
          <w:szCs w:val="22"/>
          <w:lang w:val="en-GB"/>
        </w:rPr>
        <w:t xml:space="preserve"> to measure the impact of the curriculum and to ensure it is adjusted to ensure gaps in learning are </w:t>
      </w:r>
      <w:proofErr w:type="gramStart"/>
      <w:r w:rsidR="00350C2F" w:rsidRPr="00BB064B">
        <w:rPr>
          <w:rFonts w:cs="Arial"/>
          <w:sz w:val="22"/>
          <w:szCs w:val="22"/>
          <w:lang w:val="en-GB"/>
        </w:rPr>
        <w:t>addressed</w:t>
      </w:r>
      <w:proofErr w:type="gramEnd"/>
    </w:p>
    <w:p w14:paraId="632182A6" w14:textId="77777777" w:rsidR="00350C2F" w:rsidRPr="00BB064B" w:rsidRDefault="00350C2F" w:rsidP="00CA6F3E">
      <w:pPr>
        <w:numPr>
          <w:ilvl w:val="0"/>
          <w:numId w:val="27"/>
        </w:numPr>
        <w:rPr>
          <w:rFonts w:cs="Arial"/>
          <w:sz w:val="22"/>
          <w:szCs w:val="22"/>
          <w:lang w:val="en-GB"/>
        </w:rPr>
      </w:pPr>
      <w:r w:rsidRPr="00BB064B">
        <w:rPr>
          <w:rFonts w:cs="Arial"/>
          <w:sz w:val="22"/>
          <w:szCs w:val="22"/>
          <w:lang w:val="en-GB"/>
        </w:rPr>
        <w:t>Lesson Observations to check teacher subject knowledge; pedagogical content knowledge; sequencing and clarity of instruction.</w:t>
      </w:r>
    </w:p>
    <w:p w14:paraId="06A45048" w14:textId="77777777" w:rsidR="00350C2F" w:rsidRPr="00BB064B" w:rsidRDefault="00350C2F" w:rsidP="00CA6F3E">
      <w:pPr>
        <w:numPr>
          <w:ilvl w:val="0"/>
          <w:numId w:val="27"/>
        </w:numPr>
        <w:rPr>
          <w:rFonts w:cs="Arial"/>
          <w:sz w:val="22"/>
          <w:szCs w:val="22"/>
          <w:lang w:val="en-GB"/>
        </w:rPr>
      </w:pPr>
      <w:r w:rsidRPr="00BB064B">
        <w:rPr>
          <w:rFonts w:cs="Arial"/>
          <w:sz w:val="22"/>
          <w:szCs w:val="22"/>
          <w:lang w:val="en-GB"/>
        </w:rPr>
        <w:t xml:space="preserve">Learning Walks </w:t>
      </w:r>
    </w:p>
    <w:p w14:paraId="6FE9E5CB" w14:textId="77777777" w:rsidR="00350C2F" w:rsidRPr="00BB064B" w:rsidRDefault="00350C2F" w:rsidP="00CA6F3E">
      <w:pPr>
        <w:numPr>
          <w:ilvl w:val="0"/>
          <w:numId w:val="27"/>
        </w:numPr>
        <w:rPr>
          <w:rFonts w:cs="Arial"/>
          <w:sz w:val="22"/>
          <w:szCs w:val="22"/>
          <w:lang w:val="en-GB"/>
        </w:rPr>
      </w:pPr>
      <w:r w:rsidRPr="00BB064B">
        <w:rPr>
          <w:rFonts w:cs="Arial"/>
          <w:sz w:val="22"/>
          <w:szCs w:val="22"/>
          <w:lang w:val="en-GB"/>
        </w:rPr>
        <w:t xml:space="preserve">Pupil Voice – ideally with books – to test pupils’ acquisition of skills and knowledge and how teachers support them in their learning. </w:t>
      </w:r>
    </w:p>
    <w:p w14:paraId="6B699379" w14:textId="77777777" w:rsidR="00350C2F" w:rsidRPr="00BB064B" w:rsidRDefault="00350C2F" w:rsidP="00350C2F">
      <w:pPr>
        <w:rPr>
          <w:rFonts w:cs="Arial"/>
          <w:sz w:val="22"/>
          <w:szCs w:val="22"/>
          <w:lang w:val="en-GB"/>
        </w:rPr>
      </w:pPr>
    </w:p>
    <w:p w14:paraId="01006094" w14:textId="77777777" w:rsidR="00350C2F" w:rsidRPr="00BB064B" w:rsidRDefault="00350C2F" w:rsidP="00350C2F">
      <w:pPr>
        <w:rPr>
          <w:rFonts w:cs="Arial"/>
          <w:sz w:val="22"/>
          <w:szCs w:val="22"/>
          <w:lang w:val="en-GB"/>
        </w:rPr>
      </w:pPr>
      <w:r w:rsidRPr="00BB064B">
        <w:rPr>
          <w:rFonts w:cs="Arial"/>
          <w:sz w:val="22"/>
          <w:szCs w:val="22"/>
          <w:lang w:val="en-GB"/>
        </w:rPr>
        <w:t xml:space="preserve">All of the above are referenced in more detail within the monitoring and evaluation </w:t>
      </w:r>
      <w:proofErr w:type="gramStart"/>
      <w:r w:rsidRPr="00BB064B">
        <w:rPr>
          <w:rFonts w:cs="Arial"/>
          <w:sz w:val="22"/>
          <w:szCs w:val="22"/>
          <w:lang w:val="en-GB"/>
        </w:rPr>
        <w:t>policy</w:t>
      </w:r>
      <w:proofErr w:type="gramEnd"/>
      <w:r w:rsidRPr="00BB064B">
        <w:rPr>
          <w:rFonts w:cs="Arial"/>
          <w:sz w:val="22"/>
          <w:szCs w:val="22"/>
          <w:lang w:val="en-GB"/>
        </w:rPr>
        <w:t xml:space="preserve"> </w:t>
      </w:r>
    </w:p>
    <w:p w14:paraId="3FE9F23F" w14:textId="77777777" w:rsidR="00CA6F3E" w:rsidRPr="00BB064B" w:rsidRDefault="00CA6F3E" w:rsidP="00CA6F3E">
      <w:pPr>
        <w:ind w:left="720"/>
        <w:rPr>
          <w:rFonts w:cs="Arial"/>
          <w:sz w:val="22"/>
          <w:szCs w:val="22"/>
          <w:lang w:val="en-GB"/>
        </w:rPr>
      </w:pPr>
    </w:p>
    <w:p w14:paraId="45102083" w14:textId="77777777" w:rsidR="00CA7BF5" w:rsidRPr="00BB064B" w:rsidRDefault="00CA7BF5" w:rsidP="00CA7BF5">
      <w:pPr>
        <w:rPr>
          <w:rFonts w:cs="Arial"/>
          <w:i/>
          <w:sz w:val="22"/>
          <w:szCs w:val="22"/>
          <w:lang w:val="en-GB"/>
        </w:rPr>
      </w:pPr>
      <w:r w:rsidRPr="00BB064B">
        <w:rPr>
          <w:rFonts w:eastAsia="Calibri" w:cs="Arial"/>
          <w:sz w:val="22"/>
          <w:szCs w:val="22"/>
          <w:lang w:val="en-GB"/>
        </w:rPr>
        <w:t xml:space="preserve">This policy will be reviewed </w:t>
      </w:r>
      <w:r w:rsidR="00350C2F" w:rsidRPr="00BB064B">
        <w:rPr>
          <w:rFonts w:eastAsia="Calibri" w:cs="Arial"/>
          <w:sz w:val="22"/>
          <w:szCs w:val="22"/>
          <w:lang w:val="en-GB"/>
        </w:rPr>
        <w:t xml:space="preserve">every 3 years by the Trust Board and Governing Body at each </w:t>
      </w:r>
      <w:proofErr w:type="gramStart"/>
      <w:r w:rsidR="00350C2F" w:rsidRPr="00BB064B">
        <w:rPr>
          <w:rFonts w:eastAsia="Calibri" w:cs="Arial"/>
          <w:sz w:val="22"/>
          <w:szCs w:val="22"/>
          <w:lang w:val="en-GB"/>
        </w:rPr>
        <w:t>school</w:t>
      </w:r>
      <w:proofErr w:type="gramEnd"/>
    </w:p>
    <w:p w14:paraId="3D19FD30" w14:textId="77777777" w:rsidR="00CA7BF5" w:rsidRPr="00BB064B" w:rsidRDefault="00CA7BF5" w:rsidP="00CA7BF5">
      <w:pPr>
        <w:pStyle w:val="Heading1"/>
        <w:rPr>
          <w:rFonts w:cs="Arial"/>
          <w:sz w:val="22"/>
          <w:szCs w:val="22"/>
        </w:rPr>
      </w:pPr>
      <w:bookmarkStart w:id="7" w:name="_Toc496795961"/>
      <w:r w:rsidRPr="00BB064B">
        <w:rPr>
          <w:rFonts w:cs="Arial"/>
          <w:sz w:val="22"/>
          <w:szCs w:val="22"/>
        </w:rPr>
        <w:t>7. Links with other policies</w:t>
      </w:r>
      <w:bookmarkEnd w:id="7"/>
    </w:p>
    <w:p w14:paraId="6525F442" w14:textId="77777777" w:rsidR="00CA7BF5" w:rsidRPr="00BB064B" w:rsidRDefault="00CA7BF5" w:rsidP="00CA7BF5">
      <w:pPr>
        <w:rPr>
          <w:rFonts w:cs="Arial"/>
          <w:sz w:val="22"/>
          <w:szCs w:val="22"/>
          <w:lang w:val="en-GB"/>
        </w:rPr>
      </w:pPr>
      <w:r w:rsidRPr="00BB064B">
        <w:rPr>
          <w:rFonts w:cs="Arial"/>
          <w:sz w:val="22"/>
          <w:szCs w:val="22"/>
          <w:lang w:val="en-GB"/>
        </w:rPr>
        <w:t>This policy links to the following policies and procedures:</w:t>
      </w:r>
    </w:p>
    <w:p w14:paraId="7599CB63" w14:textId="32BA229F" w:rsidR="00CA7BF5" w:rsidRPr="00BB064B" w:rsidRDefault="00B57951" w:rsidP="00CA7BF5">
      <w:pPr>
        <w:numPr>
          <w:ilvl w:val="0"/>
          <w:numId w:val="21"/>
        </w:numPr>
        <w:rPr>
          <w:rFonts w:eastAsia="Times New Roman" w:cs="Arial"/>
          <w:color w:val="F15F22"/>
          <w:sz w:val="22"/>
          <w:szCs w:val="22"/>
          <w:lang w:val="en-GB"/>
        </w:rPr>
      </w:pPr>
      <w:r w:rsidRPr="00BB064B">
        <w:rPr>
          <w:rFonts w:eastAsia="Times New Roman" w:cs="Arial"/>
          <w:sz w:val="22"/>
          <w:szCs w:val="22"/>
          <w:lang w:val="en-GB"/>
        </w:rPr>
        <w:t>E</w:t>
      </w:r>
      <w:r w:rsidR="00CA7BF5" w:rsidRPr="00BB064B">
        <w:rPr>
          <w:rFonts w:eastAsia="Times New Roman" w:cs="Arial"/>
          <w:sz w:val="22"/>
          <w:szCs w:val="22"/>
          <w:lang w:val="en-GB"/>
        </w:rPr>
        <w:t>YFS policy</w:t>
      </w:r>
    </w:p>
    <w:p w14:paraId="4FD1ECE3" w14:textId="77777777" w:rsidR="00CA7BF5" w:rsidRPr="00BB064B" w:rsidRDefault="00CA7BF5" w:rsidP="00CA7BF5">
      <w:pPr>
        <w:numPr>
          <w:ilvl w:val="0"/>
          <w:numId w:val="21"/>
        </w:numPr>
        <w:rPr>
          <w:rFonts w:eastAsia="Times New Roman" w:cs="Arial"/>
          <w:sz w:val="22"/>
          <w:szCs w:val="22"/>
          <w:lang w:val="en-GB"/>
        </w:rPr>
      </w:pPr>
      <w:r w:rsidRPr="00BB064B">
        <w:rPr>
          <w:rFonts w:eastAsia="Times New Roman" w:cs="Arial"/>
          <w:sz w:val="22"/>
          <w:szCs w:val="22"/>
          <w:lang w:val="en-GB"/>
        </w:rPr>
        <w:t>Assessment</w:t>
      </w:r>
      <w:r w:rsidR="00350C2F" w:rsidRPr="00BB064B">
        <w:rPr>
          <w:rFonts w:eastAsia="Times New Roman" w:cs="Arial"/>
          <w:sz w:val="22"/>
          <w:szCs w:val="22"/>
          <w:lang w:val="en-GB"/>
        </w:rPr>
        <w:t>/feedback</w:t>
      </w:r>
      <w:r w:rsidRPr="00BB064B">
        <w:rPr>
          <w:rFonts w:eastAsia="Times New Roman" w:cs="Arial"/>
          <w:sz w:val="22"/>
          <w:szCs w:val="22"/>
          <w:lang w:val="en-GB"/>
        </w:rPr>
        <w:t xml:space="preserve"> policy</w:t>
      </w:r>
      <w:r w:rsidR="00350C2F" w:rsidRPr="00BB064B">
        <w:rPr>
          <w:rFonts w:eastAsia="Times New Roman" w:cs="Arial"/>
          <w:sz w:val="22"/>
          <w:szCs w:val="22"/>
          <w:lang w:val="en-GB"/>
        </w:rPr>
        <w:t xml:space="preserve"> (School policy)</w:t>
      </w:r>
    </w:p>
    <w:p w14:paraId="7511C3F0" w14:textId="0A440C43" w:rsidR="00CA7BF5" w:rsidRPr="00BB064B" w:rsidRDefault="00CA7BF5" w:rsidP="00CA7BF5">
      <w:pPr>
        <w:numPr>
          <w:ilvl w:val="0"/>
          <w:numId w:val="21"/>
        </w:numPr>
        <w:rPr>
          <w:rFonts w:eastAsia="Times New Roman" w:cs="Arial"/>
          <w:sz w:val="22"/>
          <w:szCs w:val="22"/>
          <w:lang w:val="en-GB"/>
        </w:rPr>
      </w:pPr>
      <w:r w:rsidRPr="4B1ED9C2">
        <w:rPr>
          <w:rFonts w:eastAsia="Times New Roman" w:cs="Arial"/>
          <w:sz w:val="22"/>
          <w:szCs w:val="22"/>
          <w:lang w:val="en-GB"/>
        </w:rPr>
        <w:t>SEND policy and information report</w:t>
      </w:r>
      <w:r w:rsidR="00350C2F" w:rsidRPr="4B1ED9C2">
        <w:rPr>
          <w:rFonts w:eastAsia="Times New Roman" w:cs="Arial"/>
          <w:sz w:val="22"/>
          <w:szCs w:val="22"/>
          <w:lang w:val="en-GB"/>
        </w:rPr>
        <w:t xml:space="preserve"> (Trust policy)</w:t>
      </w:r>
    </w:p>
    <w:p w14:paraId="78B0452D" w14:textId="77777777" w:rsidR="00882F7B" w:rsidRPr="00BB064B" w:rsidRDefault="00CA7BF5" w:rsidP="00882F7B">
      <w:pPr>
        <w:numPr>
          <w:ilvl w:val="0"/>
          <w:numId w:val="21"/>
        </w:numPr>
        <w:rPr>
          <w:rFonts w:eastAsia="Times New Roman" w:cs="Arial"/>
          <w:sz w:val="22"/>
          <w:szCs w:val="22"/>
          <w:lang w:val="en-GB"/>
        </w:rPr>
      </w:pPr>
      <w:r w:rsidRPr="00BB064B">
        <w:rPr>
          <w:rFonts w:eastAsia="Times New Roman" w:cs="Arial"/>
          <w:sz w:val="22"/>
          <w:szCs w:val="22"/>
          <w:lang w:val="en-GB"/>
        </w:rPr>
        <w:t>Equality information and objectives</w:t>
      </w:r>
      <w:r w:rsidR="00350C2F" w:rsidRPr="00BB064B">
        <w:rPr>
          <w:rFonts w:eastAsia="Times New Roman" w:cs="Arial"/>
          <w:sz w:val="22"/>
          <w:szCs w:val="22"/>
          <w:lang w:val="en-GB"/>
        </w:rPr>
        <w:t xml:space="preserve"> (Trust policy)</w:t>
      </w:r>
    </w:p>
    <w:p w14:paraId="676B63AA" w14:textId="77777777" w:rsidR="00CA6F3E" w:rsidRPr="00BB064B" w:rsidRDefault="00CA6F3E" w:rsidP="00350C2F">
      <w:pPr>
        <w:numPr>
          <w:ilvl w:val="0"/>
          <w:numId w:val="21"/>
        </w:numPr>
        <w:spacing w:before="0" w:after="160" w:line="259" w:lineRule="auto"/>
        <w:rPr>
          <w:rFonts w:eastAsia="Calibri" w:cs="Arial"/>
          <w:sz w:val="22"/>
          <w:szCs w:val="22"/>
          <w:lang w:val="en-GB"/>
        </w:rPr>
      </w:pPr>
      <w:r w:rsidRPr="00BB064B">
        <w:rPr>
          <w:rFonts w:eastAsia="Calibri" w:cs="Arial"/>
          <w:sz w:val="22"/>
          <w:szCs w:val="22"/>
          <w:lang w:val="en-GB"/>
        </w:rPr>
        <w:t>Teaching and Learning</w:t>
      </w:r>
      <w:r w:rsidR="00350C2F" w:rsidRPr="00BB064B">
        <w:rPr>
          <w:rFonts w:eastAsia="Calibri" w:cs="Arial"/>
          <w:sz w:val="22"/>
          <w:szCs w:val="22"/>
          <w:lang w:val="en-GB"/>
        </w:rPr>
        <w:t xml:space="preserve"> including CPD (School policy)</w:t>
      </w:r>
    </w:p>
    <w:p w14:paraId="6B832658" w14:textId="77777777" w:rsidR="00CA6F3E" w:rsidRPr="00BB064B" w:rsidRDefault="00CA6F3E" w:rsidP="00CA6F3E">
      <w:pPr>
        <w:numPr>
          <w:ilvl w:val="0"/>
          <w:numId w:val="21"/>
        </w:numPr>
        <w:spacing w:before="0" w:after="160" w:line="259" w:lineRule="auto"/>
        <w:rPr>
          <w:rFonts w:eastAsia="Calibri" w:cs="Arial"/>
          <w:sz w:val="22"/>
          <w:szCs w:val="22"/>
          <w:lang w:val="en-GB"/>
        </w:rPr>
      </w:pPr>
      <w:r w:rsidRPr="00BB064B">
        <w:rPr>
          <w:rFonts w:eastAsia="Calibri" w:cs="Arial"/>
          <w:sz w:val="22"/>
          <w:szCs w:val="22"/>
          <w:lang w:val="en-GB"/>
        </w:rPr>
        <w:t>Monitoring and Evaluation</w:t>
      </w:r>
      <w:r w:rsidR="00350C2F" w:rsidRPr="00BB064B">
        <w:rPr>
          <w:rFonts w:eastAsia="Calibri" w:cs="Arial"/>
          <w:sz w:val="22"/>
          <w:szCs w:val="22"/>
          <w:lang w:val="en-GB"/>
        </w:rPr>
        <w:t xml:space="preserve"> (School policy)</w:t>
      </w:r>
    </w:p>
    <w:p w14:paraId="2B1641BF" w14:textId="77777777" w:rsidR="00CA6F3E" w:rsidRPr="00BB064B" w:rsidRDefault="00CA6F3E" w:rsidP="00CA6F3E">
      <w:pPr>
        <w:numPr>
          <w:ilvl w:val="0"/>
          <w:numId w:val="21"/>
        </w:numPr>
        <w:spacing w:before="0" w:after="160" w:line="259" w:lineRule="auto"/>
        <w:rPr>
          <w:rFonts w:eastAsia="Calibri" w:cs="Arial"/>
          <w:sz w:val="22"/>
          <w:szCs w:val="22"/>
          <w:lang w:val="en-GB"/>
        </w:rPr>
      </w:pPr>
      <w:r w:rsidRPr="00BB064B">
        <w:rPr>
          <w:rFonts w:eastAsia="Calibri" w:cs="Arial"/>
          <w:sz w:val="22"/>
          <w:szCs w:val="22"/>
          <w:lang w:val="en-GB"/>
        </w:rPr>
        <w:t>NQT and RQT provision</w:t>
      </w:r>
      <w:r w:rsidR="00350C2F" w:rsidRPr="00BB064B">
        <w:rPr>
          <w:rFonts w:eastAsia="Calibri" w:cs="Arial"/>
          <w:sz w:val="22"/>
          <w:szCs w:val="22"/>
          <w:lang w:val="en-GB"/>
        </w:rPr>
        <w:t xml:space="preserve"> (School policy)</w:t>
      </w:r>
    </w:p>
    <w:p w14:paraId="1F72F646" w14:textId="77777777" w:rsidR="00CA7BF5" w:rsidRPr="00BB064B" w:rsidRDefault="00CA7BF5" w:rsidP="009240B6">
      <w:pPr>
        <w:pStyle w:val="Caption1"/>
        <w:rPr>
          <w:rFonts w:cs="Arial"/>
          <w:sz w:val="22"/>
          <w:szCs w:val="22"/>
        </w:rPr>
      </w:pPr>
    </w:p>
    <w:sectPr w:rsidR="00CA7BF5" w:rsidRPr="00BB064B" w:rsidSect="00002F71">
      <w:footerReference w:type="even" r:id="rId18"/>
      <w:footerReference w:type="default" r:id="rId19"/>
      <w:pgSz w:w="11900" w:h="16840"/>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F8CD" w14:textId="77777777" w:rsidR="00002F71" w:rsidRDefault="00002F71" w:rsidP="00FE4EBF">
      <w:pPr>
        <w:spacing w:before="0" w:after="0"/>
      </w:pPr>
      <w:r>
        <w:separator/>
      </w:r>
    </w:p>
  </w:endnote>
  <w:endnote w:type="continuationSeparator" w:id="0">
    <w:p w14:paraId="7010693F" w14:textId="77777777" w:rsidR="00002F71" w:rsidRDefault="00002F7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EB2F" w14:textId="4EB9691E" w:rsidR="00BB064B" w:rsidRDefault="00BB064B">
    <w:pPr>
      <w:pStyle w:val="Footer"/>
      <w:jc w:val="right"/>
    </w:pPr>
    <w:r>
      <w:t xml:space="preserve">Page | </w:t>
    </w:r>
    <w:r>
      <w:fldChar w:fldCharType="begin"/>
    </w:r>
    <w:r>
      <w:instrText xml:space="preserve"> PAGE   \* MERGEFORMAT </w:instrText>
    </w:r>
    <w:r>
      <w:fldChar w:fldCharType="separate"/>
    </w:r>
    <w:r w:rsidR="00822F15">
      <w:rPr>
        <w:noProof/>
      </w:rPr>
      <w:t>3</w:t>
    </w:r>
    <w:r>
      <w:rPr>
        <w:noProof/>
      </w:rPr>
      <w:fldChar w:fldCharType="end"/>
    </w:r>
    <w:r>
      <w:t xml:space="preserve"> </w:t>
    </w:r>
  </w:p>
  <w:p w14:paraId="6BB9E253"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E53F" w14:textId="77777777" w:rsidR="00002F71" w:rsidRDefault="00002F71" w:rsidP="00FE4EBF">
      <w:pPr>
        <w:spacing w:before="0" w:after="0"/>
      </w:pPr>
      <w:r>
        <w:separator/>
      </w:r>
    </w:p>
  </w:footnote>
  <w:footnote w:type="continuationSeparator" w:id="0">
    <w:p w14:paraId="7106C8E8" w14:textId="77777777" w:rsidR="00002F71" w:rsidRDefault="00002F7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A5B4A8D"/>
    <w:multiLevelType w:val="hybridMultilevel"/>
    <w:tmpl w:val="D76E46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CF8"/>
    <w:multiLevelType w:val="hybridMultilevel"/>
    <w:tmpl w:val="32B83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4673C"/>
    <w:multiLevelType w:val="hybridMultilevel"/>
    <w:tmpl w:val="47F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A3A66AE"/>
    <w:multiLevelType w:val="hybridMultilevel"/>
    <w:tmpl w:val="E0C4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285232901">
    <w:abstractNumId w:val="2"/>
  </w:num>
  <w:num w:numId="2" w16cid:durableId="82453547">
    <w:abstractNumId w:val="16"/>
  </w:num>
  <w:num w:numId="3" w16cid:durableId="481969922">
    <w:abstractNumId w:val="14"/>
  </w:num>
  <w:num w:numId="4" w16cid:durableId="352923550">
    <w:abstractNumId w:val="17"/>
  </w:num>
  <w:num w:numId="5" w16cid:durableId="456721520">
    <w:abstractNumId w:val="15"/>
  </w:num>
  <w:num w:numId="6" w16cid:durableId="180050054">
    <w:abstractNumId w:val="0"/>
  </w:num>
  <w:num w:numId="7" w16cid:durableId="109469795">
    <w:abstractNumId w:val="20"/>
  </w:num>
  <w:num w:numId="8" w16cid:durableId="965355859">
    <w:abstractNumId w:val="9"/>
  </w:num>
  <w:num w:numId="9" w16cid:durableId="955674164">
    <w:abstractNumId w:val="5"/>
  </w:num>
  <w:num w:numId="10" w16cid:durableId="1292705813">
    <w:abstractNumId w:val="6"/>
  </w:num>
  <w:num w:numId="11" w16cid:durableId="1265571994">
    <w:abstractNumId w:val="1"/>
  </w:num>
  <w:num w:numId="12" w16cid:durableId="797139721">
    <w:abstractNumId w:val="21"/>
  </w:num>
  <w:num w:numId="13" w16cid:durableId="1906454573">
    <w:abstractNumId w:val="8"/>
  </w:num>
  <w:num w:numId="14" w16cid:durableId="450128505">
    <w:abstractNumId w:val="10"/>
  </w:num>
  <w:num w:numId="15" w16cid:durableId="544410837">
    <w:abstractNumId w:val="19"/>
  </w:num>
  <w:num w:numId="16" w16cid:durableId="1108046799">
    <w:abstractNumId w:val="25"/>
  </w:num>
  <w:num w:numId="17" w16cid:durableId="959921024">
    <w:abstractNumId w:val="18"/>
  </w:num>
  <w:num w:numId="18" w16cid:durableId="360591115">
    <w:abstractNumId w:val="3"/>
  </w:num>
  <w:num w:numId="19" w16cid:durableId="1872956667">
    <w:abstractNumId w:val="26"/>
  </w:num>
  <w:num w:numId="20" w16cid:durableId="482816824">
    <w:abstractNumId w:val="22"/>
  </w:num>
  <w:num w:numId="21" w16cid:durableId="1994212801">
    <w:abstractNumId w:val="12"/>
  </w:num>
  <w:num w:numId="22" w16cid:durableId="410397794">
    <w:abstractNumId w:val="23"/>
  </w:num>
  <w:num w:numId="23" w16cid:durableId="2048335345">
    <w:abstractNumId w:val="11"/>
  </w:num>
  <w:num w:numId="24" w16cid:durableId="1990622608">
    <w:abstractNumId w:val="13"/>
  </w:num>
  <w:num w:numId="25" w16cid:durableId="1782846016">
    <w:abstractNumId w:val="4"/>
  </w:num>
  <w:num w:numId="26" w16cid:durableId="297927826">
    <w:abstractNumId w:val="7"/>
  </w:num>
  <w:num w:numId="27" w16cid:durableId="1060713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2F71"/>
    <w:rsid w:val="00004C51"/>
    <w:rsid w:val="00004D60"/>
    <w:rsid w:val="0001772B"/>
    <w:rsid w:val="0002420D"/>
    <w:rsid w:val="00035530"/>
    <w:rsid w:val="00042646"/>
    <w:rsid w:val="0006260D"/>
    <w:rsid w:val="00072C8E"/>
    <w:rsid w:val="0008664D"/>
    <w:rsid w:val="000A3B76"/>
    <w:rsid w:val="000A4735"/>
    <w:rsid w:val="000C7133"/>
    <w:rsid w:val="0011435C"/>
    <w:rsid w:val="00114978"/>
    <w:rsid w:val="001303E9"/>
    <w:rsid w:val="00130671"/>
    <w:rsid w:val="0013454C"/>
    <w:rsid w:val="0016639D"/>
    <w:rsid w:val="00173DAE"/>
    <w:rsid w:val="00174F40"/>
    <w:rsid w:val="001B0588"/>
    <w:rsid w:val="001B4527"/>
    <w:rsid w:val="001C1B9E"/>
    <w:rsid w:val="001E0E60"/>
    <w:rsid w:val="00204182"/>
    <w:rsid w:val="00212A1F"/>
    <w:rsid w:val="00214466"/>
    <w:rsid w:val="00223884"/>
    <w:rsid w:val="00225233"/>
    <w:rsid w:val="00235223"/>
    <w:rsid w:val="002667C5"/>
    <w:rsid w:val="00295B4D"/>
    <w:rsid w:val="002A4E9D"/>
    <w:rsid w:val="002A6265"/>
    <w:rsid w:val="002C03DF"/>
    <w:rsid w:val="002C58C6"/>
    <w:rsid w:val="002D18CC"/>
    <w:rsid w:val="002D1DEA"/>
    <w:rsid w:val="002F1222"/>
    <w:rsid w:val="00316437"/>
    <w:rsid w:val="003329F7"/>
    <w:rsid w:val="00346052"/>
    <w:rsid w:val="00350C2F"/>
    <w:rsid w:val="00381D1E"/>
    <w:rsid w:val="003925E5"/>
    <w:rsid w:val="003A593C"/>
    <w:rsid w:val="003B10D2"/>
    <w:rsid w:val="003B69E9"/>
    <w:rsid w:val="003C7B22"/>
    <w:rsid w:val="003D5D07"/>
    <w:rsid w:val="003F0736"/>
    <w:rsid w:val="00415566"/>
    <w:rsid w:val="004212FA"/>
    <w:rsid w:val="00427C5C"/>
    <w:rsid w:val="004345CD"/>
    <w:rsid w:val="00456549"/>
    <w:rsid w:val="00486D34"/>
    <w:rsid w:val="00486E8B"/>
    <w:rsid w:val="004A1EF2"/>
    <w:rsid w:val="004A7B1F"/>
    <w:rsid w:val="004B1D9E"/>
    <w:rsid w:val="004F4E3A"/>
    <w:rsid w:val="004F59E0"/>
    <w:rsid w:val="00500C32"/>
    <w:rsid w:val="0050218E"/>
    <w:rsid w:val="00507A48"/>
    <w:rsid w:val="00532F73"/>
    <w:rsid w:val="00535B52"/>
    <w:rsid w:val="005470CA"/>
    <w:rsid w:val="0055492E"/>
    <w:rsid w:val="00592D87"/>
    <w:rsid w:val="005A3D87"/>
    <w:rsid w:val="005D0014"/>
    <w:rsid w:val="006034F4"/>
    <w:rsid w:val="006045D7"/>
    <w:rsid w:val="00625AEA"/>
    <w:rsid w:val="00627D01"/>
    <w:rsid w:val="0063295A"/>
    <w:rsid w:val="0063638E"/>
    <w:rsid w:val="00655C88"/>
    <w:rsid w:val="00666271"/>
    <w:rsid w:val="006743EE"/>
    <w:rsid w:val="006A2FBA"/>
    <w:rsid w:val="006B0DAB"/>
    <w:rsid w:val="006B45EF"/>
    <w:rsid w:val="006B55A9"/>
    <w:rsid w:val="006C16C7"/>
    <w:rsid w:val="006C646B"/>
    <w:rsid w:val="00706F86"/>
    <w:rsid w:val="00746133"/>
    <w:rsid w:val="00761D98"/>
    <w:rsid w:val="00795C90"/>
    <w:rsid w:val="007B096D"/>
    <w:rsid w:val="007F2355"/>
    <w:rsid w:val="007F5DEE"/>
    <w:rsid w:val="00800604"/>
    <w:rsid w:val="00801947"/>
    <w:rsid w:val="00812C2B"/>
    <w:rsid w:val="00822F15"/>
    <w:rsid w:val="00856671"/>
    <w:rsid w:val="008704EB"/>
    <w:rsid w:val="00874A5F"/>
    <w:rsid w:val="00882F7B"/>
    <w:rsid w:val="008A513A"/>
    <w:rsid w:val="008B2C04"/>
    <w:rsid w:val="008B30A4"/>
    <w:rsid w:val="008B4C6F"/>
    <w:rsid w:val="008C0389"/>
    <w:rsid w:val="009240B6"/>
    <w:rsid w:val="00935EDC"/>
    <w:rsid w:val="00943C42"/>
    <w:rsid w:val="009469CE"/>
    <w:rsid w:val="00947F35"/>
    <w:rsid w:val="0095297D"/>
    <w:rsid w:val="00965A5E"/>
    <w:rsid w:val="0097144C"/>
    <w:rsid w:val="00975111"/>
    <w:rsid w:val="0097666B"/>
    <w:rsid w:val="009A058F"/>
    <w:rsid w:val="009A0C3F"/>
    <w:rsid w:val="009B5EC0"/>
    <w:rsid w:val="009D45F3"/>
    <w:rsid w:val="009D71AD"/>
    <w:rsid w:val="009E7244"/>
    <w:rsid w:val="00A06443"/>
    <w:rsid w:val="00A12788"/>
    <w:rsid w:val="00A12932"/>
    <w:rsid w:val="00A235AE"/>
    <w:rsid w:val="00A33276"/>
    <w:rsid w:val="00A40191"/>
    <w:rsid w:val="00A40B1E"/>
    <w:rsid w:val="00A6191A"/>
    <w:rsid w:val="00A77652"/>
    <w:rsid w:val="00A87153"/>
    <w:rsid w:val="00AA1F6E"/>
    <w:rsid w:val="00AC7CBB"/>
    <w:rsid w:val="00AF26DF"/>
    <w:rsid w:val="00B17762"/>
    <w:rsid w:val="00B57951"/>
    <w:rsid w:val="00B6750C"/>
    <w:rsid w:val="00B87717"/>
    <w:rsid w:val="00BB064B"/>
    <w:rsid w:val="00BB06E6"/>
    <w:rsid w:val="00BB73CF"/>
    <w:rsid w:val="00BC2427"/>
    <w:rsid w:val="00BE72EA"/>
    <w:rsid w:val="00C003A3"/>
    <w:rsid w:val="00C06898"/>
    <w:rsid w:val="00C40B9B"/>
    <w:rsid w:val="00C71B66"/>
    <w:rsid w:val="00C80490"/>
    <w:rsid w:val="00C82D41"/>
    <w:rsid w:val="00C9177C"/>
    <w:rsid w:val="00C91E1E"/>
    <w:rsid w:val="00CA34F8"/>
    <w:rsid w:val="00CA6F3E"/>
    <w:rsid w:val="00CA7BF5"/>
    <w:rsid w:val="00CC64F8"/>
    <w:rsid w:val="00CD2FDD"/>
    <w:rsid w:val="00CF1EB8"/>
    <w:rsid w:val="00D050A0"/>
    <w:rsid w:val="00D349B5"/>
    <w:rsid w:val="00D50311"/>
    <w:rsid w:val="00D61C50"/>
    <w:rsid w:val="00D6261F"/>
    <w:rsid w:val="00D657BA"/>
    <w:rsid w:val="00D86E0C"/>
    <w:rsid w:val="00D931CC"/>
    <w:rsid w:val="00DA4842"/>
    <w:rsid w:val="00DA50A5"/>
    <w:rsid w:val="00DA5265"/>
    <w:rsid w:val="00DC27D8"/>
    <w:rsid w:val="00DC33D6"/>
    <w:rsid w:val="00DE0286"/>
    <w:rsid w:val="00E226FC"/>
    <w:rsid w:val="00E25B4E"/>
    <w:rsid w:val="00E274BE"/>
    <w:rsid w:val="00E450AB"/>
    <w:rsid w:val="00E60B71"/>
    <w:rsid w:val="00E619BE"/>
    <w:rsid w:val="00E669D6"/>
    <w:rsid w:val="00E776DF"/>
    <w:rsid w:val="00E77C33"/>
    <w:rsid w:val="00E82FB1"/>
    <w:rsid w:val="00E86FCE"/>
    <w:rsid w:val="00E939DA"/>
    <w:rsid w:val="00EA02B3"/>
    <w:rsid w:val="00EB2894"/>
    <w:rsid w:val="00EC07FB"/>
    <w:rsid w:val="00ED30F9"/>
    <w:rsid w:val="00ED4599"/>
    <w:rsid w:val="00F00A1F"/>
    <w:rsid w:val="00F14521"/>
    <w:rsid w:val="00F32047"/>
    <w:rsid w:val="00F51608"/>
    <w:rsid w:val="00F62192"/>
    <w:rsid w:val="00F65CAE"/>
    <w:rsid w:val="00FE4EBF"/>
    <w:rsid w:val="00FE6F7D"/>
    <w:rsid w:val="00FF73D4"/>
    <w:rsid w:val="226F64BA"/>
    <w:rsid w:val="4B1ED9C2"/>
    <w:rsid w:val="6F098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E83ED"/>
  <w14:defaultImageDpi w14:val="300"/>
  <w15:chartTrackingRefBased/>
  <w15:docId w15:val="{48924D75-90B6-4250-97CD-A77978A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A235AE"/>
  </w:style>
  <w:style w:type="paragraph" w:styleId="Revision">
    <w:name w:val="Revision"/>
    <w:hidden/>
    <w:uiPriority w:val="71"/>
    <w:rsid w:val="00BB064B"/>
    <w:rPr>
      <w:rFonts w:ascii="Arial" w:hAnsi="Arial"/>
      <w:szCs w:val="24"/>
      <w:lang w:eastAsia="en-US"/>
    </w:rPr>
  </w:style>
  <w:style w:type="table" w:customStyle="1" w:styleId="TableGrid0">
    <w:name w:val="Table Grid0"/>
    <w:basedOn w:val="TableNormal"/>
    <w:uiPriority w:val="39"/>
    <w:rsid w:val="00FE6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national-curriculu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uploads/system/uploads/attachment_data/file/596629/EYFS_STATUTORY_FRAMEWORK_2017.pdf"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uk/ukpga/2010/15/part/6/chapter/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A08683DE1FD4B955C32244C5BD9A0" ma:contentTypeVersion="8" ma:contentTypeDescription="Create a new document." ma:contentTypeScope="" ma:versionID="45de044388557380acd3c3e3fc0a4a98">
  <xsd:schema xmlns:xsd="http://www.w3.org/2001/XMLSchema" xmlns:xs="http://www.w3.org/2001/XMLSchema" xmlns:p="http://schemas.microsoft.com/office/2006/metadata/properties" xmlns:ns2="c66dbc65-bc10-420d-bca3-c87811a07563" xmlns:ns3="f465de19-e938-4fcb-9033-ed8e00f9d1e7" targetNamespace="http://schemas.microsoft.com/office/2006/metadata/properties" ma:root="true" ma:fieldsID="b07eddcf25386d9ef6560d945ab817e2" ns2:_="" ns3:_="">
    <xsd:import namespace="c66dbc65-bc10-420d-bca3-c87811a07563"/>
    <xsd:import namespace="f465de19-e938-4fcb-9033-ed8e00f9d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bc65-bc10-420d-bca3-c87811a07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5de19-e938-4fcb-9033-ed8e00f9d1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DFEF-9915-4DF8-B69E-CF058ABEAF2D}">
  <ds:schemaRefs>
    <ds:schemaRef ds:uri="http://schemas.openxmlformats.org/officeDocument/2006/bibliography"/>
  </ds:schemaRefs>
</ds:datastoreItem>
</file>

<file path=customXml/itemProps2.xml><?xml version="1.0" encoding="utf-8"?>
<ds:datastoreItem xmlns:ds="http://schemas.openxmlformats.org/officeDocument/2006/customXml" ds:itemID="{FB7A30D1-EB69-413F-A079-764216F02EF8}">
  <ds:schemaRefs>
    <ds:schemaRef ds:uri="http://schemas.microsoft.com/sharepoint/v3/contenttype/forms"/>
  </ds:schemaRefs>
</ds:datastoreItem>
</file>

<file path=customXml/itemProps3.xml><?xml version="1.0" encoding="utf-8"?>
<ds:datastoreItem xmlns:ds="http://schemas.openxmlformats.org/officeDocument/2006/customXml" ds:itemID="{A64DE644-F08B-4B90-BA13-A608719D1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38046-5A12-4BC8-AF58-AE846ABB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bc65-bc10-420d-bca3-c87811a07563"/>
    <ds:schemaRef ds:uri="f465de19-e938-4fcb-9033-ed8e00f9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Andrew Hancox</cp:lastModifiedBy>
  <cp:revision>2</cp:revision>
  <dcterms:created xsi:type="dcterms:W3CDTF">2024-04-21T19:38:00Z</dcterms:created>
  <dcterms:modified xsi:type="dcterms:W3CDTF">2024-04-21T19:38:00Z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0x0101004D4A08683DE1FD4B955C32244C5BD9A0</vt:lpwstr>
  </property>
</Properties>
</file>