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3295A" w:rsidR="41B01123" w:rsidP="00C33904" w:rsidRDefault="0093295A" w14:paraId="554008DE" w14:textId="6CB7494F">
      <w:pPr>
        <w:jc w:val="center"/>
        <w:rPr>
          <w:rFonts w:cstheme="minorHAnsi"/>
          <w:i/>
          <w:color w:val="FF0000"/>
        </w:rPr>
      </w:pPr>
      <w:r w:rsidRPr="0093295A">
        <w:rPr>
          <w:rFonts w:cstheme="minorHAnsi"/>
          <w:i/>
          <w:color w:val="FF0000"/>
        </w:rPr>
        <w:t xml:space="preserve">*Blocks of Learning </w:t>
      </w:r>
      <w:proofErr w:type="gramStart"/>
      <w:r w:rsidRPr="0093295A">
        <w:rPr>
          <w:rFonts w:cstheme="minorHAnsi"/>
          <w:i/>
          <w:color w:val="FF0000"/>
        </w:rPr>
        <w:t>can be taught</w:t>
      </w:r>
      <w:proofErr w:type="gramEnd"/>
      <w:r w:rsidRPr="0093295A">
        <w:rPr>
          <w:rFonts w:cstheme="minorHAnsi"/>
          <w:i/>
          <w:color w:val="FF0000"/>
        </w:rPr>
        <w:t xml:space="preserve"> in any order within a specified year and represent one term’s </w:t>
      </w:r>
      <w:r>
        <w:rPr>
          <w:rFonts w:cstheme="minorHAnsi"/>
          <w:i/>
          <w:color w:val="FF0000"/>
        </w:rPr>
        <w:t>worth of teaching and learning*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18"/>
        <w:gridCol w:w="4725"/>
        <w:gridCol w:w="4725"/>
        <w:gridCol w:w="4725"/>
      </w:tblGrid>
      <w:tr w:rsidRPr="007E26AE" w:rsidR="00C33904" w:rsidTr="1BC90FF2" w14:paraId="0C944EF1" w14:textId="77777777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7E26AE" w:rsidR="00C33904" w:rsidP="00C33904" w:rsidRDefault="00C33904" w14:paraId="56AC6B6B" w14:textId="77777777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eastAsiaTheme="minorEastAsia" w:cstheme="minorHAnsi"/>
                <w:b/>
                <w:bCs/>
              </w:rPr>
              <w:t>YEAR A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C33904" w:rsidP="00C33904" w:rsidRDefault="0093295A" w14:paraId="2FA1D185" w14:textId="4E440CF3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1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C33904" w:rsidP="0093295A" w:rsidRDefault="0093295A" w14:paraId="6DEFB980" w14:textId="69CF7529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2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C33904" w:rsidP="0093295A" w:rsidRDefault="0093295A" w14:paraId="20AC49B4" w14:textId="00BC714D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3</w:t>
            </w:r>
          </w:p>
        </w:tc>
      </w:tr>
      <w:tr w:rsidRPr="007E26AE" w:rsidR="007E26AE" w:rsidTr="1BC90FF2" w14:paraId="038748B8" w14:textId="77777777">
        <w:trPr>
          <w:trHeight w:val="1455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7E26AE" w:rsidP="007E26AE" w:rsidRDefault="007E26AE" w14:paraId="6DA7E189" w14:textId="445F79D7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1/2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E032FD" w:rsidR="007E26AE" w:rsidP="1BC90FF2" w:rsidRDefault="007E26AE" w14:paraId="5C842E31" w14:textId="227D8C04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1BC90FF2" w:rsidR="007E26AE">
              <w:rPr>
                <w:rFonts w:eastAsia="" w:cs="Calibri" w:eastAsiaTheme="minorEastAsia" w:cstheme="minorAscii"/>
                <w:b w:val="1"/>
                <w:bCs w:val="1"/>
              </w:rPr>
              <w:t>Changes within living memory</w:t>
            </w:r>
            <w:r w:rsidRPr="1BC90FF2" w:rsidR="1BC90FF2">
              <w:rPr>
                <w:rFonts w:eastAsia="" w:cs="Calibri" w:eastAsiaTheme="minorEastAsia" w:cstheme="minorAscii"/>
                <w:b w:val="1"/>
                <w:bCs w:val="1"/>
              </w:rPr>
              <w:t xml:space="preserve"> 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E032FD" w:rsidR="007E26AE" w:rsidP="1BC90FF2" w:rsidRDefault="007E26AE" w14:paraId="55ECFD85" w14:textId="09D43EA2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1BC90FF2" w:rsidR="007E26AE">
              <w:rPr>
                <w:rFonts w:eastAsia="" w:cs="Calibri" w:eastAsiaTheme="minorEastAsia" w:cstheme="minorAscii"/>
                <w:b w:val="1"/>
                <w:bCs w:val="1"/>
              </w:rPr>
              <w:t>Learn about events beyond living memory that are significant nationally or globally</w:t>
            </w:r>
            <w:r w:rsidRPr="1BC90FF2" w:rsidR="00E032FD">
              <w:rPr>
                <w:rFonts w:eastAsia="" w:cs="Calibri" w:eastAsiaTheme="minorEastAsia" w:cstheme="minorAscii"/>
                <w:b w:val="1"/>
                <w:bCs w:val="1"/>
              </w:rPr>
              <w:t xml:space="preserve"> /</w:t>
            </w:r>
            <w:r w:rsidRPr="1BC90FF2" w:rsidR="007E26AE">
              <w:rPr>
                <w:rFonts w:eastAsia="" w:cs="Calibri" w:eastAsiaTheme="minorEastAsia" w:cstheme="minorAscii"/>
                <w:b w:val="1"/>
                <w:bCs w:val="1"/>
              </w:rPr>
              <w:t xml:space="preserve">lives of significant individuals in the past who have contributed to national </w:t>
            </w:r>
            <w:r w:rsidRPr="1BC90FF2" w:rsidR="00E032FD">
              <w:rPr>
                <w:rFonts w:eastAsia="" w:cs="Calibri" w:eastAsiaTheme="minorEastAsia" w:cstheme="minorAscii"/>
                <w:b w:val="1"/>
                <w:bCs w:val="1"/>
              </w:rPr>
              <w:t>and international achievements</w:t>
            </w:r>
            <w:r w:rsidRPr="1BC90FF2" w:rsidR="1BC90FF2">
              <w:rPr>
                <w:rFonts w:eastAsia="" w:cs="Calibri" w:eastAsiaTheme="minorEastAsia" w:cstheme="minorAscii"/>
                <w:b w:val="1"/>
                <w:bCs w:val="1"/>
              </w:rPr>
              <w:t xml:space="preserve"> 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7E26AE" w:rsidP="1BC90FF2" w:rsidRDefault="007E26AE" w14:paraId="7541A19D" w14:textId="77DD39C8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1BC90FF2" w:rsidR="007E26AE">
              <w:rPr>
                <w:rFonts w:eastAsia="" w:cs="Calibri" w:eastAsiaTheme="minorEastAsia" w:cstheme="minorAscii"/>
                <w:b w:val="1"/>
                <w:bCs w:val="1"/>
              </w:rPr>
              <w:t>Learn about the lives of signif</w:t>
            </w:r>
            <w:r w:rsidRPr="1BC90FF2" w:rsidR="00E032FD">
              <w:rPr>
                <w:rFonts w:eastAsia="" w:cs="Calibri" w:eastAsiaTheme="minorEastAsia" w:cstheme="minorAscii"/>
                <w:b w:val="1"/>
                <w:bCs w:val="1"/>
              </w:rPr>
              <w:t xml:space="preserve">icant individuals from the past / </w:t>
            </w:r>
            <w:r w:rsidRPr="1BC90FF2" w:rsidR="007E26AE">
              <w:rPr>
                <w:rFonts w:eastAsia="" w:cs="Calibri" w:eastAsiaTheme="minorEastAsia" w:cstheme="minorAscii"/>
                <w:b w:val="1"/>
                <w:bCs w:val="1"/>
              </w:rPr>
              <w:t>significant historical people in their local area</w:t>
            </w:r>
          </w:p>
          <w:p w:rsidRPr="007E26AE" w:rsidR="007E26AE" w:rsidP="1BC90FF2" w:rsidRDefault="007E26AE" w14:paraId="7FC6AA7C" w14:textId="0B93226F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</w:p>
        </w:tc>
      </w:tr>
      <w:tr w:rsidRPr="007E26AE" w:rsidR="007E26AE" w:rsidTr="1BC90FF2" w14:paraId="3C5CDEED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7E26AE" w:rsidP="007E26AE" w:rsidRDefault="00297001" w14:paraId="77FD5D15" w14:textId="5C912A7A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7E26AE" w:rsidP="1BC90FF2" w:rsidRDefault="007E26AE" w14:paraId="5C3F7805" w14:textId="3974C4CB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1BC90FF2" w:rsidR="007E26A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Grandparents (toys/transport)</w:t>
            </w:r>
          </w:p>
          <w:p w:rsidRPr="007E26AE" w:rsidR="007E26AE" w:rsidP="1BC90FF2" w:rsidRDefault="007E26AE" w14:paraId="4DE8EF35" w14:textId="442C0740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7E26AE" w:rsidP="1BC90FF2" w:rsidRDefault="007E26AE" w14:paraId="7C2D9267" w14:textId="0E558A07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1BC90FF2" w:rsidR="007E26A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London’s Burning: </w:t>
            </w:r>
            <w:r w:rsidRPr="1BC90FF2" w:rsidR="007E26A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Great Fire of London, Samuel Pepys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7E26AE" w:rsidP="1BC90FF2" w:rsidRDefault="007E26AE" w14:paraId="73106F73" w14:textId="1D091425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1BC90FF2" w:rsidR="007E26A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Sailing the Seven Seas:</w:t>
            </w:r>
            <w:r w:rsidRPr="1BC90FF2" w:rsidR="007E26AE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1BC90FF2" w:rsidR="007E26A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Blackbeard &amp; Brunel</w:t>
            </w:r>
          </w:p>
          <w:p w:rsidRPr="007E26AE" w:rsidR="007E26AE" w:rsidP="1BC90FF2" w:rsidRDefault="007E26AE" w14:paraId="7B566490" w14:textId="55A4D9C5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</w:tr>
      <w:tr w:rsidRPr="007E26AE" w:rsidR="007E26AE" w:rsidTr="1BC90FF2" w14:paraId="486B2C46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7E26AE" w:rsidP="007E26AE" w:rsidRDefault="007E26AE" w14:paraId="51E0F241" w14:textId="1D4FCEC1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3/4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Pr="007E26AE" w:rsidR="007E26AE" w:rsidP="007E26AE" w:rsidRDefault="007E26AE" w14:paraId="3DBA7E61" w14:textId="7155DEF6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Prehistoric Britain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7E26AE" w:rsidP="007E26AE" w:rsidRDefault="007E26AE" w14:paraId="2F1BDF70" w14:textId="1F81F6F0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Local History Study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  <w:vAlign w:val="center"/>
          </w:tcPr>
          <w:p w:rsidRPr="007E26AE" w:rsidR="007E26AE" w:rsidP="007E26AE" w:rsidRDefault="007E26AE" w14:paraId="5B578A8D" w14:textId="18AA7AA9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Events Beyond 1066</w:t>
            </w:r>
          </w:p>
        </w:tc>
      </w:tr>
      <w:tr w:rsidRPr="007E26AE" w:rsidR="007E26AE" w:rsidTr="1BC90FF2" w14:paraId="38AA3E2A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7E26AE" w:rsidP="007E26AE" w:rsidRDefault="00297001" w14:paraId="528E463B" w14:textId="7C5B81B5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Pr="007E26AE" w:rsidR="007E26AE" w:rsidP="007E26AE" w:rsidRDefault="007E26AE" w14:paraId="3729263E" w14:textId="67FE1E8C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 w:rsidRPr="007E26AE">
              <w:rPr>
                <w:rFonts w:eastAsiaTheme="minorEastAsia" w:cstheme="minorHAnsi"/>
                <w:i/>
                <w:sz w:val="20"/>
              </w:rPr>
              <w:t>Stone Age</w:t>
            </w:r>
            <w:r w:rsidR="005C4EE2">
              <w:rPr>
                <w:rFonts w:eastAsiaTheme="minorEastAsia" w:cstheme="minorHAnsi"/>
                <w:i/>
                <w:sz w:val="20"/>
              </w:rPr>
              <w:t>*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7E26AE" w:rsidP="007E26AE" w:rsidRDefault="007E26AE" w14:paraId="440340AB" w14:textId="57EB2390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proofErr w:type="spellStart"/>
            <w:r w:rsidRPr="007E26AE">
              <w:rPr>
                <w:rFonts w:eastAsiaTheme="minorEastAsia" w:cstheme="minorHAnsi"/>
                <w:i/>
                <w:sz w:val="20"/>
              </w:rPr>
              <w:t>Seend</w:t>
            </w:r>
            <w:proofErr w:type="spellEnd"/>
            <w:r w:rsidRPr="007E26AE">
              <w:rPr>
                <w:rFonts w:eastAsiaTheme="minorEastAsia" w:cstheme="minorHAnsi"/>
                <w:i/>
                <w:sz w:val="20"/>
              </w:rPr>
              <w:t xml:space="preserve">, </w:t>
            </w:r>
            <w:proofErr w:type="spellStart"/>
            <w:r w:rsidRPr="007E26AE">
              <w:rPr>
                <w:rFonts w:eastAsiaTheme="minorEastAsia" w:cstheme="minorHAnsi"/>
                <w:i/>
                <w:sz w:val="20"/>
              </w:rPr>
              <w:t>Semington</w:t>
            </w:r>
            <w:proofErr w:type="spellEnd"/>
            <w:r w:rsidRPr="007E26AE">
              <w:rPr>
                <w:rFonts w:eastAsiaTheme="minorEastAsia" w:cstheme="minorHAnsi"/>
                <w:i/>
                <w:sz w:val="20"/>
              </w:rPr>
              <w:t xml:space="preserve">, Broughton Gifford, Bath, </w:t>
            </w:r>
            <w:proofErr w:type="spellStart"/>
            <w:r w:rsidRPr="007E26AE">
              <w:rPr>
                <w:rFonts w:eastAsiaTheme="minorEastAsia" w:cstheme="minorHAnsi"/>
                <w:i/>
                <w:sz w:val="20"/>
              </w:rPr>
              <w:t>Corsham</w:t>
            </w:r>
            <w:proofErr w:type="spellEnd"/>
            <w:r w:rsidRPr="007E26AE">
              <w:rPr>
                <w:rFonts w:eastAsiaTheme="minorEastAsia" w:cstheme="minorHAnsi"/>
                <w:i/>
                <w:sz w:val="20"/>
              </w:rPr>
              <w:t xml:space="preserve"> </w:t>
            </w:r>
            <w:proofErr w:type="spellStart"/>
            <w:r w:rsidRPr="007E26AE">
              <w:rPr>
                <w:rFonts w:eastAsiaTheme="minorEastAsia" w:cstheme="minorHAnsi"/>
                <w:i/>
                <w:sz w:val="20"/>
              </w:rPr>
              <w:t>etc</w:t>
            </w:r>
            <w:proofErr w:type="spellEnd"/>
          </w:p>
        </w:tc>
        <w:tc>
          <w:tcPr>
            <w:tcW w:w="4725" w:type="dxa"/>
            <w:shd w:val="clear" w:color="auto" w:fill="BDD6EE" w:themeFill="accent1" w:themeFillTint="66"/>
            <w:tcMar/>
            <w:vAlign w:val="center"/>
          </w:tcPr>
          <w:p w:rsidRPr="007E26AE" w:rsidR="007E26AE" w:rsidP="39D4D41D" w:rsidRDefault="007E26AE" w14:paraId="4BD4AAD3" w14:textId="2C7A49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39D4D41D" w:rsidR="39D4D4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Tudors, Normans, Victorians, changing power of monarchs, crime and punishment, leisure and entertainment, legacy of Greek/Roman culture, significant turning points in British history (</w:t>
            </w:r>
            <w:proofErr w:type="gramStart"/>
            <w:r w:rsidRPr="39D4D41D" w:rsidR="39D4D4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e.g.</w:t>
            </w:r>
            <w:proofErr w:type="gramEnd"/>
            <w:r w:rsidRPr="39D4D41D" w:rsidR="39D4D4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railways, Battle of Britain), Windrush, Slave Trade</w:t>
            </w:r>
          </w:p>
        </w:tc>
      </w:tr>
      <w:tr w:rsidRPr="007E26AE" w:rsidR="007E26AE" w:rsidTr="1BC90FF2" w14:paraId="4DAC45D9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7E26AE" w:rsidP="007E26AE" w:rsidRDefault="007E26AE" w14:paraId="761F9F1B" w14:textId="1745240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5/6</w:t>
            </w:r>
          </w:p>
        </w:tc>
        <w:tc>
          <w:tcPr>
            <w:tcW w:w="4725" w:type="dxa"/>
            <w:shd w:val="clear" w:color="auto" w:fill="F7CAAC" w:themeFill="accent2" w:themeFillTint="66"/>
            <w:tcMar/>
            <w:vAlign w:val="center"/>
          </w:tcPr>
          <w:p w:rsidRPr="007E26AE" w:rsidR="007E26AE" w:rsidP="007E26AE" w:rsidRDefault="007E26AE" w14:paraId="3627C472" w14:textId="6EBA5D12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Non-European Study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Pr="007E26AE" w:rsidR="007E26AE" w:rsidP="007E26AE" w:rsidRDefault="007E26AE" w14:paraId="2EA82A26" w14:textId="298DB017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Invaders &amp; Settlers</w:t>
            </w:r>
            <w:bookmarkStart w:name="_GoBack" w:id="0"/>
            <w:bookmarkEnd w:id="0"/>
          </w:p>
        </w:tc>
        <w:tc>
          <w:tcPr>
            <w:tcW w:w="4725" w:type="dxa"/>
            <w:shd w:val="clear" w:color="auto" w:fill="BDD6EE" w:themeFill="accent1" w:themeFillTint="66"/>
            <w:tcMar/>
            <w:vAlign w:val="center"/>
          </w:tcPr>
          <w:p w:rsidRPr="007E26AE" w:rsidR="007E26AE" w:rsidP="007E26AE" w:rsidRDefault="007E26AE" w14:paraId="0465BA64" w14:textId="229DB190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Events Beyond 1066</w:t>
            </w:r>
          </w:p>
        </w:tc>
      </w:tr>
      <w:tr w:rsidRPr="007E26AE" w:rsidR="007E26AE" w:rsidTr="1BC90FF2" w14:paraId="13BE45A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7E26AE" w:rsidP="007E26AE" w:rsidRDefault="00297001" w14:paraId="65008686" w14:textId="6965B738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7CAAC" w:themeFill="accent2" w:themeFillTint="66"/>
            <w:tcMar/>
            <w:vAlign w:val="center"/>
          </w:tcPr>
          <w:p w:rsidRPr="007E26AE" w:rsidR="007E26AE" w:rsidP="00A027D9" w:rsidRDefault="007E26AE" w14:paraId="6035A3B6" w14:textId="18F1AB78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 w:rsidRPr="007E26AE">
              <w:rPr>
                <w:rFonts w:eastAsiaTheme="minorEastAsia" w:cstheme="minorHAnsi"/>
                <w:i/>
                <w:sz w:val="20"/>
              </w:rPr>
              <w:t>Early Islam, Baghdad, Mayans, Benin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Pr="007E26AE" w:rsidR="007E26AE" w:rsidP="39D4D41D" w:rsidRDefault="007E26AE" w14:paraId="04D65F94" w14:textId="4764BA80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9D4D41D" w:rsidR="0093295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The Vikings</w:t>
            </w:r>
            <w:r w:rsidRPr="39D4D41D" w:rsidR="005C4EE2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*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  <w:vAlign w:val="center"/>
          </w:tcPr>
          <w:p w:rsidRPr="007E26AE" w:rsidR="007E26AE" w:rsidP="39D4D41D" w:rsidRDefault="007E26AE" w14:paraId="2F1D57CE" w14:textId="38B2C6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9D4D41D" w:rsidR="39D4D41D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World War 2</w:t>
            </w:r>
          </w:p>
        </w:tc>
      </w:tr>
    </w:tbl>
    <w:p w:rsidRPr="007E26AE" w:rsidR="00C33904" w:rsidP="00C33904" w:rsidRDefault="00C33904" w14:paraId="1BAE9F28" w14:textId="1394A560">
      <w:pPr>
        <w:jc w:val="center"/>
        <w:rPr>
          <w:rFonts w:cstheme="minorHAnsi"/>
          <w:b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18"/>
        <w:gridCol w:w="4725"/>
        <w:gridCol w:w="4725"/>
        <w:gridCol w:w="4725"/>
      </w:tblGrid>
      <w:tr w:rsidRPr="007E26AE" w:rsidR="0093295A" w:rsidTr="39D4D41D" w14:paraId="6B6EFCD8" w14:textId="77777777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7E26AE" w:rsidR="0093295A" w:rsidP="0093295A" w:rsidRDefault="0093295A" w14:paraId="151C7011" w14:textId="5DEE21D4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eastAsiaTheme="minorEastAsia" w:cstheme="minorHAnsi"/>
                <w:b/>
                <w:bCs/>
              </w:rPr>
              <w:t>YEAR B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93295A" w:rsidP="0093295A" w:rsidRDefault="0093295A" w14:paraId="7F03E7EE" w14:textId="700F1AFD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1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93295A" w:rsidP="0093295A" w:rsidRDefault="0093295A" w14:paraId="53E598A9" w14:textId="12E3BBAA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2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93295A" w:rsidP="0093295A" w:rsidRDefault="0093295A" w14:paraId="2A1E6755" w14:textId="1C17ABA3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3</w:t>
            </w:r>
          </w:p>
        </w:tc>
      </w:tr>
      <w:tr w:rsidRPr="007E26AE" w:rsidR="0093295A" w:rsidTr="39D4D41D" w14:paraId="2CD27E7E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93295A" w:rsidP="0093295A" w:rsidRDefault="0093295A" w14:paraId="535B8BB0" w14:textId="076901EA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1/2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93295A" w:rsidP="00E032FD" w:rsidRDefault="0093295A" w14:paraId="7A0ABE51" w14:textId="17E953A6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eastAsiaTheme="minorEastAsia" w:cstheme="minorHAnsi"/>
                <w:b/>
              </w:rPr>
              <w:t>Learn about the lives of signif</w:t>
            </w:r>
            <w:r w:rsidR="00E032FD">
              <w:rPr>
                <w:rFonts w:eastAsiaTheme="minorEastAsia" w:cstheme="minorHAnsi"/>
                <w:b/>
              </w:rPr>
              <w:t xml:space="preserve">icant individuals from the past / </w:t>
            </w:r>
            <w:r w:rsidRPr="007E26AE">
              <w:rPr>
                <w:rFonts w:eastAsiaTheme="minorEastAsia" w:cstheme="minorHAnsi"/>
                <w:b/>
              </w:rPr>
              <w:t>significant historical people in their local area</w:t>
            </w:r>
            <w:r w:rsidRPr="007E26AE">
              <w:rPr>
                <w:rFonts w:eastAsiaTheme="minorEastAsia" w:cstheme="minorHAnsi"/>
                <w:b/>
                <w:bCs/>
              </w:rPr>
              <w:t>.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93295A" w:rsidP="0093295A" w:rsidRDefault="0093295A" w14:paraId="09343266" w14:textId="20329406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eastAsiaTheme="minorEastAsia" w:cstheme="minorHAnsi"/>
                <w:b/>
              </w:rPr>
              <w:t>Learn about the lives of signifi</w:t>
            </w:r>
            <w:r w:rsidR="00E032FD">
              <w:rPr>
                <w:rFonts w:eastAsiaTheme="minorEastAsia" w:cstheme="minorHAnsi"/>
                <w:b/>
              </w:rPr>
              <w:t>cant individuals from the past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93295A" w:rsidP="0093295A" w:rsidRDefault="0093295A" w14:paraId="327E2808" w14:textId="5AA8C150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eastAsiaTheme="minorEastAsia" w:cstheme="minorHAnsi"/>
                <w:b/>
              </w:rPr>
              <w:t xml:space="preserve">Learn about significant events, people and places in their own locality </w:t>
            </w:r>
          </w:p>
        </w:tc>
      </w:tr>
      <w:tr w:rsidRPr="007E26AE" w:rsidR="0093295A" w:rsidTr="39D4D41D" w14:paraId="1BBA4EC5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93295A" w:rsidP="0093295A" w:rsidRDefault="0093295A" w14:paraId="224B7B78" w14:textId="2B4E3488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93295A" w:rsidP="0093295A" w:rsidRDefault="0093295A" w14:paraId="44CC8050" w14:textId="56F1DDF2">
            <w:pPr>
              <w:jc w:val="center"/>
              <w:rPr>
                <w:rFonts w:eastAsiaTheme="minorEastAsia" w:cstheme="minorHAnsi"/>
                <w:bCs/>
                <w:i/>
              </w:rPr>
            </w:pPr>
            <w:r w:rsidRPr="007E26AE">
              <w:rPr>
                <w:rFonts w:eastAsiaTheme="minorEastAsia" w:cstheme="minorHAnsi"/>
                <w:bCs/>
                <w:i/>
              </w:rPr>
              <w:t xml:space="preserve">Mary </w:t>
            </w:r>
            <w:proofErr w:type="spellStart"/>
            <w:r w:rsidRPr="007E26AE">
              <w:rPr>
                <w:rFonts w:eastAsiaTheme="minorEastAsia" w:cstheme="minorHAnsi"/>
                <w:bCs/>
                <w:i/>
              </w:rPr>
              <w:t>Anning</w:t>
            </w:r>
            <w:proofErr w:type="spellEnd"/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93295A" w:rsidP="0093295A" w:rsidRDefault="0093295A" w14:paraId="74634F1B" w14:textId="75B58C74">
            <w:pPr>
              <w:jc w:val="center"/>
              <w:rPr>
                <w:rFonts w:eastAsiaTheme="minorEastAsia" w:cstheme="minorHAnsi"/>
                <w:bCs/>
                <w:i/>
              </w:rPr>
            </w:pPr>
            <w:r w:rsidRPr="007E26AE">
              <w:rPr>
                <w:rFonts w:eastAsiaTheme="minorEastAsia" w:cstheme="minorHAnsi"/>
                <w:i/>
              </w:rPr>
              <w:t>Incredible Journeys: Robert Stephenson, Amy Johnson, Christopher Columbus, Neil Armstrong</w:t>
            </w:r>
          </w:p>
        </w:tc>
        <w:tc>
          <w:tcPr>
            <w:tcW w:w="4725" w:type="dxa"/>
            <w:shd w:val="clear" w:color="auto" w:fill="FFE599" w:themeFill="accent4" w:themeFillTint="66"/>
            <w:tcMar/>
            <w:vAlign w:val="center"/>
          </w:tcPr>
          <w:p w:rsidRPr="007E26AE" w:rsidR="0093295A" w:rsidP="0093295A" w:rsidRDefault="0093295A" w14:paraId="20DEBB0B" w14:textId="5E267C20">
            <w:pPr>
              <w:jc w:val="center"/>
              <w:rPr>
                <w:rFonts w:eastAsiaTheme="minorEastAsia" w:cstheme="minorHAnsi"/>
                <w:bCs/>
                <w:i/>
              </w:rPr>
            </w:pPr>
            <w:r w:rsidRPr="007E26AE">
              <w:rPr>
                <w:rFonts w:eastAsiaTheme="minorEastAsia" w:cstheme="minorHAnsi"/>
                <w:i/>
              </w:rPr>
              <w:t>Marvellous Medieval: castles and knights</w:t>
            </w:r>
          </w:p>
        </w:tc>
      </w:tr>
      <w:tr w:rsidRPr="007E26AE" w:rsidR="0093295A" w:rsidTr="39D4D41D" w14:paraId="12D5DD2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93295A" w:rsidP="0093295A" w:rsidRDefault="0093295A" w14:paraId="556C90C4" w14:textId="2FC5602F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3/4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Pr="007E26AE" w:rsidR="0093295A" w:rsidP="0093295A" w:rsidRDefault="0093295A" w14:paraId="40FA87B2" w14:textId="45DECC52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Early Civilisations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Pr="007E26AE" w:rsidR="0093295A" w:rsidP="0093295A" w:rsidRDefault="0093295A" w14:paraId="66347EFE" w14:textId="45AF9F80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Invaders &amp; Settlers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  <w:vAlign w:val="center"/>
          </w:tcPr>
          <w:p w:rsidRPr="007E26AE" w:rsidR="0093295A" w:rsidP="0093295A" w:rsidRDefault="0093295A" w14:paraId="06F8D37B" w14:textId="502C16DB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Events Beyond 1066</w:t>
            </w:r>
          </w:p>
        </w:tc>
      </w:tr>
      <w:tr w:rsidRPr="007E26AE" w:rsidR="0093295A" w:rsidTr="39D4D41D" w14:paraId="728713F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93295A" w:rsidP="0093295A" w:rsidRDefault="0093295A" w14:paraId="3192790A" w14:textId="5B1193A3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Pr="007E26AE" w:rsidR="0093295A" w:rsidP="39D4D41D" w:rsidRDefault="0093295A" w14:paraId="5B3A33DF" w14:textId="02D78260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9D4D41D" w:rsidR="0093295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Ancient Sumer</w:t>
            </w:r>
            <w:r w:rsidRPr="39D4D41D" w:rsidR="0093295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, </w:t>
            </w:r>
            <w:r w:rsidRPr="39D4D41D" w:rsidR="0093295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Ancient Egypt</w:t>
            </w:r>
            <w:r w:rsidRPr="39D4D41D" w:rsidR="0093295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, </w:t>
            </w:r>
            <w:r w:rsidRPr="39D4D41D" w:rsidR="0093295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Indus Valley</w:t>
            </w:r>
            <w:r w:rsidRPr="39D4D41D" w:rsidR="0093295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  <w:r w:rsidRPr="39D4D41D" w:rsidR="0093295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The Shang Dynasty of China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Pr="007E26AE" w:rsidR="0093295A" w:rsidP="0093295A" w:rsidRDefault="0093295A" w14:paraId="62E4D78A" w14:textId="1702F319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 w:rsidRPr="007E26AE">
              <w:rPr>
                <w:rFonts w:eastAsiaTheme="minorEastAsia" w:cstheme="minorHAnsi"/>
                <w:i/>
                <w:sz w:val="20"/>
              </w:rPr>
              <w:t>The Romans</w:t>
            </w:r>
            <w:r w:rsidR="005C4EE2">
              <w:rPr>
                <w:rFonts w:eastAsiaTheme="minorEastAsia" w:cstheme="minorHAnsi"/>
                <w:i/>
                <w:sz w:val="20"/>
              </w:rPr>
              <w:t>*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  <w:vAlign w:val="center"/>
          </w:tcPr>
          <w:p w:rsidRPr="007E26AE" w:rsidR="0093295A" w:rsidP="39D4D41D" w:rsidRDefault="0093295A" w14:paraId="002DA7B2" w14:textId="7D9E28B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39D4D41D" w:rsidR="39D4D4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Tudors, Normans, Victorians, changing power of monarchs, crime and punishment, leisure and entertainment, legacy of Greek/Roman culture, significant turning points in British history (</w:t>
            </w:r>
            <w:proofErr w:type="gramStart"/>
            <w:r w:rsidRPr="39D4D41D" w:rsidR="39D4D4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e.g.</w:t>
            </w:r>
            <w:proofErr w:type="gramEnd"/>
            <w:r w:rsidRPr="39D4D41D" w:rsidR="39D4D4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railways, Battle of Britain), Windrush, Slave Trade</w:t>
            </w:r>
          </w:p>
        </w:tc>
      </w:tr>
      <w:tr w:rsidRPr="007E26AE" w:rsidR="0093295A" w:rsidTr="39D4D41D" w14:paraId="1F66B34D" w14:textId="77777777">
        <w:trPr>
          <w:trHeight w:val="6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93295A" w:rsidP="0093295A" w:rsidRDefault="0093295A" w14:paraId="4316667E" w14:textId="731C5C0F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5/6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Pr="007E26AE" w:rsidR="0093295A" w:rsidP="0093295A" w:rsidRDefault="0093295A" w14:paraId="4D66BDA0" w14:textId="4DEEC80A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Early Civilisations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Pr="007E26AE" w:rsidR="0093295A" w:rsidP="0093295A" w:rsidRDefault="0093295A" w14:paraId="79857265" w14:textId="211B884E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Invaders &amp; Settlers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  <w:vAlign w:val="center"/>
          </w:tcPr>
          <w:p w:rsidRPr="007E26AE" w:rsidR="0093295A" w:rsidP="0093295A" w:rsidRDefault="0093295A" w14:paraId="0F8293A4" w14:textId="0B957B54">
            <w:pPr>
              <w:jc w:val="center"/>
              <w:rPr>
                <w:rFonts w:eastAsiaTheme="minorEastAsia" w:cstheme="minorHAnsi"/>
                <w:b/>
              </w:rPr>
            </w:pPr>
            <w:r w:rsidRPr="007E26AE">
              <w:rPr>
                <w:rFonts w:eastAsiaTheme="minorEastAsia" w:cstheme="minorHAnsi"/>
                <w:b/>
              </w:rPr>
              <w:t>Events Beyond 1066</w:t>
            </w:r>
          </w:p>
        </w:tc>
      </w:tr>
      <w:tr w:rsidRPr="007E26AE" w:rsidR="0093295A" w:rsidTr="39D4D41D" w14:paraId="7EB7AB6A" w14:textId="77777777">
        <w:trPr>
          <w:trHeight w:val="6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93295A" w:rsidP="0093295A" w:rsidRDefault="0093295A" w14:paraId="41F957B5" w14:textId="02616677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Pr="007E26AE" w:rsidR="0093295A" w:rsidP="0093295A" w:rsidRDefault="0093295A" w14:paraId="15A68037" w14:textId="1AE6C950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 w:rsidRPr="007E26AE">
              <w:rPr>
                <w:rFonts w:eastAsiaTheme="minorEastAsia" w:cstheme="minorHAnsi"/>
                <w:i/>
                <w:sz w:val="20"/>
              </w:rPr>
              <w:t>Ancient Greece</w:t>
            </w:r>
            <w:r w:rsidR="005C4EE2">
              <w:rPr>
                <w:rFonts w:eastAsiaTheme="minorEastAsia" w:cstheme="minorHAnsi"/>
                <w:i/>
                <w:sz w:val="20"/>
              </w:rPr>
              <w:t>*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Pr="007E26AE" w:rsidR="0093295A" w:rsidP="39D4D41D" w:rsidRDefault="0093295A" w14:paraId="2F918012" w14:textId="55334B9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9D4D41D" w:rsidR="39D4D4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Britain’s settlement by the Anglo Saxons &amp; Scots*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  <w:vAlign w:val="center"/>
          </w:tcPr>
          <w:p w:rsidRPr="007E26AE" w:rsidR="0093295A" w:rsidP="39D4D41D" w:rsidRDefault="0093295A" w14:paraId="7BEAEDF4" w14:textId="1E414A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9D4D41D" w:rsidR="39D4D41D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World War 1</w:t>
            </w:r>
          </w:p>
        </w:tc>
      </w:tr>
    </w:tbl>
    <w:p w:rsidRPr="007E26AE" w:rsidR="00C33904" w:rsidP="00C33904" w:rsidRDefault="00C33904" w14:paraId="6737F26C" w14:textId="77777777">
      <w:pPr>
        <w:jc w:val="center"/>
        <w:rPr>
          <w:rFonts w:cstheme="minorHAnsi"/>
        </w:rPr>
      </w:pPr>
    </w:p>
    <w:p w:rsidRPr="007E26AE" w:rsidR="00C33904" w:rsidP="009E190E" w:rsidRDefault="00C33904" w14:paraId="4B6650ED" w14:textId="3F0DABDA">
      <w:pPr>
        <w:rPr>
          <w:rFonts w:cstheme="minorHAnsi"/>
        </w:rPr>
      </w:pPr>
    </w:p>
    <w:sectPr w:rsidRPr="007E26AE" w:rsidR="00C33904" w:rsidSect="009E190E">
      <w:headerReference w:type="default" r:id="rId10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85" w:rsidP="003B1285" w:rsidRDefault="003B1285" w14:paraId="0A8A43D8" w14:textId="77777777">
      <w:pPr>
        <w:spacing w:after="0" w:line="240" w:lineRule="auto"/>
      </w:pPr>
      <w:r>
        <w:separator/>
      </w:r>
    </w:p>
  </w:endnote>
  <w:endnote w:type="continuationSeparator" w:id="0">
    <w:p w:rsidR="003B1285" w:rsidP="003B1285" w:rsidRDefault="003B1285" w14:paraId="4DAA3F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85" w:rsidP="003B1285" w:rsidRDefault="003B1285" w14:paraId="5DF755C0" w14:textId="77777777">
      <w:pPr>
        <w:spacing w:after="0" w:line="240" w:lineRule="auto"/>
      </w:pPr>
      <w:r>
        <w:separator/>
      </w:r>
    </w:p>
  </w:footnote>
  <w:footnote w:type="continuationSeparator" w:id="0">
    <w:p w:rsidR="003B1285" w:rsidP="003B1285" w:rsidRDefault="003B1285" w14:paraId="10E841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B1285" w:rsidR="003B1285" w:rsidP="003B1285" w:rsidRDefault="003B1285" w14:paraId="297B4999" w14:textId="77777777">
    <w:pPr>
      <w:pStyle w:val="Header"/>
      <w:jc w:val="center"/>
      <w:rPr>
        <w:rFonts w:cstheme="minorHAnsi"/>
        <w:b/>
        <w:sz w:val="28"/>
        <w:lang w:val="en-US"/>
      </w:rPr>
    </w:pPr>
    <w:r w:rsidRPr="003B1285">
      <w:rPr>
        <w:rFonts w:cstheme="minorHAnsi"/>
        <w:b/>
        <w:sz w:val="28"/>
        <w:lang w:val="en-US"/>
      </w:rPr>
      <w:t>3 School Fellowship 2 Year Planning Cycles</w:t>
    </w:r>
  </w:p>
  <w:p w:rsidRPr="003B1285" w:rsidR="003B1285" w:rsidP="003B1285" w:rsidRDefault="0093295A" w14:paraId="4D196865" w14:textId="21CF8FC3">
    <w:pPr>
      <w:pStyle w:val="Header"/>
      <w:jc w:val="center"/>
      <w:rPr>
        <w:rFonts w:cstheme="minorHAnsi"/>
        <w:b/>
        <w:sz w:val="28"/>
        <w:lang w:val="en-US"/>
      </w:rPr>
    </w:pPr>
    <w:r>
      <w:rPr>
        <w:rFonts w:cstheme="minorHAnsi"/>
        <w:b/>
        <w:sz w:val="28"/>
        <w:lang w:val="en-US"/>
      </w:rPr>
      <w:t>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5B7"/>
    <w:multiLevelType w:val="hybridMultilevel"/>
    <w:tmpl w:val="34506936"/>
    <w:lvl w:ilvl="0" w:tplc="BD54E1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225C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F833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182D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5658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6C8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A46F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E2B0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042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8623DD"/>
    <w:multiLevelType w:val="multilevel"/>
    <w:tmpl w:val="15C6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6"/>
    <w:rsid w:val="0022652C"/>
    <w:rsid w:val="00297001"/>
    <w:rsid w:val="003B1285"/>
    <w:rsid w:val="00436CC3"/>
    <w:rsid w:val="005C4EE2"/>
    <w:rsid w:val="00703647"/>
    <w:rsid w:val="007D2E56"/>
    <w:rsid w:val="007E26AE"/>
    <w:rsid w:val="008C5D37"/>
    <w:rsid w:val="0093295A"/>
    <w:rsid w:val="009E190E"/>
    <w:rsid w:val="00A027D9"/>
    <w:rsid w:val="00B62C37"/>
    <w:rsid w:val="00C33904"/>
    <w:rsid w:val="00E032FD"/>
    <w:rsid w:val="05F78E74"/>
    <w:rsid w:val="0C66CFF8"/>
    <w:rsid w:val="1275138B"/>
    <w:rsid w:val="12ED1C03"/>
    <w:rsid w:val="1535145F"/>
    <w:rsid w:val="17F87FA2"/>
    <w:rsid w:val="1900659F"/>
    <w:rsid w:val="1BC90FF2"/>
    <w:rsid w:val="1FBC820A"/>
    <w:rsid w:val="216F5CF2"/>
    <w:rsid w:val="23993BDD"/>
    <w:rsid w:val="27C57619"/>
    <w:rsid w:val="28382B18"/>
    <w:rsid w:val="2E622CDD"/>
    <w:rsid w:val="2FD087FE"/>
    <w:rsid w:val="316C585F"/>
    <w:rsid w:val="321DDD2F"/>
    <w:rsid w:val="350162FA"/>
    <w:rsid w:val="369D335B"/>
    <w:rsid w:val="37ECA2E4"/>
    <w:rsid w:val="383903BC"/>
    <w:rsid w:val="394211D5"/>
    <w:rsid w:val="39D4D41D"/>
    <w:rsid w:val="3BEFF311"/>
    <w:rsid w:val="3D89A59C"/>
    <w:rsid w:val="3E074639"/>
    <w:rsid w:val="3E665E08"/>
    <w:rsid w:val="41B01123"/>
    <w:rsid w:val="46887A74"/>
    <w:rsid w:val="4AC5927D"/>
    <w:rsid w:val="4CBF9C89"/>
    <w:rsid w:val="50203FB9"/>
    <w:rsid w:val="50DF57AE"/>
    <w:rsid w:val="53D4BA4D"/>
    <w:rsid w:val="5416F870"/>
    <w:rsid w:val="54F531F2"/>
    <w:rsid w:val="5BED4863"/>
    <w:rsid w:val="5BED4863"/>
    <w:rsid w:val="60568985"/>
    <w:rsid w:val="6152E551"/>
    <w:rsid w:val="6354DBE8"/>
    <w:rsid w:val="674B949F"/>
    <w:rsid w:val="69C41D6C"/>
    <w:rsid w:val="6C3FECD8"/>
    <w:rsid w:val="70BD1E76"/>
    <w:rsid w:val="72A9C9E7"/>
    <w:rsid w:val="7368E1DC"/>
    <w:rsid w:val="749CE87D"/>
    <w:rsid w:val="76A2A074"/>
    <w:rsid w:val="79057650"/>
    <w:rsid w:val="7B73F3C1"/>
    <w:rsid w:val="7E05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3F07"/>
  <w15:chartTrackingRefBased/>
  <w15:docId w15:val="{F1633DED-6397-4F1D-B239-C43D1F9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E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3B128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B1285"/>
  </w:style>
  <w:style w:type="paragraph" w:styleId="Footer">
    <w:name w:val="footer"/>
    <w:basedOn w:val="Normal"/>
    <w:link w:val="FooterChar"/>
    <w:uiPriority w:val="99"/>
    <w:unhideWhenUsed/>
    <w:rsid w:val="003B128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C36D4-8E8D-43C7-9A36-CA1F0D901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6b91-3023-4924-ba15-addff44367d1"/>
    <ds:schemaRef ds:uri="9c4cc8bb-7ffb-4bb8-994e-b0f36970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409A2-A5D6-4F2D-8605-06B6893BC8CC}">
  <ds:schemaRefs>
    <ds:schemaRef ds:uri="http://schemas.microsoft.com/office/2006/metadata/properties"/>
    <ds:schemaRef ds:uri="http://schemas.microsoft.com/office/infopath/2007/PartnerControls"/>
    <ds:schemaRef ds:uri="9c4cc8bb-7ffb-4bb8-994e-b0f36970e182"/>
    <ds:schemaRef ds:uri="b2466b91-3023-4924-ba15-addff44367d1"/>
  </ds:schemaRefs>
</ds:datastoreItem>
</file>

<file path=customXml/itemProps3.xml><?xml version="1.0" encoding="utf-8"?>
<ds:datastoreItem xmlns:ds="http://schemas.openxmlformats.org/officeDocument/2006/customXml" ds:itemID="{5CD0051A-D23D-4652-AD91-55E911F952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Aaron Laws</dc:creator>
  <keywords/>
  <dc:description/>
  <lastModifiedBy>Karen Freeman</lastModifiedBy>
  <revision>13</revision>
  <dcterms:created xsi:type="dcterms:W3CDTF">2022-07-05T14:48:00.0000000Z</dcterms:created>
  <dcterms:modified xsi:type="dcterms:W3CDTF">2022-07-20T14:03:04.6402878Z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