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54B1" w14:textId="77777777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rPr>
          <w:b w:val="0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7D54B2" wp14:editId="2A7D54B3">
                <wp:simplePos x="0" y="0"/>
                <wp:positionH relativeFrom="margin">
                  <wp:align>left</wp:align>
                </wp:positionH>
                <wp:positionV relativeFrom="margin">
                  <wp:posOffset>519955</wp:posOffset>
                </wp:positionV>
                <wp:extent cx="6000119" cy="1121411"/>
                <wp:effectExtent l="0" t="0" r="19681" b="21589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119" cy="1121411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7D54B4" w14:textId="77777777" w:rsidR="00605B56" w:rsidRDefault="00605B56">
                            <w:pPr>
                              <w:keepNext/>
                              <w:spacing w:before="120" w:after="120"/>
                              <w:outlineLvl w:val="1"/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 xml:space="preserve">Before completing this template, you should 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auto"/>
                              </w:rPr>
                              <w:t xml:space="preserve">read the guidance on </w:t>
                            </w:r>
                            <w:hyperlink r:id="rId10" w:anchor="online-statements" w:history="1">
                              <w:r w:rsidRPr="00741B9E">
                                <w:rPr>
                                  <w:color w:val="0000FF"/>
                                  <w:u w:val="single"/>
                                </w:rPr>
                                <w:t>using pupil premium</w:t>
                              </w:r>
                            </w:hyperlink>
                            <w:r w:rsidRPr="00741B9E">
                              <w:rPr>
                                <w:rStyle w:val="Hyperlink"/>
                                <w:bCs/>
                                <w:color w:val="auto"/>
                                <w:u w:val="none"/>
                              </w:rPr>
                              <w:t>.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auto"/>
                              </w:rPr>
                              <w:t xml:space="preserve"> </w:t>
                            </w:r>
                          </w:p>
                          <w:p w14:paraId="2A7D54B5" w14:textId="77777777" w:rsidR="00605B56" w:rsidRDefault="00605B56">
                            <w:pPr>
                              <w:keepNext/>
                              <w:spacing w:before="120" w:after="120"/>
                              <w:outlineLvl w:val="1"/>
                              <w:rPr>
                                <w:bCs/>
                                <w:i/>
                                <w:iCs/>
                                <w:color w:val="auto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auto"/>
                              </w:rPr>
                              <w:t>Before publishing your completed statement, you should delete the instructions (text in italics) in this template, including this text box.</w:t>
                            </w:r>
                          </w:p>
                          <w:p w14:paraId="2A7D54B6" w14:textId="77777777" w:rsidR="00605B56" w:rsidRDefault="00605B56">
                            <w:pPr>
                              <w:keepNext/>
                              <w:spacing w:before="120" w:after="120"/>
                              <w:outlineLvl w:val="1"/>
                              <w:rPr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7D54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95pt;width:472.45pt;height:88.3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" fillcolor="#f2f2f2" strokeweight=".26467mm">
                <v:textbox>
                  <w:txbxContent>
                    <w:p w14:paraId="2A7D54B4" w14:textId="77777777" w:rsidR="00605B56" w:rsidRDefault="00605B56">
                      <w:pPr>
                        <w:keepNext/>
                        <w:spacing w:before="120" w:after="120"/>
                        <w:outlineLvl w:val="1"/>
                      </w:pPr>
                      <w:r>
                        <w:rPr>
                          <w:bCs/>
                          <w:i/>
                          <w:iCs/>
                        </w:rPr>
                        <w:t xml:space="preserve">Before completing this template, you should </w:t>
                      </w:r>
                      <w:r>
                        <w:rPr>
                          <w:bCs/>
                          <w:i/>
                          <w:iCs/>
                          <w:color w:val="auto"/>
                        </w:rPr>
                        <w:t xml:space="preserve">read the guidance on </w:t>
                      </w:r>
                      <w:hyperlink r:id="rId11" w:anchor="online-statements" w:history="1">
                        <w:r w:rsidRPr="00741B9E">
                          <w:rPr>
                            <w:color w:val="0000FF"/>
                            <w:u w:val="single"/>
                          </w:rPr>
                          <w:t>using pupil premium</w:t>
                        </w:r>
                      </w:hyperlink>
                      <w:r w:rsidRPr="00741B9E">
                        <w:rPr>
                          <w:rStyle w:val="Hyperlink"/>
                          <w:bCs/>
                          <w:color w:val="auto"/>
                          <w:u w:val="none"/>
                        </w:rPr>
                        <w:t>.</w:t>
                      </w:r>
                      <w:r>
                        <w:rPr>
                          <w:bCs/>
                          <w:i/>
                          <w:iCs/>
                          <w:color w:val="auto"/>
                        </w:rPr>
                        <w:t xml:space="preserve"> </w:t>
                      </w:r>
                    </w:p>
                    <w:p w14:paraId="2A7D54B5" w14:textId="77777777" w:rsidR="00605B56" w:rsidRDefault="00605B56">
                      <w:pPr>
                        <w:keepNext/>
                        <w:spacing w:before="120" w:after="120"/>
                        <w:outlineLvl w:val="1"/>
                        <w:rPr>
                          <w:bCs/>
                          <w:i/>
                          <w:iCs/>
                          <w:color w:val="auto"/>
                        </w:rPr>
                      </w:pPr>
                      <w:r>
                        <w:rPr>
                          <w:bCs/>
                          <w:i/>
                          <w:iCs/>
                          <w:color w:val="auto"/>
                        </w:rPr>
                        <w:t>Before publishing your completed statement, you should delete the instructions (text in italics) in this template, including this text box.</w:t>
                      </w:r>
                    </w:p>
                    <w:p w14:paraId="2A7D54B6" w14:textId="77777777" w:rsidR="00605B56" w:rsidRDefault="00605B56">
                      <w:pPr>
                        <w:keepNext/>
                        <w:spacing w:before="120" w:after="120"/>
                        <w:outlineLvl w:val="1"/>
                        <w:rPr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</w:p>
    <w:p w14:paraId="2A7D54B2" w14:textId="77777777" w:rsidR="00E66558" w:rsidRDefault="009D71E8">
      <w:pPr>
        <w:pStyle w:val="Heading2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This statement details our school’s use of pupil premium (and recovery premium for the 2021 to 2022 academic year) funding to help improve the attainment of our disadvantaged pupils. </w:t>
      </w:r>
    </w:p>
    <w:p w14:paraId="2A7D54B3" w14:textId="77777777" w:rsidR="00E66558" w:rsidRDefault="009D71E8">
      <w:pPr>
        <w:pStyle w:val="Heading2"/>
        <w:spacing w:before="240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It outlines our pupil premium strategy, how we intend to spend the funding in this academic year and the effect that last year’s spending of pupil premium had within our school. </w:t>
      </w:r>
    </w:p>
    <w:p w14:paraId="2A7D54B4" w14:textId="77777777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EF3BDD" w14:paraId="2A7D54BA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7777777" w:rsidR="00EF3BDD" w:rsidRDefault="00EF3BDD" w:rsidP="00EF3BDD">
            <w:pPr>
              <w:pStyle w:val="TableRow"/>
            </w:pPr>
            <w:r>
              <w:t>School name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4ADBE4D1" w:rsidR="00EF3BDD" w:rsidRDefault="00EF3BDD" w:rsidP="00EF3BDD">
            <w:pPr>
              <w:pStyle w:val="TableRow"/>
            </w:pPr>
            <w:r>
              <w:t>Seend C of E Primary</w:t>
            </w:r>
          </w:p>
        </w:tc>
      </w:tr>
      <w:tr w:rsidR="00EF3BDD" w14:paraId="2A7D54BD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EF3BDD" w:rsidRDefault="00EF3BDD" w:rsidP="00EF3BDD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4166E153" w:rsidR="00EF3BDD" w:rsidRDefault="00EF3BDD" w:rsidP="00EF3BDD">
            <w:pPr>
              <w:pStyle w:val="TableRow"/>
            </w:pPr>
            <w:r w:rsidRPr="00DE0221">
              <w:t xml:space="preserve">89 </w:t>
            </w:r>
          </w:p>
        </w:tc>
      </w:tr>
      <w:tr w:rsidR="00EF3BDD" w14:paraId="2A7D54C0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7777777" w:rsidR="00EF3BDD" w:rsidRDefault="00EF3BDD" w:rsidP="00EF3BDD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620D8515" w:rsidR="00EF3BDD" w:rsidRDefault="00EF3BDD" w:rsidP="00EF3BDD">
            <w:pPr>
              <w:pStyle w:val="TableRow"/>
            </w:pPr>
            <w:r w:rsidRPr="00DE0221">
              <w:t>22.47 % (20 children)</w:t>
            </w:r>
          </w:p>
        </w:tc>
      </w:tr>
      <w:tr w:rsidR="00EF3BDD" w14:paraId="2A7D54C3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77777777" w:rsidR="00EF3BDD" w:rsidRDefault="00EF3BDD" w:rsidP="00EF3BDD">
            <w:pPr>
              <w:pStyle w:val="TableRow"/>
            </w:pPr>
            <w:r>
              <w:rPr>
                <w:szCs w:val="22"/>
              </w:rPr>
              <w:t xml:space="preserve">Academic year/years that our current pupil premium strategy plan covers </w:t>
            </w:r>
            <w:r>
              <w:rPr>
                <w:b/>
                <w:bCs/>
                <w:szCs w:val="22"/>
              </w:rPr>
              <w:t>(</w:t>
            </w:r>
            <w:proofErr w:type="gramStart"/>
            <w:r>
              <w:rPr>
                <w:b/>
                <w:bCs/>
                <w:szCs w:val="22"/>
              </w:rPr>
              <w:t>3 year</w:t>
            </w:r>
            <w:proofErr w:type="gramEnd"/>
            <w:r>
              <w:rPr>
                <w:b/>
                <w:bCs/>
                <w:szCs w:val="22"/>
              </w:rPr>
              <w:t xml:space="preserve"> plans are recommended)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02631F99" w:rsidR="00EF3BDD" w:rsidRDefault="00EF3BDD" w:rsidP="00EF3BDD">
            <w:pPr>
              <w:pStyle w:val="TableRow"/>
            </w:pPr>
            <w:r>
              <w:t>2023-2026</w:t>
            </w:r>
          </w:p>
        </w:tc>
      </w:tr>
      <w:tr w:rsidR="00EF3BDD" w14:paraId="2A7D54C6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EF3BDD" w:rsidRDefault="00EF3BDD" w:rsidP="00EF3BDD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765DF900" w:rsidR="00EF3BDD" w:rsidRPr="003109B6" w:rsidRDefault="00EF3BDD" w:rsidP="00EF3BDD">
            <w:pPr>
              <w:pStyle w:val="TableRow"/>
            </w:pPr>
            <w:r>
              <w:t>December 2023 and reviewed December 2024</w:t>
            </w:r>
            <w:r w:rsidR="004C67A8">
              <w:t xml:space="preserve">, </w:t>
            </w:r>
            <w:r w:rsidR="004C67A8" w:rsidRPr="004C67A8">
              <w:rPr>
                <w:highlight w:val="yellow"/>
              </w:rPr>
              <w:t>reviewed December 2025</w:t>
            </w:r>
            <w:r w:rsidR="004C67A8">
              <w:t xml:space="preserve"> </w:t>
            </w:r>
          </w:p>
        </w:tc>
      </w:tr>
      <w:tr w:rsidR="00EF3BDD" w14:paraId="2A7D54C9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EF3BDD" w:rsidRDefault="00EF3BDD" w:rsidP="00EF3BDD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5AFB5814" w:rsidR="00EF3BDD" w:rsidRPr="003109B6" w:rsidRDefault="00EF3BDD" w:rsidP="00EF3BDD">
            <w:pPr>
              <w:pStyle w:val="TableRow"/>
            </w:pPr>
            <w:r>
              <w:t>July 2025</w:t>
            </w:r>
          </w:p>
        </w:tc>
      </w:tr>
      <w:tr w:rsidR="00EF3BDD" w14:paraId="2A7D54CC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EF3BDD" w:rsidRDefault="00EF3BDD" w:rsidP="00EF3BDD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7338D4E1" w:rsidR="00EF3BDD" w:rsidRDefault="00EF3BDD" w:rsidP="00EF3BDD">
            <w:pPr>
              <w:pStyle w:val="TableRow"/>
            </w:pPr>
            <w:r>
              <w:t>Simon Cowley</w:t>
            </w:r>
          </w:p>
        </w:tc>
      </w:tr>
      <w:tr w:rsidR="00EF3BDD" w14:paraId="2A7D54CF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77777777" w:rsidR="00EF3BDD" w:rsidRDefault="00EF3BDD" w:rsidP="00EF3BDD">
            <w:pPr>
              <w:pStyle w:val="TableRow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02C09AF0" w:rsidR="00EF3BDD" w:rsidRDefault="00EF3BDD" w:rsidP="00EF3BDD">
            <w:pPr>
              <w:pStyle w:val="TableRow"/>
            </w:pPr>
            <w:r>
              <w:t>Emma Hembury</w:t>
            </w:r>
          </w:p>
        </w:tc>
      </w:tr>
      <w:tr w:rsidR="00EF3BDD" w14:paraId="2A7D54D2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77777777" w:rsidR="00EF3BDD" w:rsidRDefault="00EF3BDD" w:rsidP="00EF3BDD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1" w14:textId="1CF1EDE9" w:rsidR="00EF3BDD" w:rsidRDefault="004C67A8" w:rsidP="00EF3BDD">
            <w:pPr>
              <w:pStyle w:val="TableRow"/>
            </w:pPr>
            <w:r>
              <w:t>Emily Wood</w:t>
            </w:r>
          </w:p>
        </w:tc>
      </w:tr>
    </w:tbl>
    <w:bookmarkEnd w:id="2"/>
    <w:bookmarkEnd w:id="3"/>
    <w:bookmarkEnd w:id="4"/>
    <w:p w14:paraId="2A7D54D3" w14:textId="77777777" w:rsidR="00E66558" w:rsidRDefault="009D71E8">
      <w:pPr>
        <w:spacing w:before="480" w:line="240" w:lineRule="auto"/>
        <w:rPr>
          <w:b/>
          <w:color w:val="104F75"/>
          <w:sz w:val="32"/>
          <w:szCs w:val="32"/>
        </w:rPr>
      </w:pPr>
      <w:r>
        <w:rPr>
          <w:b/>
          <w:color w:val="104F75"/>
          <w:sz w:val="32"/>
          <w:szCs w:val="32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336E57" w14:paraId="2A7D54D9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336E57" w:rsidRDefault="00336E57" w:rsidP="00336E57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4285" w14:textId="74CAD9CE" w:rsidR="00336E57" w:rsidRPr="00DE0221" w:rsidRDefault="00336E57" w:rsidP="00336E57">
            <w:pPr>
              <w:rPr>
                <w:color w:val="000000"/>
              </w:rPr>
            </w:pPr>
            <w:r w:rsidRPr="00DE0221">
              <w:t>Deprivation PP £</w:t>
            </w:r>
            <w:r w:rsidR="004C67A8">
              <w:rPr>
                <w:color w:val="000000"/>
              </w:rPr>
              <w:t>20,980</w:t>
            </w:r>
            <w:r w:rsidRPr="00DE0221">
              <w:rPr>
                <w:color w:val="000000"/>
              </w:rPr>
              <w:t xml:space="preserve"> </w:t>
            </w:r>
          </w:p>
          <w:p w14:paraId="4121EDC4" w14:textId="6E6A92F8" w:rsidR="00336E57" w:rsidRPr="00DE0221" w:rsidRDefault="00336E57" w:rsidP="00336E57">
            <w:pPr>
              <w:rPr>
                <w:color w:val="000000"/>
              </w:rPr>
            </w:pPr>
            <w:r w:rsidRPr="00DE0221">
              <w:rPr>
                <w:color w:val="000000"/>
              </w:rPr>
              <w:t>Services PP £</w:t>
            </w:r>
            <w:r w:rsidR="004C67A8">
              <w:rPr>
                <w:color w:val="000000"/>
              </w:rPr>
              <w:t>700</w:t>
            </w:r>
          </w:p>
          <w:p w14:paraId="4DAB3F03" w14:textId="77777777" w:rsidR="00336E57" w:rsidRPr="00DE0221" w:rsidRDefault="00336E57" w:rsidP="00336E57">
            <w:pPr>
              <w:rPr>
                <w:color w:val="000000"/>
              </w:rPr>
            </w:pPr>
            <w:r w:rsidRPr="00DE0221">
              <w:rPr>
                <w:color w:val="000000"/>
              </w:rPr>
              <w:t>Post-LAC £0</w:t>
            </w:r>
          </w:p>
          <w:p w14:paraId="2A7D54D8" w14:textId="3D9D2284" w:rsidR="00336E57" w:rsidRDefault="00336E57" w:rsidP="00336E57">
            <w:r w:rsidRPr="00DE0221">
              <w:rPr>
                <w:color w:val="000000"/>
              </w:rPr>
              <w:lastRenderedPageBreak/>
              <w:t>Total £</w:t>
            </w:r>
          </w:p>
        </w:tc>
      </w:tr>
      <w:tr w:rsidR="00336E57" w14:paraId="2A7D54DC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77777777" w:rsidR="00336E57" w:rsidRDefault="00336E57" w:rsidP="00336E57">
            <w:pPr>
              <w:pStyle w:val="TableRow"/>
            </w:pPr>
            <w:r>
              <w:lastRenderedPageBreak/>
              <w:t>Recovery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0FF7DA51" w:rsidR="00336E57" w:rsidRDefault="00336E57" w:rsidP="00336E57">
            <w:pPr>
              <w:pStyle w:val="TableRow"/>
            </w:pPr>
            <w:r w:rsidRPr="00DE0221">
              <w:t>0</w:t>
            </w:r>
          </w:p>
        </w:tc>
      </w:tr>
      <w:tr w:rsidR="00336E57" w14:paraId="2A7D54DF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7777777" w:rsidR="00336E57" w:rsidRDefault="00336E57" w:rsidP="00336E57">
            <w:pPr>
              <w:pStyle w:val="TableRow"/>
            </w:pPr>
            <w:r>
              <w:t>Pupil premium funding carried forward from previous years (enter £0 if not applicable)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4E3A9AF4" w:rsidR="00336E57" w:rsidRDefault="00336E57" w:rsidP="00336E57">
            <w:pPr>
              <w:pStyle w:val="TableRow"/>
            </w:pPr>
            <w:r w:rsidRPr="00DE0221">
              <w:t>£0</w:t>
            </w:r>
          </w:p>
        </w:tc>
      </w:tr>
      <w:tr w:rsidR="00336E57" w14:paraId="2A7D54E3" w14:textId="7777777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336E57" w:rsidRDefault="00336E57" w:rsidP="00336E57">
            <w:pPr>
              <w:pStyle w:val="TableRow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336E57" w:rsidRDefault="00336E57" w:rsidP="00336E57">
            <w:pPr>
              <w:pStyle w:val="TableRow"/>
            </w:pPr>
            <w: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45DFBEAA" w:rsidR="00336E57" w:rsidRDefault="00336E57" w:rsidP="00336E57">
            <w:pPr>
              <w:pStyle w:val="TableRow"/>
            </w:pPr>
            <w:r w:rsidRPr="00DE0221">
              <w:t>£</w:t>
            </w:r>
            <w:r w:rsidR="004C67A8">
              <w:t>20980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788E" w14:textId="146E3247" w:rsidR="00B45EBE" w:rsidRDefault="007A4DAD">
            <w:pPr>
              <w:spacing w:before="120"/>
            </w:pPr>
            <w:r>
              <w:t xml:space="preserve">Our intent is to provide all children with the </w:t>
            </w:r>
            <w:proofErr w:type="gramStart"/>
            <w:r>
              <w:t>high</w:t>
            </w:r>
            <w:r w:rsidR="00B45EBE">
              <w:t xml:space="preserve"> </w:t>
            </w:r>
            <w:r>
              <w:t>quality</w:t>
            </w:r>
            <w:proofErr w:type="gramEnd"/>
            <w:r>
              <w:t xml:space="preserve"> teaching and learning that closes the attainment gap between disadvantaged children and their peers</w:t>
            </w:r>
            <w:r w:rsidR="00B45EBE">
              <w:t>, despite this being a small cohort within our school</w:t>
            </w:r>
            <w:r>
              <w:t>. The overarching aim for our pupil premium funding is to provide our children with quality first teaching</w:t>
            </w:r>
            <w:r w:rsidR="00B45EBE">
              <w:t xml:space="preserve"> from all school professionals</w:t>
            </w:r>
            <w:r>
              <w:t xml:space="preserve"> that engages</w:t>
            </w:r>
            <w:r w:rsidR="00B45EBE">
              <w:t>,</w:t>
            </w:r>
            <w:r>
              <w:t xml:space="preserve"> develops</w:t>
            </w:r>
            <w:r w:rsidR="00B45EBE">
              <w:t xml:space="preserve"> and supports</w:t>
            </w:r>
            <w:r>
              <w:t xml:space="preserve"> key learning skills that will allow them to become </w:t>
            </w:r>
            <w:r w:rsidR="00B45EBE">
              <w:t>confident</w:t>
            </w:r>
            <w:r>
              <w:t xml:space="preserve"> learners. In addition to this, we aim to provide children with the values they need to become outstanding members of society and increase their </w:t>
            </w:r>
            <w:r w:rsidR="00B45EBE">
              <w:t xml:space="preserve">ambition and </w:t>
            </w:r>
            <w:r>
              <w:t>social capital, especially those from a disadvantaged background</w:t>
            </w:r>
            <w:r w:rsidR="00CF103B">
              <w:t xml:space="preserve"> so that they make a positive impact on our cultural capital.</w:t>
            </w:r>
          </w:p>
          <w:p w14:paraId="2A7D54E9" w14:textId="0704DEA5" w:rsidR="00E66558" w:rsidRDefault="00CF103B" w:rsidP="00CF103B">
            <w:pPr>
              <w:spacing w:before="120"/>
              <w:rPr>
                <w:i/>
                <w:iCs/>
              </w:rPr>
            </w:pPr>
            <w:r>
              <w:t>School staff work alongside other school professionals, including governors to ensure that the pupil premium is targeted to need and monitored rigorously for impact.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>
      <w:pPr>
        <w:spacing w:before="120" w:line="240" w:lineRule="auto"/>
        <w:textAlignment w:val="baseline"/>
        <w:outlineLvl w:val="0"/>
      </w:pPr>
      <w:r>
        <w:rPr>
          <w:bCs/>
          <w:color w:val="auto"/>
        </w:rPr>
        <w:t>This details</w:t>
      </w:r>
      <w:r>
        <w:rPr>
          <w:color w:val="auto"/>
        </w:rPr>
        <w:t xml:space="preserve"> the key</w:t>
      </w:r>
      <w:r>
        <w:rPr>
          <w:bCs/>
          <w:color w:val="auto"/>
        </w:rPr>
        <w:t xml:space="preserve"> </w:t>
      </w:r>
      <w:r>
        <w:rPr>
          <w:color w:val="auto"/>
        </w:rPr>
        <w:t xml:space="preserve">challenges to </w:t>
      </w:r>
      <w:r>
        <w:rPr>
          <w:bCs/>
          <w:color w:val="auto"/>
        </w:rPr>
        <w:t>achievement that we have</w:t>
      </w:r>
      <w:r>
        <w:rPr>
          <w:color w:val="auto"/>
        </w:rPr>
        <w:t xml:space="preserve"> identified among </w:t>
      </w:r>
      <w:r>
        <w:rPr>
          <w:bCs/>
          <w:color w:val="auto"/>
        </w:rPr>
        <w:t>our</w:t>
      </w:r>
      <w:r>
        <w:rPr>
          <w:color w:val="auto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492E0793" w:rsidR="00E66558" w:rsidRDefault="00CF103B">
            <w:pPr>
              <w:pStyle w:val="TableRowCentered"/>
              <w:jc w:val="left"/>
            </w:pPr>
            <w:r>
              <w:t xml:space="preserve">Development of </w:t>
            </w:r>
            <w:r w:rsidR="00764F90">
              <w:t xml:space="preserve">the curriculum in order to improve oracy in the </w:t>
            </w:r>
            <w:r w:rsidR="008A41C8">
              <w:t xml:space="preserve">school to support children with reading and writing in particular. </w:t>
            </w:r>
            <w:r w:rsidR="00D034C1">
              <w:t xml:space="preserve"> 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43B05487" w:rsidR="00E66558" w:rsidRDefault="00812337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t>Impact on p</w:t>
            </w:r>
            <w:r w:rsidR="00605B56">
              <w:t xml:space="preserve">ersistent absence </w:t>
            </w:r>
            <w:r>
              <w:t xml:space="preserve">for </w:t>
            </w:r>
            <w:r w:rsidR="00D034C1">
              <w:t xml:space="preserve">school year to be reduced and be above national average for attendance. </w:t>
            </w:r>
          </w:p>
        </w:tc>
      </w:tr>
      <w:tr w:rsidR="00EE4BAA" w14:paraId="2A7D54F8" w14:textId="77777777" w:rsidTr="00EE4BAA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E4BAA" w:rsidRDefault="00EE4BAA" w:rsidP="00EE4BAA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F7" w14:textId="7D917376" w:rsidR="00EE4BAA" w:rsidRDefault="008A41C8" w:rsidP="00EE4BAA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Cs w:val="22"/>
              </w:rPr>
              <w:t>PP children are no</w:t>
            </w:r>
            <w:r w:rsidR="00FF4F1C">
              <w:rPr>
                <w:szCs w:val="22"/>
              </w:rPr>
              <w:t xml:space="preserve">t attaining as well as </w:t>
            </w:r>
            <w:proofErr w:type="gramStart"/>
            <w:r w:rsidR="00FF4F1C">
              <w:rPr>
                <w:szCs w:val="22"/>
              </w:rPr>
              <w:t>Non-PP</w:t>
            </w:r>
            <w:proofErr w:type="gramEnd"/>
            <w:r w:rsidR="00FF4F1C">
              <w:rPr>
                <w:szCs w:val="22"/>
              </w:rPr>
              <w:t xml:space="preserve"> therefore we need to forensically track and analyse their performance to reduce the gap quicker. </w:t>
            </w:r>
          </w:p>
        </w:tc>
      </w:tr>
      <w:tr w:rsidR="00EE4BAA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E4BAA" w:rsidRDefault="00EE4BAA" w:rsidP="00EE4BAA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4AE84CA7" w:rsidR="00EE4BAA" w:rsidRDefault="00812337" w:rsidP="00EE4BAA">
            <w:pPr>
              <w:pStyle w:val="TableRowCentered"/>
              <w:jc w:val="left"/>
              <w:rPr>
                <w:iCs/>
                <w:sz w:val="22"/>
              </w:rPr>
            </w:pPr>
            <w:r>
              <w:t>Lack of resilience amongst children and the negative impact on learning behaviours</w:t>
            </w:r>
          </w:p>
        </w:tc>
      </w:tr>
      <w:tr w:rsidR="00EE4BAA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EE4BAA" w:rsidRDefault="00EE4BAA" w:rsidP="00EE4BAA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104E4929" w:rsidR="00EE4BAA" w:rsidRDefault="00812337" w:rsidP="00EE4BAA">
            <w:pPr>
              <w:pStyle w:val="TableRowCentered"/>
              <w:jc w:val="left"/>
              <w:rPr>
                <w:iCs/>
                <w:sz w:val="22"/>
              </w:rPr>
            </w:pPr>
            <w:r>
              <w:t>Emotional stability, well-being and availability to learn for children with PP and other factors i.e. SEND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bookmarkStart w:id="16" w:name="_Toc443397160"/>
      <w:r>
        <w:t xml:space="preserve">Intended outcomes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lastRenderedPageBreak/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704AFC" w14:paraId="38AF6902" w14:textId="77777777" w:rsidTr="0081233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CB2B" w14:textId="409028C9" w:rsidR="00704AFC" w:rsidRDefault="00704AFC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Attendance markers, especially for vulnerable groups, will be inline or above National markers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06B6" w14:textId="1C568B64" w:rsidR="00704AFC" w:rsidRDefault="00704AFC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Comparison with National Attendance data. Impact of SAM meetings</w:t>
            </w:r>
          </w:p>
        </w:tc>
      </w:tr>
      <w:tr w:rsidR="00EE4BAA" w14:paraId="2A7D5506" w14:textId="77777777" w:rsidTr="00EE4BA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04" w14:textId="3AF627BF" w:rsidR="00EE4BAA" w:rsidRDefault="00EE4BAA" w:rsidP="00EE4BAA">
            <w:pPr>
              <w:pStyle w:val="TableRow"/>
            </w:pPr>
            <w:r>
              <w:t>Gaps are narrowed between vulnerable groups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5" w14:textId="4D820A99" w:rsidR="00EE4BAA" w:rsidRDefault="00EE4BAA" w:rsidP="00EE4BAA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t xml:space="preserve">A higher percentage of the children achieve end of year </w:t>
            </w:r>
            <w:r w:rsidR="00567184">
              <w:t xml:space="preserve">age related </w:t>
            </w:r>
            <w:r>
              <w:t xml:space="preserve">expectations than the end of the previous year. </w:t>
            </w:r>
            <w:r w:rsidR="00567184">
              <w:t>All children are targeted where GDS can be achieved</w:t>
            </w:r>
            <w:r w:rsidR="00704AFC">
              <w:t>. This is particularly evident where children have more than one area of disadvantage</w:t>
            </w:r>
          </w:p>
        </w:tc>
      </w:tr>
      <w:tr w:rsidR="00EE4BAA" w14:paraId="2A7D5509" w14:textId="77777777" w:rsidTr="00EE4BA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07" w14:textId="6F80E2D0" w:rsidR="00EE4BAA" w:rsidRDefault="00EE4BAA" w:rsidP="00EE4BAA">
            <w:pPr>
              <w:pStyle w:val="TableRow"/>
              <w:rPr>
                <w:sz w:val="22"/>
                <w:szCs w:val="22"/>
              </w:rPr>
            </w:pPr>
            <w:r>
              <w:t>Pupils are increasingly able to manage their emotional behaviours and self-regulate in response to challenges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8" w14:textId="037AA832" w:rsidR="00EE4BAA" w:rsidRDefault="00EE4BAA" w:rsidP="00EE4BAA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t>Children can</w:t>
            </w:r>
            <w:r w:rsidR="00567184">
              <w:t xml:space="preserve"> access their learning and</w:t>
            </w:r>
            <w:r>
              <w:t xml:space="preserve"> focus more without being distracted </w:t>
            </w:r>
            <w:r w:rsidR="00567184">
              <w:t xml:space="preserve">personal barriers to </w:t>
            </w:r>
            <w:proofErr w:type="gramStart"/>
            <w:r w:rsidR="00567184">
              <w:t>learning</w:t>
            </w:r>
            <w:r>
              <w:t xml:space="preserve">  </w:t>
            </w:r>
            <w:r w:rsidR="00704AFC">
              <w:t>and</w:t>
            </w:r>
            <w:proofErr w:type="gramEnd"/>
            <w:r w:rsidR="00704AFC">
              <w:t xml:space="preserve"> achieve success</w:t>
            </w:r>
          </w:p>
        </w:tc>
      </w:tr>
      <w:tr w:rsidR="00EE4BAA" w14:paraId="2A7D550F" w14:textId="77777777" w:rsidTr="00EE4BA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5F599CEC" w:rsidR="00EE4BAA" w:rsidRDefault="00EE4BAA" w:rsidP="00EE4BAA">
            <w:pPr>
              <w:pStyle w:val="TableRow"/>
              <w:rPr>
                <w:sz w:val="22"/>
                <w:szCs w:val="22"/>
              </w:rPr>
            </w:pPr>
            <w:r>
              <w:t xml:space="preserve">Children experience a range of enrichment activities again to develop teamwork and resilience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0E" w14:textId="55805C18" w:rsidR="00EE4BAA" w:rsidRDefault="00EE4BAA" w:rsidP="00EE4BAA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t>No PPG child will miss a residential / trip</w:t>
            </w:r>
            <w:r w:rsidR="00567184">
              <w:t>/ after school curriculum</w:t>
            </w:r>
            <w:r>
              <w:t xml:space="preserve"> through not being able to pay. </w:t>
            </w:r>
          </w:p>
        </w:tc>
      </w:tr>
    </w:tbl>
    <w:p w14:paraId="60BAD9F6" w14:textId="77777777" w:rsidR="00120AB1" w:rsidRDefault="00120AB1">
      <w:pPr>
        <w:pStyle w:val="Heading2"/>
      </w:pPr>
    </w:p>
    <w:p w14:paraId="2A06959E" w14:textId="77777777" w:rsidR="00120AB1" w:rsidRDefault="00120AB1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  <w:r>
        <w:br w:type="page"/>
      </w:r>
    </w:p>
    <w:p w14:paraId="2A7D5512" w14:textId="7B489199" w:rsidR="00E66558" w:rsidRDefault="009D71E8">
      <w:pPr>
        <w:pStyle w:val="Heading2"/>
      </w:pPr>
      <w:r>
        <w:lastRenderedPageBreak/>
        <w:t>Activity in this academic year</w:t>
      </w:r>
    </w:p>
    <w:p w14:paraId="2A7D5513" w14:textId="77777777" w:rsidR="00E66558" w:rsidRDefault="009D71E8">
      <w:pPr>
        <w:spacing w:after="480"/>
      </w:pPr>
      <w:r>
        <w:t xml:space="preserve">This details how we intend to spend our pupil premium (and recovery premium funding)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00611E3D" w:rsidR="00E66558" w:rsidRDefault="009D71E8">
      <w:r>
        <w:t xml:space="preserve">Budgeted cost: </w:t>
      </w:r>
      <w:r w:rsidR="002D22E1" w:rsidRPr="002D22E1">
        <w:rPr>
          <w:highlight w:val="cyan"/>
        </w:rPr>
        <w:t>£1</w:t>
      </w:r>
      <w:r w:rsidR="003D61ED">
        <w:rPr>
          <w:highlight w:val="cyan"/>
        </w:rPr>
        <w:t>2</w:t>
      </w:r>
      <w:r w:rsidR="002D22E1" w:rsidRPr="002D22E1">
        <w:rPr>
          <w:highlight w:val="cyan"/>
        </w:rPr>
        <w:t>,000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704AFC" w14:paraId="035C8C1A" w14:textId="77777777" w:rsidTr="00704AFC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783A" w14:textId="77777777" w:rsidR="00704AFC" w:rsidRDefault="00704AFC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For all staff to become aware of EEF research:</w:t>
            </w:r>
          </w:p>
          <w:p w14:paraId="11CA7207" w14:textId="2FF98956" w:rsidR="00704AFC" w:rsidRPr="00704AFC" w:rsidRDefault="00704AFC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Preparing for literacy</w:t>
            </w:r>
            <w:r w:rsidR="00526418">
              <w:rPr>
                <w:b w:val="0"/>
                <w:bCs/>
              </w:rPr>
              <w:t xml:space="preserve"> and oracy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640D" w14:textId="77777777" w:rsidR="00704AFC" w:rsidRDefault="00704AFC">
            <w:pPr>
              <w:pStyle w:val="TableHeader"/>
              <w:jc w:val="left"/>
              <w:rPr>
                <w:b w:val="0"/>
                <w:bCs/>
              </w:rPr>
            </w:pPr>
            <w:r w:rsidRPr="000118B9">
              <w:rPr>
                <w:b w:val="0"/>
                <w:bCs/>
              </w:rPr>
              <w:t>EEF</w:t>
            </w:r>
            <w:r w:rsidR="000118B9" w:rsidRPr="000118B9">
              <w:rPr>
                <w:b w:val="0"/>
                <w:bCs/>
              </w:rPr>
              <w:t xml:space="preserve"> toolkit shows that interventions linked to oral intervention, phonics and reading strategies </w:t>
            </w:r>
            <w:proofErr w:type="gramStart"/>
            <w:r w:rsidR="000118B9" w:rsidRPr="000118B9">
              <w:rPr>
                <w:b w:val="0"/>
                <w:bCs/>
              </w:rPr>
              <w:t>i</w:t>
            </w:r>
            <w:r w:rsidR="000118B9">
              <w:rPr>
                <w:b w:val="0"/>
                <w:bCs/>
              </w:rPr>
              <w:t xml:space="preserve">mpact </w:t>
            </w:r>
            <w:r w:rsidR="000118B9" w:rsidRPr="000118B9">
              <w:rPr>
                <w:b w:val="0"/>
                <w:bCs/>
              </w:rPr>
              <w:t xml:space="preserve"> </w:t>
            </w:r>
            <w:r w:rsidR="000118B9">
              <w:rPr>
                <w:b w:val="0"/>
                <w:bCs/>
              </w:rPr>
              <w:t>(</w:t>
            </w:r>
            <w:proofErr w:type="gramEnd"/>
            <w:r w:rsidR="000118B9" w:rsidRPr="000118B9">
              <w:rPr>
                <w:b w:val="0"/>
                <w:bCs/>
              </w:rPr>
              <w:t xml:space="preserve">+6 </w:t>
            </w:r>
            <w:proofErr w:type="spellStart"/>
            <w:r w:rsidR="000118B9" w:rsidRPr="000118B9">
              <w:rPr>
                <w:b w:val="0"/>
                <w:bCs/>
              </w:rPr>
              <w:t>mnths</w:t>
            </w:r>
            <w:proofErr w:type="spellEnd"/>
            <w:r w:rsidR="000118B9">
              <w:rPr>
                <w:b w:val="0"/>
                <w:bCs/>
              </w:rPr>
              <w:t>)</w:t>
            </w:r>
            <w:r w:rsidR="000118B9" w:rsidRPr="000118B9">
              <w:rPr>
                <w:b w:val="0"/>
                <w:bCs/>
              </w:rPr>
              <w:t xml:space="preserve"> with a low c</w:t>
            </w:r>
            <w:r w:rsidR="000118B9">
              <w:rPr>
                <w:b w:val="0"/>
                <w:bCs/>
              </w:rPr>
              <w:t>o</w:t>
            </w:r>
            <w:r w:rsidR="000118B9" w:rsidRPr="000118B9">
              <w:rPr>
                <w:b w:val="0"/>
                <w:bCs/>
              </w:rPr>
              <w:t>st</w:t>
            </w:r>
          </w:p>
          <w:p w14:paraId="2053C09D" w14:textId="77777777" w:rsidR="00526418" w:rsidRDefault="00526418">
            <w:pPr>
              <w:pStyle w:val="TableHeader"/>
              <w:jc w:val="left"/>
              <w:rPr>
                <w:b w:val="0"/>
                <w:bCs/>
              </w:rPr>
            </w:pPr>
          </w:p>
          <w:p w14:paraId="4810F86A" w14:textId="77777777" w:rsidR="00526418" w:rsidRDefault="00526418" w:rsidP="0052641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“Quality Teaching helps every child” EEF guided to the Pupil Premium </w:t>
            </w:r>
          </w:p>
          <w:p w14:paraId="4E16C8E2" w14:textId="77777777" w:rsidR="00526418" w:rsidRDefault="00526418" w:rsidP="00526418">
            <w:pPr>
              <w:pStyle w:val="TableRowCentered"/>
              <w:jc w:val="left"/>
              <w:rPr>
                <w:sz w:val="22"/>
              </w:rPr>
            </w:pPr>
          </w:p>
          <w:p w14:paraId="5B255FCA" w14:textId="77777777" w:rsidR="00526418" w:rsidRDefault="00526418" w:rsidP="0052641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EEF – Good teaching is the most important lever schools have to improve outcomes of the disadvantaged </w:t>
            </w:r>
          </w:p>
          <w:p w14:paraId="43D8B27B" w14:textId="77777777" w:rsidR="00526418" w:rsidRDefault="00526418" w:rsidP="00526418">
            <w:pPr>
              <w:pStyle w:val="TableRowCentered"/>
              <w:jc w:val="left"/>
              <w:rPr>
                <w:sz w:val="22"/>
              </w:rPr>
            </w:pPr>
          </w:p>
          <w:p w14:paraId="6B43FA50" w14:textId="77777777" w:rsidR="00526418" w:rsidRDefault="00526418" w:rsidP="0052641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Subject knowledge underpins successful teaching and enables quality first teaching </w:t>
            </w:r>
          </w:p>
          <w:p w14:paraId="1E852873" w14:textId="71533637" w:rsidR="00526418" w:rsidRPr="000118B9" w:rsidRDefault="00526418">
            <w:pPr>
              <w:pStyle w:val="TableHeader"/>
              <w:jc w:val="left"/>
              <w:rPr>
                <w:b w:val="0"/>
                <w:bCs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7633" w14:textId="76CFAAF0" w:rsidR="00704AFC" w:rsidRPr="000118B9" w:rsidRDefault="000118B9">
            <w:pPr>
              <w:pStyle w:val="TableHeader"/>
              <w:jc w:val="left"/>
              <w:rPr>
                <w:b w:val="0"/>
                <w:bCs/>
              </w:rPr>
            </w:pPr>
            <w:r w:rsidRPr="000118B9">
              <w:rPr>
                <w:b w:val="0"/>
                <w:bCs/>
              </w:rPr>
              <w:t>1,3</w:t>
            </w:r>
          </w:p>
        </w:tc>
      </w:tr>
      <w:tr w:rsidR="002823CF" w14:paraId="2A7D5521" w14:textId="77777777" w:rsidTr="002823CF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1E" w14:textId="48522BBB" w:rsidR="002823CF" w:rsidRPr="000118B9" w:rsidRDefault="002823CF" w:rsidP="002823CF">
            <w:pPr>
              <w:pStyle w:val="TableRow"/>
              <w:rPr>
                <w:i/>
                <w:sz w:val="22"/>
              </w:rPr>
            </w:pPr>
            <w:r w:rsidRPr="000118B9">
              <w:t>Focussed feedback from all staff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F" w14:textId="2C890C42" w:rsidR="002823CF" w:rsidRPr="000118B9" w:rsidRDefault="0031123D" w:rsidP="002823CF">
            <w:pPr>
              <w:pStyle w:val="TableRowCentered"/>
              <w:jc w:val="left"/>
              <w:rPr>
                <w:sz w:val="22"/>
              </w:rPr>
            </w:pPr>
            <w:r w:rsidRPr="000118B9">
              <w:t>EEF toolkit states high impact low coast (+</w:t>
            </w:r>
            <w:r w:rsidR="000118B9">
              <w:t>6</w:t>
            </w:r>
            <w:r w:rsidRPr="000118B9">
              <w:t xml:space="preserve"> </w:t>
            </w:r>
            <w:proofErr w:type="spellStart"/>
            <w:r w:rsidRPr="000118B9">
              <w:t>mnths</w:t>
            </w:r>
            <w:proofErr w:type="spellEnd"/>
            <w:r w:rsidRPr="000118B9">
              <w:t xml:space="preserve">) for feedback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210EAA9E" w:rsidR="002823CF" w:rsidRDefault="007324DB" w:rsidP="002823C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0118B9">
              <w:rPr>
                <w:sz w:val="22"/>
              </w:rPr>
              <w:t>,3</w:t>
            </w:r>
          </w:p>
        </w:tc>
      </w:tr>
      <w:tr w:rsidR="004221E6" w14:paraId="1639BA96" w14:textId="77777777" w:rsidTr="002106B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5326" w14:textId="77777777" w:rsidR="004221E6" w:rsidRDefault="004221E6" w:rsidP="004221E6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Raise the profile of PP children across the school </w:t>
            </w:r>
          </w:p>
          <w:p w14:paraId="2FABA934" w14:textId="77777777" w:rsidR="004221E6" w:rsidRDefault="004221E6" w:rsidP="004221E6">
            <w:pPr>
              <w:pStyle w:val="TableRow"/>
              <w:rPr>
                <w:iCs/>
                <w:sz w:val="22"/>
              </w:rPr>
            </w:pPr>
          </w:p>
          <w:p w14:paraId="678705E8" w14:textId="77777777" w:rsidR="004221E6" w:rsidRDefault="004221E6" w:rsidP="004221E6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Register of PP children and identification of needs and analysis of this </w:t>
            </w:r>
          </w:p>
          <w:p w14:paraId="41FA8334" w14:textId="77777777" w:rsidR="004221E6" w:rsidRDefault="004221E6" w:rsidP="004221E6">
            <w:pPr>
              <w:pStyle w:val="TableRow"/>
              <w:rPr>
                <w:iCs/>
                <w:sz w:val="22"/>
              </w:rPr>
            </w:pPr>
          </w:p>
          <w:p w14:paraId="5A9026CB" w14:textId="77777777" w:rsidR="00D204CA" w:rsidRDefault="004221E6" w:rsidP="00D204CA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Progress review to be used to monitor and evaluate the strategy </w:t>
            </w:r>
          </w:p>
          <w:p w14:paraId="4951FC46" w14:textId="77777777" w:rsidR="00D204CA" w:rsidRDefault="00D204CA" w:rsidP="00D204CA">
            <w:pPr>
              <w:pStyle w:val="TableRow"/>
              <w:rPr>
                <w:iCs/>
                <w:sz w:val="22"/>
              </w:rPr>
            </w:pPr>
          </w:p>
          <w:p w14:paraId="4D0E8319" w14:textId="495AF7C5" w:rsidR="00D204CA" w:rsidRPr="00D204CA" w:rsidRDefault="00D204CA" w:rsidP="00D204CA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QLA needs to be used to focus on what the PP children need for support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E358" w14:textId="77777777" w:rsidR="004221E6" w:rsidRDefault="004221E6" w:rsidP="004221E6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What happens in the classroom makes the biggest difference – EEA attainment gap report </w:t>
            </w:r>
          </w:p>
          <w:p w14:paraId="1E5460BE" w14:textId="77777777" w:rsidR="004221E6" w:rsidRDefault="004221E6" w:rsidP="004221E6">
            <w:pPr>
              <w:pStyle w:val="TableRowCentered"/>
              <w:ind w:left="0"/>
              <w:jc w:val="left"/>
              <w:rPr>
                <w:sz w:val="22"/>
              </w:rPr>
            </w:pPr>
          </w:p>
          <w:p w14:paraId="40C83CA9" w14:textId="60653BAA" w:rsidR="004221E6" w:rsidRPr="006F0161" w:rsidRDefault="004221E6" w:rsidP="004221E6">
            <w:pPr>
              <w:rPr>
                <w:sz w:val="22"/>
                <w:highlight w:val="yellow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EC6B" w14:textId="2F7D41E6" w:rsidR="004221E6" w:rsidRDefault="004221E6" w:rsidP="004221E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</w:t>
            </w:r>
            <w:r w:rsidR="000F7C29">
              <w:rPr>
                <w:sz w:val="22"/>
              </w:rPr>
              <w:t>3</w:t>
            </w:r>
          </w:p>
        </w:tc>
      </w:tr>
      <w:tr w:rsidR="00B52E96" w14:paraId="27C161F5" w14:textId="77777777" w:rsidTr="002823CF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8C34" w14:textId="77777777" w:rsidR="00B52E96" w:rsidRDefault="00B52E96" w:rsidP="00B52E96">
            <w:pPr>
              <w:pStyle w:val="TableRow"/>
            </w:pPr>
            <w:r>
              <w:lastRenderedPageBreak/>
              <w:t xml:space="preserve">Quality first teaching across the school </w:t>
            </w:r>
          </w:p>
          <w:p w14:paraId="2823732B" w14:textId="77777777" w:rsidR="00B52E96" w:rsidRDefault="00B52E96" w:rsidP="00B52E96">
            <w:pPr>
              <w:pStyle w:val="TableRow"/>
            </w:pPr>
          </w:p>
          <w:p w14:paraId="73060F03" w14:textId="3041C204" w:rsidR="00B52E96" w:rsidRDefault="00B52E96" w:rsidP="00B52E96">
            <w:pPr>
              <w:pStyle w:val="TableRow"/>
            </w:pPr>
            <w:r>
              <w:t xml:space="preserve">Common curriculum with a focus on oracy to be used </w:t>
            </w:r>
          </w:p>
          <w:p w14:paraId="1BBFE9BB" w14:textId="77777777" w:rsidR="00B52E96" w:rsidRDefault="00B52E96" w:rsidP="00B52E96">
            <w:pPr>
              <w:pStyle w:val="TableRow"/>
            </w:pPr>
          </w:p>
          <w:p w14:paraId="56E5133A" w14:textId="4FF0F7A4" w:rsidR="00B52E96" w:rsidRDefault="00B52E96" w:rsidP="00B52E96">
            <w:pPr>
              <w:pStyle w:val="TableRow"/>
            </w:pPr>
            <w:r>
              <w:t xml:space="preserve">Talk for writing to be used in EYFS to promote oracy from a young age </w:t>
            </w:r>
          </w:p>
          <w:p w14:paraId="4A7AD07D" w14:textId="77777777" w:rsidR="00B52E96" w:rsidRDefault="00B52E96" w:rsidP="00B52E96">
            <w:pPr>
              <w:pStyle w:val="TableRow"/>
            </w:pPr>
          </w:p>
          <w:p w14:paraId="4F5DAEA0" w14:textId="77777777" w:rsidR="00B52E96" w:rsidRDefault="00B52E96" w:rsidP="00B52E96">
            <w:pPr>
              <w:pStyle w:val="TableRow"/>
            </w:pPr>
          </w:p>
          <w:p w14:paraId="58010E89" w14:textId="2D0D2693" w:rsidR="00B52E96" w:rsidRDefault="00B52E96" w:rsidP="00B52E96">
            <w:pPr>
              <w:pStyle w:val="TableRow"/>
            </w:pPr>
            <w:r>
              <w:t xml:space="preserve">Regular training on teaching approaches for teachers and TAs </w:t>
            </w:r>
            <w:r w:rsidR="00ED2FCD">
              <w:t xml:space="preserve">to ensure we are using this alongside previous growth mindset approaches </w:t>
            </w:r>
          </w:p>
          <w:p w14:paraId="31D2C47A" w14:textId="77777777" w:rsidR="002D22E1" w:rsidRDefault="002D22E1" w:rsidP="00B52E96">
            <w:pPr>
              <w:pStyle w:val="TableRow"/>
            </w:pPr>
          </w:p>
          <w:p w14:paraId="0728B0E4" w14:textId="6D9618EF" w:rsidR="002D22E1" w:rsidRDefault="002D22E1" w:rsidP="00B52E96">
            <w:pPr>
              <w:pStyle w:val="TableRow"/>
            </w:pPr>
            <w:r>
              <w:t xml:space="preserve">Team teaching with newer teachers from AP </w:t>
            </w:r>
          </w:p>
          <w:p w14:paraId="3B977284" w14:textId="77777777" w:rsidR="00B52E96" w:rsidRDefault="00B52E96" w:rsidP="00B52E96">
            <w:pPr>
              <w:pStyle w:val="TableRow"/>
            </w:pPr>
          </w:p>
          <w:p w14:paraId="0B8EC4C5" w14:textId="4E41904A" w:rsidR="00B52E96" w:rsidRPr="000118B9" w:rsidRDefault="00B52E96" w:rsidP="00B52E96">
            <w:pPr>
              <w:pStyle w:val="TableRow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81CA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“Quality Teaching helps every child” EEF guided to the Pupil Premium </w:t>
            </w:r>
          </w:p>
          <w:p w14:paraId="5AE323DC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</w:p>
          <w:p w14:paraId="56E383F7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EEF – Good teaching is the most important lever schools have to improve outcomes of the disadvantaged </w:t>
            </w:r>
          </w:p>
          <w:p w14:paraId="714A7AC9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</w:p>
          <w:p w14:paraId="51556BFA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Subject knowledge underpins successful teaching and enables quality first teaching </w:t>
            </w:r>
          </w:p>
          <w:p w14:paraId="551C3281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</w:p>
          <w:p w14:paraId="35CA7327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</w:p>
          <w:p w14:paraId="32B07569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</w:p>
          <w:p w14:paraId="7F1F8158" w14:textId="3F4BF108" w:rsidR="00B52E96" w:rsidRPr="000118B9" w:rsidRDefault="00B52E96" w:rsidP="00B52E96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0D9E" w14:textId="29D5E10D" w:rsidR="00B52E96" w:rsidRDefault="00ED2FCD" w:rsidP="00B52E9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1,3,5</w:t>
            </w:r>
          </w:p>
        </w:tc>
      </w:tr>
    </w:tbl>
    <w:p w14:paraId="2A7D5522" w14:textId="77777777" w:rsidR="00E66558" w:rsidRDefault="00E66558">
      <w:pPr>
        <w:keepNext/>
        <w:spacing w:after="60"/>
        <w:outlineLvl w:val="1"/>
      </w:pPr>
    </w:p>
    <w:p w14:paraId="2A7D5523" w14:textId="1DC08891" w:rsidR="00E66558" w:rsidRDefault="009D71E8">
      <w:pPr>
        <w:rPr>
          <w:b/>
          <w:b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 xml:space="preserve">Targeted academic support (for example, </w:t>
      </w:r>
      <w:r w:rsidR="00D33FE5">
        <w:rPr>
          <w:b/>
          <w:bCs/>
          <w:color w:val="104F75"/>
          <w:sz w:val="28"/>
          <w:szCs w:val="28"/>
        </w:rPr>
        <w:t xml:space="preserve">tutoring, one-to-one support </w:t>
      </w:r>
      <w:r>
        <w:rPr>
          <w:b/>
          <w:bCs/>
          <w:color w:val="104F75"/>
          <w:sz w:val="28"/>
          <w:szCs w:val="28"/>
        </w:rPr>
        <w:t xml:space="preserve">structured interventions) </w:t>
      </w:r>
    </w:p>
    <w:p w14:paraId="2A7D5524" w14:textId="25CB5E66" w:rsidR="00E66558" w:rsidRDefault="009D71E8">
      <w:r>
        <w:t>Budgeted cost</w:t>
      </w:r>
      <w:r w:rsidRPr="009C2B1C">
        <w:rPr>
          <w:highlight w:val="cyan"/>
        </w:rPr>
        <w:t xml:space="preserve">: </w:t>
      </w:r>
      <w:r w:rsidRPr="003D61ED">
        <w:rPr>
          <w:highlight w:val="cyan"/>
        </w:rPr>
        <w:t>£</w:t>
      </w:r>
      <w:r w:rsidR="003D61ED" w:rsidRPr="003D61ED">
        <w:rPr>
          <w:highlight w:val="cyan"/>
        </w:rPr>
        <w:t>4371</w:t>
      </w:r>
      <w:r w:rsidR="003867EE"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7003B2" w14:paraId="2A7D5530" w14:textId="77777777" w:rsidTr="000A3016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2D" w14:textId="50882B48" w:rsidR="007003B2" w:rsidRPr="006F0161" w:rsidRDefault="00661E2A" w:rsidP="007003B2">
            <w:pPr>
              <w:pStyle w:val="TableRow"/>
              <w:rPr>
                <w:highlight w:val="yellow"/>
              </w:rPr>
            </w:pPr>
            <w:r w:rsidRPr="000118B9">
              <w:t xml:space="preserve">Rapid phonics catch up </w:t>
            </w:r>
            <w:r w:rsidR="002823CF" w:rsidRPr="000118B9">
              <w:t xml:space="preserve">support for children </w:t>
            </w:r>
            <w:r w:rsidR="007D207F">
              <w:t xml:space="preserve">across the school </w:t>
            </w:r>
            <w:r w:rsidR="002823CF" w:rsidRPr="000118B9"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E" w14:textId="0C8C3A13" w:rsidR="007003B2" w:rsidRPr="006F0161" w:rsidRDefault="00661E2A" w:rsidP="007003B2">
            <w:pPr>
              <w:pStyle w:val="TableRowCentered"/>
              <w:jc w:val="left"/>
              <w:rPr>
                <w:sz w:val="22"/>
                <w:highlight w:val="yellow"/>
              </w:rPr>
            </w:pPr>
            <w:r w:rsidRPr="000118B9">
              <w:t>Use of new SSP so children</w:t>
            </w:r>
            <w:r w:rsidR="00603D99" w:rsidRPr="000118B9">
              <w:t xml:space="preserve"> keep up </w:t>
            </w:r>
            <w:r w:rsidR="00BA5BBE" w:rsidRPr="000118B9">
              <w:t>– accredited SSP</w:t>
            </w:r>
            <w:r w:rsidR="000118B9">
              <w:t xml:space="preserve"> and extension units for KS2 now published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0413F949" w:rsidR="007003B2" w:rsidRPr="00F60315" w:rsidRDefault="000118B9" w:rsidP="007003B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</w:tr>
      <w:tr w:rsidR="005E1DE6" w14:paraId="72B1C239" w14:textId="77777777" w:rsidTr="002A48A3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60E6" w14:textId="3790687F" w:rsidR="005E1DE6" w:rsidRPr="00160CC7" w:rsidRDefault="005E1DE6" w:rsidP="005E1DE6">
            <w:pPr>
              <w:ind w:left="2"/>
            </w:pPr>
            <w:r w:rsidRPr="00603D99">
              <w:t xml:space="preserve">Focussed support for PP children through TA deployment to close gaps </w:t>
            </w:r>
            <w:r>
              <w:t xml:space="preserve">from QLA and progress review meetings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7792" w14:textId="77777777" w:rsidR="005E1DE6" w:rsidRDefault="005E1DE6" w:rsidP="005E1DE6">
            <w:pPr>
              <w:pStyle w:val="TableRowCentered"/>
              <w:jc w:val="left"/>
            </w:pPr>
            <w:r>
              <w:t>Early identification and targeted pupil profiles show the impact of early intervention and regular monitoring so that curriculum can be adapted as appropriately for children with SEN,</w:t>
            </w:r>
          </w:p>
          <w:p w14:paraId="6514EB76" w14:textId="77777777" w:rsidR="005E1DE6" w:rsidRDefault="005E1DE6" w:rsidP="005E1DE6">
            <w:pPr>
              <w:pStyle w:val="TableRowCentered"/>
              <w:jc w:val="left"/>
            </w:pPr>
          </w:p>
          <w:p w14:paraId="7B452254" w14:textId="41454196" w:rsidR="005E1DE6" w:rsidRPr="00160CC7" w:rsidRDefault="005E1DE6" w:rsidP="005E1DE6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FB5C" w14:textId="6E99FC62" w:rsidR="005E1DE6" w:rsidRPr="00160CC7" w:rsidRDefault="005E1DE6" w:rsidP="005E1DE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1,3,4,5</w:t>
            </w:r>
          </w:p>
        </w:tc>
      </w:tr>
    </w:tbl>
    <w:p w14:paraId="2A7D5531" w14:textId="77777777" w:rsidR="00E66558" w:rsidRDefault="00E66558">
      <w:pPr>
        <w:spacing w:after="0"/>
        <w:rPr>
          <w:b/>
          <w:color w:val="104F75"/>
          <w:sz w:val="28"/>
          <w:szCs w:val="28"/>
        </w:rPr>
      </w:pPr>
    </w:p>
    <w:p w14:paraId="2A7D5532" w14:textId="59A68BC3" w:rsidR="00E66558" w:rsidRDefault="009D71E8">
      <w:pPr>
        <w:rPr>
          <w:b/>
          <w:color w:val="104F75"/>
          <w:sz w:val="28"/>
          <w:szCs w:val="28"/>
        </w:rPr>
      </w:pPr>
      <w:r>
        <w:rPr>
          <w:b/>
          <w:color w:val="104F75"/>
          <w:sz w:val="28"/>
          <w:szCs w:val="28"/>
        </w:rPr>
        <w:t>Wider strategies (for example, related to attendance, behaviour, wellbeing)</w:t>
      </w:r>
    </w:p>
    <w:p w14:paraId="2A7D5533" w14:textId="3AC2B8B9" w:rsidR="00E66558" w:rsidRDefault="009D71E8">
      <w:pPr>
        <w:spacing w:before="240" w:after="120"/>
      </w:pPr>
      <w:r>
        <w:t xml:space="preserve">Budgeted cost: </w:t>
      </w:r>
      <w:r w:rsidR="003416DD" w:rsidRPr="003416DD">
        <w:rPr>
          <w:highlight w:val="cyan"/>
        </w:rPr>
        <w:t>£4609</w:t>
      </w:r>
      <w:r w:rsidR="009C2B1C"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31123D" w14:paraId="2A7D553F" w14:textId="77777777" w:rsidTr="0031123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3C" w14:textId="3280C516" w:rsidR="0031123D" w:rsidRPr="0031123D" w:rsidRDefault="00687B84" w:rsidP="0031123D">
            <w:pPr>
              <w:ind w:left="1" w:right="26"/>
            </w:pPr>
            <w:r>
              <w:t>ELSA</w:t>
            </w:r>
            <w:r w:rsidR="00D84093">
              <w:t>/</w:t>
            </w:r>
            <w:proofErr w:type="gramStart"/>
            <w:r w:rsidR="00D84093">
              <w:t>nurture</w:t>
            </w:r>
            <w:r w:rsidR="00CA163B">
              <w:t xml:space="preserve"> </w:t>
            </w:r>
            <w:r>
              <w:t xml:space="preserve"> for</w:t>
            </w:r>
            <w:proofErr w:type="gramEnd"/>
            <w:r>
              <w:t xml:space="preserve"> 1 x TA</w:t>
            </w:r>
            <w:r w:rsidR="0031123D"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D" w14:textId="2AC105AF" w:rsidR="0031123D" w:rsidRDefault="00CA2970" w:rsidP="0031123D">
            <w:pPr>
              <w:pStyle w:val="TableRowCentered"/>
              <w:jc w:val="left"/>
              <w:rPr>
                <w:sz w:val="22"/>
              </w:rPr>
            </w:pPr>
            <w:r>
              <w:t xml:space="preserve">EEF states Social and Emotional Learning has moderate impact for moderate coast (+4 months).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4EFDA2D7" w:rsidR="0031123D" w:rsidRDefault="009F7F1B" w:rsidP="0031123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2,4,5</w:t>
            </w:r>
          </w:p>
        </w:tc>
      </w:tr>
      <w:tr w:rsidR="0031123D" w14:paraId="4E4E9806" w14:textId="77777777" w:rsidTr="0031123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9ACBC" w14:textId="1E91F592" w:rsidR="0031123D" w:rsidRDefault="0031123D" w:rsidP="0031123D">
            <w:pPr>
              <w:ind w:left="1" w:right="26"/>
            </w:pPr>
            <w:r>
              <w:t xml:space="preserve">Support offered to </w:t>
            </w:r>
            <w:r w:rsidR="00B027FB">
              <w:t>subsidise</w:t>
            </w:r>
            <w:r>
              <w:t xml:space="preserve"> for enrichment / extracurricular activities. </w:t>
            </w:r>
            <w:r w:rsidR="00687B84">
              <w:t>E.g. sport and wrap round care clubs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91F2" w14:textId="20DF5202" w:rsidR="0031123D" w:rsidRDefault="00CA2970" w:rsidP="0031123D">
            <w:pPr>
              <w:pStyle w:val="TableRowCentered"/>
              <w:jc w:val="left"/>
              <w:rPr>
                <w:sz w:val="22"/>
              </w:rPr>
            </w:pPr>
            <w:r>
              <w:t>Enabling children to access high quality enrichment activities that they might otherwise not have access to will support their learning through experiential learning and vocabulary development.</w:t>
            </w:r>
            <w:r w:rsidR="009F7F1B">
              <w:t xml:space="preserve"> Some EEF evidence of impact of the arts and outside activity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CF3F" w14:textId="2A80A12C" w:rsidR="0031123D" w:rsidRDefault="009F7F1B" w:rsidP="0031123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</w:tr>
      <w:tr w:rsidR="009F7F1B" w14:paraId="1C2A9582" w14:textId="77777777" w:rsidTr="0031123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C6E2" w14:textId="77777777" w:rsidR="003D61ED" w:rsidRPr="003D61ED" w:rsidRDefault="003D61ED" w:rsidP="003D61ED">
            <w:pPr>
              <w:ind w:left="1" w:right="26"/>
            </w:pPr>
            <w:r w:rsidRPr="003D61ED">
              <w:t>Implement a proactive attendance strategy that uses regular monitoring, early family engagement, and personalised support to remove barriers to attendance and improve consistency for disadvantaged pupils</w:t>
            </w:r>
          </w:p>
          <w:p w14:paraId="69DDD848" w14:textId="6AE3FFAE" w:rsidR="009F7F1B" w:rsidRDefault="009F7F1B" w:rsidP="0031123D">
            <w:pPr>
              <w:ind w:left="1" w:right="26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2D86" w14:textId="1A5C31C7" w:rsidR="009F7F1B" w:rsidRDefault="009F7F1B" w:rsidP="0031123D">
            <w:pPr>
              <w:pStyle w:val="TableRowCentered"/>
              <w:jc w:val="left"/>
            </w:pPr>
            <w:r>
              <w:t>As above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790D" w14:textId="65E3E7EC" w:rsidR="009F7F1B" w:rsidRDefault="009F7F1B" w:rsidP="0031123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2,4,5</w:t>
            </w:r>
          </w:p>
        </w:tc>
      </w:tr>
      <w:tr w:rsidR="006407B0" w14:paraId="7A0701EC" w14:textId="77777777" w:rsidTr="0031123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3C5F" w14:textId="66FF9D79" w:rsidR="006407B0" w:rsidRDefault="006407B0" w:rsidP="006407B0">
            <w:pPr>
              <w:ind w:left="1" w:right="26"/>
            </w:pPr>
            <w:r>
              <w:t xml:space="preserve">Incentives and rewards for attendance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FC21" w14:textId="77491DF8" w:rsidR="006407B0" w:rsidRDefault="006407B0" w:rsidP="006407B0">
            <w:pPr>
              <w:pStyle w:val="TableRowCentered"/>
              <w:jc w:val="left"/>
            </w:pPr>
            <w:r>
              <w:t>Children in school all day and punctually to access all learning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3BE1" w14:textId="4B0FAC54" w:rsidR="006407B0" w:rsidRDefault="006407B0" w:rsidP="006407B0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2,4,5</w:t>
            </w:r>
          </w:p>
        </w:tc>
      </w:tr>
      <w:tr w:rsidR="006407B0" w14:paraId="470558A0" w14:textId="77777777" w:rsidTr="0031123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E2A7" w14:textId="7DE9346F" w:rsidR="006407B0" w:rsidRDefault="006407B0" w:rsidP="006407B0">
            <w:pPr>
              <w:ind w:left="1" w:right="26"/>
            </w:pPr>
            <w:r>
              <w:t xml:space="preserve">Curriculum enrichment that is bespoke to the PP children’s needs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80DEA" w14:textId="193A3456" w:rsidR="006407B0" w:rsidRDefault="006407B0" w:rsidP="006407B0">
            <w:pPr>
              <w:pStyle w:val="TableRowCentered"/>
              <w:jc w:val="left"/>
            </w:pPr>
            <w:r>
              <w:t>Offer of a broader curriculum for children to achieve success with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9D68" w14:textId="68F693BE" w:rsidR="006407B0" w:rsidRDefault="006407B0" w:rsidP="006407B0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2,4,5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157955F9" w:rsidR="00E66558" w:rsidRPr="009F7F1B" w:rsidRDefault="009D71E8" w:rsidP="00120AB1">
      <w:pPr>
        <w:rPr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lastRenderedPageBreak/>
        <w:t xml:space="preserve">Total budgeted cost: </w:t>
      </w:r>
      <w:r w:rsidR="004C67A8">
        <w:rPr>
          <w:b/>
          <w:bCs/>
          <w:color w:val="104F75"/>
          <w:sz w:val="28"/>
          <w:szCs w:val="28"/>
        </w:rPr>
        <w:t>£20,980</w:t>
      </w:r>
    </w:p>
    <w:p w14:paraId="21AAFFA6" w14:textId="381E4CCF" w:rsidR="00401758" w:rsidRDefault="00401758" w:rsidP="00120AB1">
      <w:pPr>
        <w:rPr>
          <w:i/>
          <w:iCs/>
          <w:color w:val="104F75"/>
          <w:sz w:val="28"/>
          <w:szCs w:val="28"/>
        </w:rPr>
      </w:pPr>
    </w:p>
    <w:p w14:paraId="2A7D5542" w14:textId="77777777" w:rsidR="00E66558" w:rsidRDefault="009D71E8">
      <w:pPr>
        <w:pStyle w:val="Heading1"/>
      </w:pPr>
      <w:r>
        <w:lastRenderedPageBreak/>
        <w:t>Part B: Review of outcomes in the previous academic year</w:t>
      </w:r>
    </w:p>
    <w:p w14:paraId="2A7D5543" w14:textId="77777777" w:rsidR="00E66558" w:rsidRDefault="009D71E8">
      <w:pPr>
        <w:pStyle w:val="Heading2"/>
      </w:pPr>
      <w:r>
        <w:t>Pupil premium strategy outcomes</w:t>
      </w:r>
    </w:p>
    <w:p w14:paraId="2A7D5544" w14:textId="09AA207A" w:rsidR="00E66558" w:rsidRDefault="009D71E8">
      <w:r>
        <w:t xml:space="preserve">This details the impact that our pupil premium activity had on pupils in the </w:t>
      </w:r>
      <w:r w:rsidR="004A7B50">
        <w:t>202</w:t>
      </w:r>
      <w:r w:rsidR="00DE3FE1">
        <w:t xml:space="preserve">2 to </w:t>
      </w:r>
      <w:proofErr w:type="gramStart"/>
      <w:r w:rsidR="00DE3FE1">
        <w:t xml:space="preserve">2023 </w:t>
      </w:r>
      <w:r>
        <w:t xml:space="preserve"> academic</w:t>
      </w:r>
      <w:proofErr w:type="gramEnd"/>
      <w:r>
        <w:t xml:space="preserve"> year.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7"/>
      </w:tblGrid>
      <w:tr w:rsidR="00E66558" w14:paraId="2A7D5547" w14:textId="77777777">
        <w:trPr>
          <w:trHeight w:val="1102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36C8" w14:textId="7D4EACBC" w:rsidR="00AF7B89" w:rsidRDefault="00AF7B89" w:rsidP="00CA2970">
            <w:pPr>
              <w:spacing w:before="120"/>
            </w:pPr>
            <w:r>
              <w:t>Our assessments post pandemic</w:t>
            </w:r>
            <w:r w:rsidR="009F7F1B">
              <w:t xml:space="preserve"> still</w:t>
            </w:r>
            <w:r>
              <w:t xml:space="preserve"> show that not all disadvantaged children are attaining at the expected level for their age in line with our targets from our previous strategy. </w:t>
            </w:r>
            <w:r w:rsidR="009F7F1B">
              <w:t xml:space="preserve">This has particularly impacted on the challenges of </w:t>
            </w:r>
            <w:proofErr w:type="spellStart"/>
            <w:r w:rsidR="009F7F1B">
              <w:t>self regulation</w:t>
            </w:r>
            <w:proofErr w:type="spellEnd"/>
            <w:r w:rsidR="009F7F1B">
              <w:t xml:space="preserve"> and emotional wellbeing.</w:t>
            </w:r>
          </w:p>
          <w:p w14:paraId="2AB3F501" w14:textId="77777777" w:rsidR="00652AC0" w:rsidRDefault="00CA2970" w:rsidP="00CA2970">
            <w:pPr>
              <w:spacing w:before="120"/>
            </w:pPr>
            <w:r>
              <w:t xml:space="preserve"> Through </w:t>
            </w:r>
            <w:r w:rsidR="009F7F1B">
              <w:t xml:space="preserve">rigorous </w:t>
            </w:r>
            <w:r>
              <w:t xml:space="preserve">monitoring, both PP lead and class teachers know the needs of their PP pupils and have planned accordingly throughout the academic year </w:t>
            </w:r>
            <w:r w:rsidR="009F7F1B">
              <w:t>2023-24</w:t>
            </w:r>
            <w:r w:rsidR="00652AC0">
              <w:t>.</w:t>
            </w:r>
          </w:p>
          <w:p w14:paraId="55BD17E8" w14:textId="49ADCCA7" w:rsidR="00CA2970" w:rsidRDefault="00CA2970" w:rsidP="00CA2970">
            <w:pPr>
              <w:spacing w:before="120"/>
            </w:pPr>
            <w:r>
              <w:t xml:space="preserve"> Current assessments have then been used to inform this strategy document </w:t>
            </w:r>
            <w:r w:rsidR="00652AC0">
              <w:t>and more importantly the provisions in place for all children</w:t>
            </w:r>
          </w:p>
          <w:p w14:paraId="4BCBBA00" w14:textId="77777777" w:rsidR="00E30866" w:rsidRDefault="00E30866" w:rsidP="00CA2970">
            <w:pPr>
              <w:spacing w:before="120"/>
            </w:pPr>
          </w:p>
          <w:p w14:paraId="0677BE40" w14:textId="71453301" w:rsidR="00E30866" w:rsidRPr="00E30866" w:rsidRDefault="00E30866" w:rsidP="00CA2970">
            <w:pPr>
              <w:spacing w:before="120"/>
              <w:rPr>
                <w:b/>
                <w:bCs/>
                <w:u w:val="single"/>
              </w:rPr>
            </w:pPr>
            <w:r w:rsidRPr="00E30866">
              <w:rPr>
                <w:b/>
                <w:bCs/>
                <w:u w:val="single"/>
              </w:rPr>
              <w:t xml:space="preserve">Review of 2024-2025 Results </w:t>
            </w:r>
          </w:p>
          <w:p w14:paraId="048EC276" w14:textId="478443FB" w:rsidR="00E30866" w:rsidRPr="00E30866" w:rsidRDefault="00E30866" w:rsidP="00E30866">
            <w:pPr>
              <w:pStyle w:val="ListParagraph"/>
              <w:numPr>
                <w:ilvl w:val="0"/>
                <w:numId w:val="20"/>
              </w:numPr>
              <w:spacing w:before="120"/>
            </w:pPr>
            <w:r w:rsidRPr="00E30866">
              <w:rPr>
                <w:b/>
                <w:bCs/>
              </w:rPr>
              <w:t>Cohort size:</w:t>
            </w:r>
            <w:r w:rsidRPr="00E30866">
              <w:t xml:space="preserve"> </w:t>
            </w:r>
            <w:r w:rsidRPr="00E30866">
              <w:rPr>
                <w:b/>
                <w:bCs/>
              </w:rPr>
              <w:t>3 disadvantaged pupils</w:t>
            </w:r>
            <w:r w:rsidRPr="00E30866">
              <w:t xml:space="preserve"> (very small, so percentages are highly volatile). </w:t>
            </w:r>
          </w:p>
          <w:p w14:paraId="73C6E1A9" w14:textId="1FBC8983" w:rsidR="00E30866" w:rsidRPr="00E30866" w:rsidRDefault="00E30866" w:rsidP="00E30866">
            <w:pPr>
              <w:spacing w:before="120"/>
            </w:pPr>
            <w:proofErr w:type="gramStart"/>
            <w:r w:rsidRPr="00E30866">
              <w:t xml:space="preserve">  </w:t>
            </w:r>
            <w:r w:rsidRPr="00E30866">
              <w:rPr>
                <w:b/>
                <w:bCs/>
              </w:rPr>
              <w:t>RWM</w:t>
            </w:r>
            <w:proofErr w:type="gramEnd"/>
            <w:r w:rsidRPr="00E30866">
              <w:rPr>
                <w:b/>
                <w:bCs/>
              </w:rPr>
              <w:t xml:space="preserve"> Combined EXS+:</w:t>
            </w:r>
            <w:r w:rsidRPr="00E30866">
              <w:t xml:space="preserve"> </w:t>
            </w:r>
            <w:r w:rsidRPr="00E30866">
              <w:rPr>
                <w:b/>
                <w:bCs/>
              </w:rPr>
              <w:t>33.3%</w:t>
            </w:r>
            <w:r w:rsidRPr="00E30866">
              <w:t xml:space="preserve"> (1 out of 3 pupils).  </w:t>
            </w:r>
          </w:p>
          <w:p w14:paraId="2FCC0476" w14:textId="77777777" w:rsidR="00E30866" w:rsidRPr="00E30866" w:rsidRDefault="00E30866" w:rsidP="00E30866">
            <w:pPr>
              <w:spacing w:before="120"/>
            </w:pPr>
            <w:proofErr w:type="gramStart"/>
            <w:r w:rsidRPr="00E30866">
              <w:t xml:space="preserve">  </w:t>
            </w:r>
            <w:r w:rsidRPr="00E30866">
              <w:rPr>
                <w:b/>
                <w:bCs/>
              </w:rPr>
              <w:t>Subject</w:t>
            </w:r>
            <w:proofErr w:type="gramEnd"/>
            <w:r w:rsidRPr="00E30866">
              <w:rPr>
                <w:b/>
                <w:bCs/>
              </w:rPr>
              <w:t xml:space="preserve"> outcomes (EXS):</w:t>
            </w:r>
            <w:r w:rsidRPr="00E30866">
              <w:t xml:space="preserve"> </w:t>
            </w:r>
          </w:p>
          <w:p w14:paraId="40D3E448" w14:textId="77777777" w:rsidR="00E30866" w:rsidRPr="00E30866" w:rsidRDefault="00E30866" w:rsidP="00E30866">
            <w:pPr>
              <w:numPr>
                <w:ilvl w:val="0"/>
                <w:numId w:val="18"/>
              </w:numPr>
              <w:spacing w:before="120"/>
            </w:pPr>
            <w:r w:rsidRPr="00E30866">
              <w:rPr>
                <w:b/>
                <w:bCs/>
              </w:rPr>
              <w:t>Reading EXS:</w:t>
            </w:r>
            <w:r w:rsidRPr="00E30866">
              <w:t xml:space="preserve"> 66.7%</w:t>
            </w:r>
          </w:p>
          <w:p w14:paraId="1BE96797" w14:textId="77777777" w:rsidR="00E30866" w:rsidRPr="00E30866" w:rsidRDefault="00E30866" w:rsidP="00E30866">
            <w:pPr>
              <w:numPr>
                <w:ilvl w:val="0"/>
                <w:numId w:val="18"/>
              </w:numPr>
              <w:spacing w:before="120"/>
            </w:pPr>
            <w:r w:rsidRPr="00E30866">
              <w:rPr>
                <w:b/>
                <w:bCs/>
              </w:rPr>
              <w:t>Writing EXS:</w:t>
            </w:r>
            <w:r w:rsidRPr="00E30866">
              <w:t xml:space="preserve"> 66.7%</w:t>
            </w:r>
          </w:p>
          <w:p w14:paraId="6437BFA1" w14:textId="77777777" w:rsidR="00E30866" w:rsidRPr="00E30866" w:rsidRDefault="00E30866" w:rsidP="00E30866">
            <w:pPr>
              <w:numPr>
                <w:ilvl w:val="0"/>
                <w:numId w:val="18"/>
              </w:numPr>
              <w:spacing w:before="120"/>
            </w:pPr>
            <w:r w:rsidRPr="00E30866">
              <w:rPr>
                <w:b/>
                <w:bCs/>
              </w:rPr>
              <w:t>Maths EXS:</w:t>
            </w:r>
            <w:r w:rsidRPr="00E30866">
              <w:t xml:space="preserve"> 66.7%</w:t>
            </w:r>
          </w:p>
          <w:p w14:paraId="49BF7108" w14:textId="25C1D802" w:rsidR="00E30866" w:rsidRPr="00E30866" w:rsidRDefault="00E30866" w:rsidP="00E30866">
            <w:pPr>
              <w:numPr>
                <w:ilvl w:val="0"/>
                <w:numId w:val="18"/>
              </w:numPr>
              <w:spacing w:before="120"/>
            </w:pPr>
            <w:r w:rsidRPr="00E30866">
              <w:rPr>
                <w:b/>
                <w:bCs/>
              </w:rPr>
              <w:t>GPS EXS:</w:t>
            </w:r>
            <w:r w:rsidRPr="00E30866">
              <w:t xml:space="preserve"> 66.7%</w:t>
            </w:r>
            <w:r w:rsidRPr="00E30866">
              <w:br/>
            </w:r>
            <w:r w:rsidRPr="00E30866">
              <w:rPr>
                <w:i/>
                <w:iCs/>
              </w:rPr>
              <w:t>(All subjects show the same pattern: 2 out of 3 pupils meeting EXS.)</w:t>
            </w:r>
            <w:r w:rsidRPr="00E30866">
              <w:t xml:space="preserve"> </w:t>
            </w:r>
          </w:p>
          <w:p w14:paraId="50602F2D" w14:textId="18889547" w:rsidR="00E30866" w:rsidRPr="00E30866" w:rsidRDefault="00E30866" w:rsidP="00E30866">
            <w:pPr>
              <w:spacing w:before="120"/>
            </w:pPr>
            <w:proofErr w:type="gramStart"/>
            <w:r w:rsidRPr="00E30866">
              <w:t xml:space="preserve">  </w:t>
            </w:r>
            <w:r w:rsidRPr="00E30866">
              <w:rPr>
                <w:b/>
                <w:bCs/>
              </w:rPr>
              <w:t>GDS</w:t>
            </w:r>
            <w:proofErr w:type="gramEnd"/>
            <w:r w:rsidRPr="00E30866">
              <w:rPr>
                <w:b/>
                <w:bCs/>
              </w:rPr>
              <w:t>:</w:t>
            </w:r>
            <w:r w:rsidRPr="00E30866">
              <w:t xml:space="preserve"> </w:t>
            </w:r>
            <w:r w:rsidRPr="00E30866">
              <w:rPr>
                <w:b/>
                <w:bCs/>
              </w:rPr>
              <w:t>0%</w:t>
            </w:r>
            <w:r w:rsidRPr="00E30866">
              <w:t xml:space="preserve"> across all subjects and combined. </w:t>
            </w:r>
          </w:p>
          <w:p w14:paraId="14FEA113" w14:textId="4AD38262" w:rsidR="00E30866" w:rsidRPr="00E30866" w:rsidRDefault="00E30866" w:rsidP="00E30866">
            <w:pPr>
              <w:spacing w:before="120"/>
            </w:pPr>
            <w:proofErr w:type="gramStart"/>
            <w:r w:rsidRPr="00E30866">
              <w:t xml:space="preserve">  </w:t>
            </w:r>
            <w:r w:rsidRPr="00E30866">
              <w:rPr>
                <w:b/>
                <w:bCs/>
              </w:rPr>
              <w:t>Attendance</w:t>
            </w:r>
            <w:proofErr w:type="gramEnd"/>
            <w:r w:rsidRPr="00E30866">
              <w:rPr>
                <w:b/>
                <w:bCs/>
              </w:rPr>
              <w:t>:</w:t>
            </w:r>
            <w:r w:rsidRPr="00E30866">
              <w:t xml:space="preserve"> </w:t>
            </w:r>
            <w:r w:rsidRPr="00E30866">
              <w:rPr>
                <w:b/>
                <w:bCs/>
              </w:rPr>
              <w:t>96.2%</w:t>
            </w:r>
            <w:r w:rsidRPr="00E30866">
              <w:t xml:space="preserve"> average — notably strong compared with many other schools. </w:t>
            </w:r>
          </w:p>
          <w:p w14:paraId="07761392" w14:textId="77777777" w:rsidR="00E30866" w:rsidRPr="00E30866" w:rsidRDefault="00E30866" w:rsidP="00E30866">
            <w:pPr>
              <w:spacing w:before="120"/>
            </w:pPr>
            <w:proofErr w:type="gramStart"/>
            <w:r w:rsidRPr="00E30866">
              <w:t xml:space="preserve">  </w:t>
            </w:r>
            <w:r w:rsidRPr="00E30866">
              <w:rPr>
                <w:b/>
                <w:bCs/>
              </w:rPr>
              <w:t>Main</w:t>
            </w:r>
            <w:proofErr w:type="gramEnd"/>
            <w:r w:rsidRPr="00E30866">
              <w:rPr>
                <w:b/>
                <w:bCs/>
              </w:rPr>
              <w:t xml:space="preserve"> risk factor:</w:t>
            </w:r>
            <w:r w:rsidRPr="00E30866">
              <w:t xml:space="preserve"> Very small cohort means </w:t>
            </w:r>
            <w:r w:rsidRPr="00E30866">
              <w:rPr>
                <w:b/>
                <w:bCs/>
              </w:rPr>
              <w:t>one pupil significantly shifts percentages</w:t>
            </w:r>
            <w:r w:rsidRPr="00E30866">
              <w:t>, so caution is needed when interpreting gaps or trends.</w:t>
            </w:r>
          </w:p>
          <w:p w14:paraId="7638BD75" w14:textId="77777777" w:rsidR="00E30866" w:rsidRDefault="00E30866" w:rsidP="00CA2970">
            <w:pPr>
              <w:spacing w:before="120"/>
            </w:pPr>
          </w:p>
          <w:p w14:paraId="12D52D1D" w14:textId="2781FD60" w:rsidR="00907BFE" w:rsidRDefault="00907BFE" w:rsidP="00652AC0">
            <w:pPr>
              <w:spacing w:before="120"/>
              <w:rPr>
                <w:b/>
                <w:bCs/>
                <w:u w:val="single"/>
              </w:rPr>
            </w:pPr>
            <w:r w:rsidRPr="00907BFE">
              <w:rPr>
                <w:b/>
                <w:bCs/>
                <w:u w:val="single"/>
              </w:rPr>
              <w:lastRenderedPageBreak/>
              <w:t>Review of 2023 to 24 Results</w:t>
            </w:r>
          </w:p>
          <w:p w14:paraId="40E21947" w14:textId="63BA210E" w:rsidR="00907BFE" w:rsidRDefault="00907BFE" w:rsidP="00652AC0">
            <w:pPr>
              <w:spacing w:before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Overview </w:t>
            </w:r>
          </w:p>
          <w:tbl>
            <w:tblPr>
              <w:tblW w:w="9731" w:type="dxa"/>
              <w:tblLook w:val="04A0" w:firstRow="1" w:lastRow="0" w:firstColumn="1" w:lastColumn="0" w:noHBand="0" w:noVBand="1"/>
            </w:tblPr>
            <w:tblGrid>
              <w:gridCol w:w="1829"/>
              <w:gridCol w:w="222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907BFE" w:rsidRPr="00907BFE" w14:paraId="6E310F59" w14:textId="77777777" w:rsidTr="00907BFE">
              <w:trPr>
                <w:trHeight w:val="288"/>
              </w:trPr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C66FE2" w14:textId="753686CB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Year 6 </w:t>
                  </w:r>
                  <w:r w:rsidRPr="00907B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BF265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2FA1F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65550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7BAE5B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DCB78B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7A2B3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D876A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4DD6AA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07BFE" w:rsidRPr="00907BFE" w14:paraId="10AF69A3" w14:textId="77777777" w:rsidTr="00907BFE">
              <w:trPr>
                <w:trHeight w:val="288"/>
              </w:trPr>
              <w:tc>
                <w:tcPr>
                  <w:tcW w:w="493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26B022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Nearly 30% difference for RWM combined for PP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3FEA48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0BB595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41DE68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FE2E59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44DBC1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07BFE" w:rsidRPr="00907BFE" w14:paraId="58CCA450" w14:textId="77777777" w:rsidTr="00907BFE">
              <w:trPr>
                <w:trHeight w:val="288"/>
              </w:trPr>
              <w:tc>
                <w:tcPr>
                  <w:tcW w:w="685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7442B2" w14:textId="3076005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Reading and writing PP children were </w:t>
                  </w:r>
                  <w:r w:rsidR="003D61ED" w:rsidRPr="00907B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broadly</w:t>
                  </w:r>
                  <w:r w:rsidRPr="00907B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in line with general data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2F6E25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A16639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DB5805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07BFE" w:rsidRPr="00907BFE" w14:paraId="519CA81C" w14:textId="77777777" w:rsidTr="00907BFE">
              <w:trPr>
                <w:trHeight w:val="288"/>
              </w:trPr>
              <w:tc>
                <w:tcPr>
                  <w:tcW w:w="589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C86B8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Maths was the subject that was lower at 25% of PP getting ARE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D0F08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A9566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634BB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5D413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07BFE" w:rsidRPr="00907BFE" w14:paraId="4AAE82B5" w14:textId="77777777" w:rsidTr="00907BFE">
              <w:trPr>
                <w:trHeight w:val="300"/>
              </w:trPr>
              <w:tc>
                <w:tcPr>
                  <w:tcW w:w="589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EA2A0B" w14:textId="72C121E8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0% of PP children got GD for Reading, </w:t>
                  </w:r>
                  <w:r w:rsidR="003D61ED" w:rsidRPr="00907B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writing</w:t>
                  </w:r>
                  <w:r w:rsidRPr="00907B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and Maths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5BA2B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7F161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7F2A47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85A8E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07BFE" w:rsidRPr="00907BFE" w14:paraId="7E7E3824" w14:textId="77777777" w:rsidTr="00907BFE">
              <w:trPr>
                <w:trHeight w:val="300"/>
              </w:trPr>
              <w:tc>
                <w:tcPr>
                  <w:tcW w:w="589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D94833" w14:textId="5F18F4A9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PP scaled </w:t>
                  </w:r>
                  <w:r w:rsidR="003D61ED" w:rsidRPr="00907B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score</w:t>
                  </w:r>
                  <w:r w:rsidRPr="00907B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for reading was a difference of 19 points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B39C5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81072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FC2554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30F04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07BFE" w:rsidRPr="00907BFE" w14:paraId="097A1D21" w14:textId="77777777" w:rsidTr="00907BFE">
              <w:trPr>
                <w:trHeight w:val="300"/>
              </w:trPr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3CBC4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10E6A8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6DB191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41EF4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863ED4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252D65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4B687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F4535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2EC311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FE4A6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07BFE" w:rsidRPr="00907BFE" w14:paraId="3FD77D82" w14:textId="77777777" w:rsidTr="00907BFE">
              <w:trPr>
                <w:trHeight w:val="300"/>
              </w:trPr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174C69" w14:textId="48B59674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GLD Headlines 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DB3C4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A33081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8882C1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0D014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F7C2F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00197B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DE7F0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BB95B2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6A8E08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07BFE" w:rsidRPr="00907BFE" w14:paraId="3CCDEC8E" w14:textId="77777777" w:rsidTr="00907BFE">
              <w:trPr>
                <w:trHeight w:val="300"/>
              </w:trPr>
              <w:tc>
                <w:tcPr>
                  <w:tcW w:w="877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F6AB55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100% of PP children got GLD, however there was only one child. 75% of the cohort got GLD.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17C42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7BFE" w:rsidRPr="00907BFE" w14:paraId="0883F6B9" w14:textId="77777777" w:rsidTr="00907BFE">
              <w:trPr>
                <w:trHeight w:val="288"/>
              </w:trPr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F8E73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Phonics 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CBFF5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0F1021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EAC14A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06250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C73BA8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488C3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375725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16FF62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501D61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07BFE" w:rsidRPr="00907BFE" w14:paraId="1CAE690E" w14:textId="77777777" w:rsidTr="00907BFE">
              <w:trPr>
                <w:trHeight w:val="288"/>
              </w:trPr>
              <w:tc>
                <w:tcPr>
                  <w:tcW w:w="973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9CBA9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50% of the 2 PP children passed the year 1 phonics screening check. 91% of the cohort passed the check. </w:t>
                  </w:r>
                </w:p>
              </w:tc>
            </w:tr>
            <w:tr w:rsidR="00907BFE" w:rsidRPr="00907BFE" w14:paraId="2F72022A" w14:textId="77777777" w:rsidTr="00907BFE">
              <w:trPr>
                <w:trHeight w:val="288"/>
              </w:trPr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00F4C8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MTC 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BB8D6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2D503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6BEC2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4EA221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AE944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7BE5F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3179E9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1EC94B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1D206F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07BFE" w:rsidRPr="00907BFE" w14:paraId="67406EFD" w14:textId="77777777" w:rsidTr="00907BFE">
              <w:trPr>
                <w:trHeight w:val="288"/>
              </w:trPr>
              <w:tc>
                <w:tcPr>
                  <w:tcW w:w="39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1BBBBE" w14:textId="47DE12FB" w:rsid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No child in Year 4 was PP or services </w:t>
                  </w:r>
                </w:p>
                <w:p w14:paraId="2D8AFD21" w14:textId="1DB4ED9A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Attendance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- </w:t>
                  </w:r>
                  <w:r w:rsidRPr="00907BF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Current attendance is 96%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07BFE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with PP at 85% and service children at 92%</w:t>
                  </w:r>
                </w:p>
                <w:p w14:paraId="43C9D5CE" w14:textId="0D63732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1C23CB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95E21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0E45F2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9E2F5A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8B72C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BE0E8A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7692F4DE" w14:textId="410BF28E" w:rsidR="00907BFE" w:rsidRDefault="00907BFE" w:rsidP="00652AC0">
            <w:pPr>
              <w:spacing w:before="120"/>
              <w:rPr>
                <w:b/>
                <w:bCs/>
                <w:u w:val="single"/>
              </w:rPr>
            </w:pPr>
          </w:p>
          <w:p w14:paraId="0265019D" w14:textId="77FB9735" w:rsidR="00907BFE" w:rsidRDefault="00907BFE" w:rsidP="00652AC0">
            <w:pPr>
              <w:spacing w:before="120"/>
              <w:rPr>
                <w:b/>
                <w:bCs/>
                <w:u w:val="single"/>
              </w:rPr>
            </w:pPr>
          </w:p>
          <w:p w14:paraId="09E4CEC9" w14:textId="29DDA93F" w:rsidR="00907BFE" w:rsidRDefault="00907BFE" w:rsidP="00652AC0">
            <w:pPr>
              <w:spacing w:before="120"/>
              <w:rPr>
                <w:b/>
                <w:bCs/>
                <w:u w:val="single"/>
              </w:rPr>
            </w:pPr>
          </w:p>
          <w:p w14:paraId="37B2A084" w14:textId="5AC4BE7E" w:rsidR="00907BFE" w:rsidRDefault="00907BFE" w:rsidP="00652AC0">
            <w:pPr>
              <w:spacing w:before="120"/>
              <w:rPr>
                <w:b/>
                <w:bCs/>
                <w:u w:val="single"/>
              </w:rPr>
            </w:pPr>
          </w:p>
          <w:p w14:paraId="48CCE01C" w14:textId="7089D5AE" w:rsidR="00907BFE" w:rsidRPr="00907BFE" w:rsidRDefault="00907BFE" w:rsidP="00652AC0">
            <w:pPr>
              <w:spacing w:before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Year 6 Results in more detail </w:t>
            </w:r>
          </w:p>
          <w:tbl>
            <w:tblPr>
              <w:tblW w:w="6310" w:type="dxa"/>
              <w:tblInd w:w="10" w:type="dxa"/>
              <w:tblLook w:val="04A0" w:firstRow="1" w:lastRow="0" w:firstColumn="1" w:lastColumn="0" w:noHBand="0" w:noVBand="1"/>
            </w:tblPr>
            <w:tblGrid>
              <w:gridCol w:w="1108"/>
              <w:gridCol w:w="766"/>
              <w:gridCol w:w="816"/>
              <w:gridCol w:w="681"/>
              <w:gridCol w:w="816"/>
              <w:gridCol w:w="766"/>
              <w:gridCol w:w="816"/>
              <w:gridCol w:w="681"/>
              <w:gridCol w:w="816"/>
              <w:gridCol w:w="13"/>
              <w:gridCol w:w="803"/>
              <w:gridCol w:w="816"/>
            </w:tblGrid>
            <w:tr w:rsidR="00907BFE" w:rsidRPr="00907BFE" w14:paraId="19BEC14F" w14:textId="77777777" w:rsidTr="00907BFE">
              <w:trPr>
                <w:trHeight w:val="144"/>
              </w:trPr>
              <w:tc>
                <w:tcPr>
                  <w:tcW w:w="11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C4C0F9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2BFB9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60398F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8CEB07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216D35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675DA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80898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28491F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89FEA2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FA548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8AC545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907BFE" w:rsidRPr="00907BFE" w14:paraId="39D9C19C" w14:textId="77777777" w:rsidTr="00907BFE">
              <w:trPr>
                <w:trHeight w:val="144"/>
              </w:trPr>
              <w:tc>
                <w:tcPr>
                  <w:tcW w:w="11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460AB3F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</w:rPr>
                  </w:pPr>
                  <w:r w:rsidRPr="00907BFE">
                    <w:rPr>
                      <w:rFonts w:cs="Arial"/>
                      <w:color w:val="000000"/>
                    </w:rPr>
                    <w:t> </w:t>
                  </w:r>
                </w:p>
              </w:tc>
              <w:tc>
                <w:tcPr>
                  <w:tcW w:w="2056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8ED973"/>
                  <w:vAlign w:val="center"/>
                  <w:hideMark/>
                </w:tcPr>
                <w:p w14:paraId="23A7C4E8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Expected Standard</w:t>
                  </w:r>
                </w:p>
              </w:tc>
              <w:tc>
                <w:tcPr>
                  <w:tcW w:w="2064" w:type="dxa"/>
                  <w:gridSpan w:val="5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8ED973"/>
                  <w:vAlign w:val="center"/>
                  <w:hideMark/>
                </w:tcPr>
                <w:p w14:paraId="7639C382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Greater Depth</w:t>
                  </w:r>
                </w:p>
              </w:tc>
              <w:tc>
                <w:tcPr>
                  <w:tcW w:w="1082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8ED973"/>
                  <w:vAlign w:val="center"/>
                  <w:hideMark/>
                </w:tcPr>
                <w:p w14:paraId="210E3A28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Average Score</w:t>
                  </w:r>
                </w:p>
              </w:tc>
            </w:tr>
            <w:tr w:rsidR="00907BFE" w:rsidRPr="00907BFE" w14:paraId="2E24F373" w14:textId="77777777" w:rsidTr="00907BFE">
              <w:trPr>
                <w:trHeight w:val="144"/>
              </w:trPr>
              <w:tc>
                <w:tcPr>
                  <w:tcW w:w="11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E55689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B5E6A2"/>
                  <w:vAlign w:val="center"/>
                  <w:hideMark/>
                </w:tcPr>
                <w:p w14:paraId="0635AFF2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RWM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5E6A2"/>
                  <w:vAlign w:val="center"/>
                  <w:hideMark/>
                </w:tcPr>
                <w:p w14:paraId="54AB993A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Reading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5E6A2"/>
                  <w:vAlign w:val="center"/>
                  <w:hideMark/>
                </w:tcPr>
                <w:p w14:paraId="56221664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Writing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5E6A2"/>
                  <w:vAlign w:val="center"/>
                  <w:hideMark/>
                </w:tcPr>
                <w:p w14:paraId="74C1EFB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Maths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B5E6A2"/>
                  <w:vAlign w:val="center"/>
                  <w:hideMark/>
                </w:tcPr>
                <w:p w14:paraId="4F1717B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RWM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5E6A2"/>
                  <w:vAlign w:val="center"/>
                  <w:hideMark/>
                </w:tcPr>
                <w:p w14:paraId="43F5198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Reading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5E6A2"/>
                  <w:vAlign w:val="center"/>
                  <w:hideMark/>
                </w:tcPr>
                <w:p w14:paraId="2CE202C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Writing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5E6A2"/>
                  <w:vAlign w:val="center"/>
                  <w:hideMark/>
                </w:tcPr>
                <w:p w14:paraId="75923E5F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Maths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B5E6A2"/>
                  <w:vAlign w:val="center"/>
                  <w:hideMark/>
                </w:tcPr>
                <w:p w14:paraId="066FC2CB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Reading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B5E6A2"/>
                  <w:vAlign w:val="center"/>
                  <w:hideMark/>
                </w:tcPr>
                <w:p w14:paraId="08909807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Maths</w:t>
                  </w:r>
                </w:p>
              </w:tc>
            </w:tr>
            <w:tr w:rsidR="00907BFE" w:rsidRPr="00907BFE" w14:paraId="73580442" w14:textId="77777777" w:rsidTr="00907BFE">
              <w:trPr>
                <w:trHeight w:val="144"/>
              </w:trPr>
              <w:tc>
                <w:tcPr>
                  <w:tcW w:w="11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5A9C516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National Average</w:t>
                  </w:r>
                </w:p>
              </w:tc>
              <w:tc>
                <w:tcPr>
                  <w:tcW w:w="5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EABE78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61%</w:t>
                  </w:r>
                </w:p>
              </w:tc>
              <w:tc>
                <w:tcPr>
                  <w:tcW w:w="5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99DF5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74%</w:t>
                  </w:r>
                </w:p>
              </w:tc>
              <w:tc>
                <w:tcPr>
                  <w:tcW w:w="4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197C4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72%</w:t>
                  </w:r>
                </w:p>
              </w:tc>
              <w:tc>
                <w:tcPr>
                  <w:tcW w:w="5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C14C7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73%</w:t>
                  </w:r>
                </w:p>
              </w:tc>
              <w:tc>
                <w:tcPr>
                  <w:tcW w:w="5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39A0470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54D2B049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31C1D64F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74475CDA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bottom"/>
                  <w:hideMark/>
                </w:tcPr>
                <w:p w14:paraId="70C2145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808080"/>
                  <w:noWrap/>
                  <w:vAlign w:val="bottom"/>
                  <w:hideMark/>
                </w:tcPr>
                <w:p w14:paraId="60929B2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07BFE" w:rsidRPr="00907BFE" w14:paraId="5AEFCD66" w14:textId="77777777" w:rsidTr="00907BFE">
              <w:trPr>
                <w:trHeight w:val="144"/>
              </w:trPr>
              <w:tc>
                <w:tcPr>
                  <w:tcW w:w="11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14:paraId="12A83BEF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Trust Average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0FFF4A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62%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C18DF5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73%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6F9BD7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77%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BA448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75%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E4869A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8%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0C905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23%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09737B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16%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9FF96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20%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305F81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101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CCA557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101</w:t>
                  </w:r>
                </w:p>
              </w:tc>
            </w:tr>
            <w:tr w:rsidR="00907BFE" w:rsidRPr="00907BFE" w14:paraId="14B15588" w14:textId="77777777" w:rsidTr="00907BFE">
              <w:trPr>
                <w:trHeight w:val="139"/>
              </w:trPr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CA7B73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2022 results</w:t>
                  </w:r>
                </w:p>
              </w:tc>
              <w:tc>
                <w:tcPr>
                  <w:tcW w:w="51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2DA2AA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67%</w:t>
                  </w:r>
                </w:p>
              </w:tc>
              <w:tc>
                <w:tcPr>
                  <w:tcW w:w="54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C5FEC4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93%</w:t>
                  </w:r>
                </w:p>
              </w:tc>
              <w:tc>
                <w:tcPr>
                  <w:tcW w:w="45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CB8915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67%</w:t>
                  </w:r>
                </w:p>
              </w:tc>
              <w:tc>
                <w:tcPr>
                  <w:tcW w:w="54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F56C95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80%</w:t>
                  </w:r>
                </w:p>
              </w:tc>
              <w:tc>
                <w:tcPr>
                  <w:tcW w:w="51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6F76D8DB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3D6A4A1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31A80F12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1756F56A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bottom"/>
                  <w:hideMark/>
                </w:tcPr>
                <w:p w14:paraId="7E11AF1B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808080"/>
                  <w:noWrap/>
                  <w:vAlign w:val="bottom"/>
                  <w:hideMark/>
                </w:tcPr>
                <w:p w14:paraId="0777A994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07BFE" w:rsidRPr="00907BFE" w14:paraId="5DD3BA96" w14:textId="77777777" w:rsidTr="00907BFE">
              <w:trPr>
                <w:trHeight w:val="139"/>
              </w:trPr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22AEFCF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2023 results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3EDB3F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63%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6DF441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81%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401889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81%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0FA1F14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69%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871DE8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930661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31%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687A7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22E64F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13%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E54E99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106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00513C2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103</w:t>
                  </w:r>
                </w:p>
              </w:tc>
            </w:tr>
            <w:tr w:rsidR="00907BFE" w:rsidRPr="00907BFE" w14:paraId="71CA5B0E" w14:textId="77777777" w:rsidTr="00907BFE">
              <w:trPr>
                <w:trHeight w:val="139"/>
              </w:trPr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EAA06C7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2024 FFT 20 Target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D2D269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78%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61DF0958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447650E8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0A0AA941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0BD557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16%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1F04435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01977D08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2BA4400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bottom"/>
                  <w:hideMark/>
                </w:tcPr>
                <w:p w14:paraId="5738EEC9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808080"/>
                  <w:noWrap/>
                  <w:vAlign w:val="bottom"/>
                  <w:hideMark/>
                </w:tcPr>
                <w:p w14:paraId="3E2D7AB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07BFE" w:rsidRPr="00907BFE" w14:paraId="5F413296" w14:textId="77777777" w:rsidTr="00907BFE">
              <w:trPr>
                <w:trHeight w:val="139"/>
              </w:trPr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B142357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2024 Actual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9CB92A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54%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78642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85%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A6716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77%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25A2CDB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62%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77814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A6A78F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15%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76BF9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8%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DA1B962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51CC27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97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D11CF0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94</w:t>
                  </w:r>
                </w:p>
              </w:tc>
            </w:tr>
            <w:tr w:rsidR="00907BFE" w:rsidRPr="00907BFE" w14:paraId="5719C11D" w14:textId="77777777" w:rsidTr="00907BFE">
              <w:trPr>
                <w:trHeight w:val="139"/>
              </w:trPr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33E90E9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Actual vs. 2023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7CE"/>
                  <w:noWrap/>
                  <w:vAlign w:val="center"/>
                  <w:hideMark/>
                </w:tcPr>
                <w:p w14:paraId="724A347A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9C0006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9C0006"/>
                      <w:sz w:val="22"/>
                      <w:szCs w:val="22"/>
                    </w:rPr>
                    <w:t>-9%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FCE"/>
                  <w:noWrap/>
                  <w:vAlign w:val="center"/>
                  <w:hideMark/>
                </w:tcPr>
                <w:p w14:paraId="23CC138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61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6100"/>
                      <w:sz w:val="22"/>
                      <w:szCs w:val="22"/>
                    </w:rPr>
                    <w:t>3%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7CE"/>
                  <w:noWrap/>
                  <w:vAlign w:val="center"/>
                  <w:hideMark/>
                </w:tcPr>
                <w:p w14:paraId="6714CD9F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9C0006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9C0006"/>
                      <w:sz w:val="22"/>
                      <w:szCs w:val="22"/>
                    </w:rPr>
                    <w:t>-4%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C7CE"/>
                  <w:noWrap/>
                  <w:vAlign w:val="center"/>
                  <w:hideMark/>
                </w:tcPr>
                <w:p w14:paraId="2421287A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9C0006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9C0006"/>
                      <w:sz w:val="22"/>
                      <w:szCs w:val="22"/>
                    </w:rPr>
                    <w:t>-7%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A906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7CE"/>
                  <w:noWrap/>
                  <w:vAlign w:val="center"/>
                  <w:hideMark/>
                </w:tcPr>
                <w:p w14:paraId="4121E50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9C0006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9C0006"/>
                      <w:sz w:val="22"/>
                      <w:szCs w:val="22"/>
                    </w:rPr>
                    <w:t>-16%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FCE"/>
                  <w:noWrap/>
                  <w:vAlign w:val="center"/>
                  <w:hideMark/>
                </w:tcPr>
                <w:p w14:paraId="4C5D21A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61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6100"/>
                      <w:sz w:val="22"/>
                      <w:szCs w:val="22"/>
                    </w:rPr>
                    <w:t>8%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C7CE"/>
                  <w:noWrap/>
                  <w:vAlign w:val="center"/>
                  <w:hideMark/>
                </w:tcPr>
                <w:p w14:paraId="2BE1D0A7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9C0006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9C0006"/>
                      <w:sz w:val="22"/>
                      <w:szCs w:val="22"/>
                    </w:rPr>
                    <w:t>-13%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bottom"/>
                  <w:hideMark/>
                </w:tcPr>
                <w:p w14:paraId="110E523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808080"/>
                  <w:noWrap/>
                  <w:vAlign w:val="bottom"/>
                  <w:hideMark/>
                </w:tcPr>
                <w:p w14:paraId="6D75B125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07BFE" w:rsidRPr="00907BFE" w14:paraId="49E388B1" w14:textId="77777777" w:rsidTr="00907BFE">
              <w:trPr>
                <w:trHeight w:val="139"/>
              </w:trPr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2126C4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lastRenderedPageBreak/>
                    <w:t>Actual vs. FFT 20 target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7CE"/>
                  <w:noWrap/>
                  <w:vAlign w:val="center"/>
                  <w:hideMark/>
                </w:tcPr>
                <w:p w14:paraId="67D175A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9C0006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9C0006"/>
                      <w:sz w:val="22"/>
                      <w:szCs w:val="22"/>
                    </w:rPr>
                    <w:t>-24%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699A690B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63BCB6B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59BB7881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7CE"/>
                  <w:noWrap/>
                  <w:vAlign w:val="center"/>
                  <w:hideMark/>
                </w:tcPr>
                <w:p w14:paraId="080AD2C5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9C0006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9C0006"/>
                      <w:sz w:val="22"/>
                      <w:szCs w:val="22"/>
                    </w:rPr>
                    <w:t>-16%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2244843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39920C99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14:paraId="32FA2DC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bottom"/>
                  <w:hideMark/>
                </w:tcPr>
                <w:p w14:paraId="42BA660F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808080"/>
                  <w:noWrap/>
                  <w:vAlign w:val="bottom"/>
                  <w:hideMark/>
                </w:tcPr>
                <w:p w14:paraId="03EA2D9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07BFE" w:rsidRPr="00907BFE" w14:paraId="353EF4D8" w14:textId="77777777" w:rsidTr="00907BFE">
              <w:trPr>
                <w:trHeight w:val="139"/>
              </w:trPr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8FFC6CB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Actual vs. national average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7CE"/>
                  <w:noWrap/>
                  <w:vAlign w:val="center"/>
                  <w:hideMark/>
                </w:tcPr>
                <w:p w14:paraId="477A2114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9C0006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9C0006"/>
                      <w:sz w:val="22"/>
                      <w:szCs w:val="22"/>
                    </w:rPr>
                    <w:t>-7%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FCE"/>
                  <w:noWrap/>
                  <w:vAlign w:val="center"/>
                  <w:hideMark/>
                </w:tcPr>
                <w:p w14:paraId="3353D31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61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6100"/>
                      <w:sz w:val="22"/>
                      <w:szCs w:val="22"/>
                    </w:rPr>
                    <w:t>11%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FCE"/>
                  <w:noWrap/>
                  <w:vAlign w:val="center"/>
                  <w:hideMark/>
                </w:tcPr>
                <w:p w14:paraId="31D6A0A8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61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6100"/>
                      <w:sz w:val="22"/>
                      <w:szCs w:val="22"/>
                    </w:rPr>
                    <w:t>5%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C7CE"/>
                  <w:noWrap/>
                  <w:vAlign w:val="center"/>
                  <w:hideMark/>
                </w:tcPr>
                <w:p w14:paraId="11DE0B7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9C0006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9C0006"/>
                      <w:sz w:val="22"/>
                      <w:szCs w:val="22"/>
                    </w:rPr>
                    <w:t>-11%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69FA05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FCE"/>
                  <w:noWrap/>
                  <w:vAlign w:val="center"/>
                  <w:hideMark/>
                </w:tcPr>
                <w:p w14:paraId="12A950F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61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6100"/>
                      <w:sz w:val="22"/>
                      <w:szCs w:val="22"/>
                    </w:rPr>
                    <w:t>15%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FCE"/>
                  <w:noWrap/>
                  <w:vAlign w:val="center"/>
                  <w:hideMark/>
                </w:tcPr>
                <w:p w14:paraId="04948BBF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61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6100"/>
                      <w:sz w:val="22"/>
                      <w:szCs w:val="22"/>
                    </w:rPr>
                    <w:t>8%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1C1DAB4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bottom"/>
                  <w:hideMark/>
                </w:tcPr>
                <w:p w14:paraId="14F00DB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808080"/>
                  <w:noWrap/>
                  <w:vAlign w:val="bottom"/>
                  <w:hideMark/>
                </w:tcPr>
                <w:p w14:paraId="584A4B7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07BFE" w:rsidRPr="00907BFE" w14:paraId="63EE68E8" w14:textId="77777777" w:rsidTr="00907BFE">
              <w:trPr>
                <w:trHeight w:val="139"/>
              </w:trPr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B43D4AA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Boys 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426191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50%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A5A90F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88%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534C7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75%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5A9248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63%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EC512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F1F86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D4040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13%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1AA59C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420E37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104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4282A6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101</w:t>
                  </w:r>
                </w:p>
              </w:tc>
            </w:tr>
            <w:tr w:rsidR="00907BFE" w:rsidRPr="00907BFE" w14:paraId="37B44ED6" w14:textId="77777777" w:rsidTr="00907BFE">
              <w:trPr>
                <w:trHeight w:val="139"/>
              </w:trPr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C3B89C9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Girls 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21C76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60%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EA822B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80%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9092B8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80%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1599AA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60%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8EAB3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4C5AA9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40%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3F1062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F647DB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375735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87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F19468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82</w:t>
                  </w:r>
                </w:p>
              </w:tc>
            </w:tr>
            <w:tr w:rsidR="00907BFE" w:rsidRPr="00907BFE" w14:paraId="127C7DCA" w14:textId="77777777" w:rsidTr="00907BFE">
              <w:trPr>
                <w:trHeight w:val="139"/>
              </w:trPr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B4149D3" w14:textId="5DDAA1E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Disadvantaged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B9F49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25%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E88BD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75%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4961D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75%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03A56E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25%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25D7A8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CF10CA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C3D72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12278E4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84AEB9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78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72FDEA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77</w:t>
                  </w:r>
                </w:p>
              </w:tc>
            </w:tr>
            <w:tr w:rsidR="00907BFE" w:rsidRPr="00907BFE" w14:paraId="24A58DFE" w14:textId="77777777" w:rsidTr="00907BFE">
              <w:trPr>
                <w:trHeight w:val="144"/>
              </w:trPr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F263C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SEND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EBC33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AD8FC4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50%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712A2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25%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D6B96E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25%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88E93F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68E649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57548A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E52F9B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41C0AF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589DB0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07BFE">
                    <w:rPr>
                      <w:rFonts w:cs="Arial"/>
                      <w:color w:val="000000"/>
                      <w:sz w:val="22"/>
                      <w:szCs w:val="22"/>
                    </w:rPr>
                    <w:t>72</w:t>
                  </w:r>
                </w:p>
              </w:tc>
            </w:tr>
            <w:tr w:rsidR="00907BFE" w:rsidRPr="00907BFE" w14:paraId="61E7D6FB" w14:textId="77777777" w:rsidTr="00907BFE">
              <w:trPr>
                <w:trHeight w:val="144"/>
              </w:trPr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14:paraId="7B85636A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4743D8A9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10DBAEA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6C8F02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14:paraId="75B2B334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6391CF52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6BCB595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732EAB8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14:paraId="6076527F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3647BBD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14:paraId="78FECC12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7BFE" w:rsidRPr="00907BFE" w14:paraId="3E3FC3EB" w14:textId="77777777" w:rsidTr="00907BFE">
              <w:trPr>
                <w:trHeight w:val="144"/>
              </w:trPr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</w:tcPr>
                <w:p w14:paraId="34C7C0E2" w14:textId="2F4BF2DA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6E3F5D1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0FE4188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3C8D913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14:paraId="1E09B2B8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751A0359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01FF6A9E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3EA9D77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14:paraId="14BC90B6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2108466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14:paraId="5580837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7BFE" w:rsidRPr="00907BFE" w14:paraId="526B1637" w14:textId="77777777" w:rsidTr="00907BFE">
              <w:trPr>
                <w:trHeight w:val="144"/>
              </w:trPr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3B3DF15" w14:textId="6C978DD4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81D537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DD5560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213F23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097FCD7A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FA77CC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D2829B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E968AD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7C616BB1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6D6401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14:paraId="3FA25A32" w14:textId="77777777" w:rsidR="00907BFE" w:rsidRPr="00907BFE" w:rsidRDefault="00907BFE" w:rsidP="00907BF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A7D5546" w14:textId="14977E4E" w:rsidR="00907BFE" w:rsidRDefault="00907BFE" w:rsidP="00652AC0">
            <w:pPr>
              <w:spacing w:before="120"/>
            </w:pPr>
          </w:p>
        </w:tc>
      </w:tr>
    </w:tbl>
    <w:p w14:paraId="2A7D5548" w14:textId="77777777" w:rsidR="00E66558" w:rsidRDefault="009D71E8">
      <w:pPr>
        <w:pStyle w:val="Heading2"/>
        <w:spacing w:before="600"/>
      </w:pPr>
      <w:r>
        <w:lastRenderedPageBreak/>
        <w:t>Externally provided programmes</w:t>
      </w:r>
    </w:p>
    <w:p w14:paraId="2A7D5549" w14:textId="77777777" w:rsidR="00E66558" w:rsidRDefault="009D71E8">
      <w:pPr>
        <w:rPr>
          <w:i/>
          <w:iCs/>
        </w:rPr>
      </w:pPr>
      <w:r>
        <w:rPr>
          <w:i/>
          <w:iCs/>
        </w:rPr>
        <w:t>Please include the names of any non-DfE programmes that you purchased in the previous academic year. This will help the Department for Education identify which ones are popular in England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>
            <w:pPr>
              <w:pStyle w:val="TableHeader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>
            <w:pPr>
              <w:pStyle w:val="TableHeader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180FA885" w:rsidR="00E66558" w:rsidRDefault="00CA2970">
            <w:pPr>
              <w:pStyle w:val="TableRow"/>
            </w:pPr>
            <w:r>
              <w:t>N/A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77777777" w:rsidR="00E66558" w:rsidRDefault="00E66558">
            <w:pPr>
              <w:pStyle w:val="TableRowCentered"/>
              <w:jc w:val="left"/>
            </w:pPr>
          </w:p>
        </w:tc>
      </w:tr>
      <w:tr w:rsidR="00E6655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77777777" w:rsidR="00E66558" w:rsidRDefault="00E66558">
            <w:pPr>
              <w:pStyle w:val="TableRow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77777777" w:rsidR="00E66558" w:rsidRDefault="00E66558">
            <w:pPr>
              <w:pStyle w:val="TableRowCentered"/>
              <w:jc w:val="left"/>
            </w:pPr>
          </w:p>
        </w:tc>
      </w:tr>
    </w:tbl>
    <w:p w14:paraId="2A7D5553" w14:textId="77777777" w:rsidR="00E66558" w:rsidRDefault="009D71E8">
      <w:pPr>
        <w:pStyle w:val="Heading2"/>
        <w:spacing w:before="600"/>
      </w:pPr>
      <w:r>
        <w:t>Service pupil premium funding (optional)</w:t>
      </w:r>
    </w:p>
    <w:p w14:paraId="2A7D555F" w14:textId="0E6DDC8E" w:rsidR="00E66558" w:rsidRDefault="009D71E8" w:rsidP="009D4002">
      <w:r>
        <w:rPr>
          <w:i/>
          <w:iCs/>
        </w:rPr>
        <w:t xml:space="preserve">For schools that receive this funding, you may wish to provide the following information: </w:t>
      </w:r>
      <w:r w:rsidR="00CA2970">
        <w:rPr>
          <w:color w:val="000000"/>
        </w:rPr>
        <w:t xml:space="preserve">Allocation for </w:t>
      </w:r>
      <w:r w:rsidR="00652AC0">
        <w:rPr>
          <w:color w:val="000000"/>
        </w:rPr>
        <w:t>2023-24</w:t>
      </w:r>
      <w:r w:rsidR="00CA2970">
        <w:rPr>
          <w:color w:val="000000"/>
        </w:rPr>
        <w:t xml:space="preserve"> Services PP £</w:t>
      </w:r>
      <w:r w:rsidR="009D4002">
        <w:rPr>
          <w:color w:val="000000"/>
        </w:rPr>
        <w:t>0</w:t>
      </w:r>
    </w:p>
    <w:p w14:paraId="2A7D5560" w14:textId="77777777" w:rsidR="00E66558" w:rsidRDefault="009D71E8">
      <w:pPr>
        <w:pStyle w:val="Heading1"/>
      </w:pPr>
      <w:r>
        <w:lastRenderedPageBreak/>
        <w:t>Further information (optional)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563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62" w14:textId="0D79D96E" w:rsidR="00E66558" w:rsidRDefault="00CA163B" w:rsidP="00652AC0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 xml:space="preserve">2024-25 Services funding = </w:t>
            </w:r>
            <w:r w:rsidR="005404CF">
              <w:rPr>
                <w:i/>
                <w:iCs/>
              </w:rPr>
              <w:t xml:space="preserve">£2380 will be used for the use of little troopers training and staffing </w:t>
            </w:r>
          </w:p>
        </w:tc>
      </w:tr>
      <w:bookmarkEnd w:id="14"/>
      <w:bookmarkEnd w:id="15"/>
      <w:bookmarkEnd w:id="16"/>
    </w:tbl>
    <w:p w14:paraId="2A7D5564" w14:textId="77777777" w:rsidR="00E66558" w:rsidRDefault="00E66558"/>
    <w:sectPr w:rsidR="00E66558">
      <w:headerReference w:type="default" r:id="rId12"/>
      <w:footerReference w:type="default" r:id="rId13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D187" w14:textId="77777777" w:rsidR="003F1AA0" w:rsidRDefault="003F1AA0">
      <w:pPr>
        <w:spacing w:after="0" w:line="240" w:lineRule="auto"/>
      </w:pPr>
      <w:r>
        <w:separator/>
      </w:r>
    </w:p>
  </w:endnote>
  <w:endnote w:type="continuationSeparator" w:id="0">
    <w:p w14:paraId="724E7993" w14:textId="77777777" w:rsidR="003F1AA0" w:rsidRDefault="003F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E" w14:textId="77777777" w:rsidR="00605B56" w:rsidRDefault="00605B56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AD38" w14:textId="77777777" w:rsidR="003F1AA0" w:rsidRDefault="003F1AA0">
      <w:pPr>
        <w:spacing w:after="0" w:line="240" w:lineRule="auto"/>
      </w:pPr>
      <w:r>
        <w:separator/>
      </w:r>
    </w:p>
  </w:footnote>
  <w:footnote w:type="continuationSeparator" w:id="0">
    <w:p w14:paraId="561258CC" w14:textId="77777777" w:rsidR="003F1AA0" w:rsidRDefault="003F1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C" w14:textId="77777777" w:rsidR="00605B56" w:rsidRDefault="00605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C6C"/>
    <w:multiLevelType w:val="hybridMultilevel"/>
    <w:tmpl w:val="F1F83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4" w15:restartNumberingAfterBreak="0">
    <w:nsid w:val="22A37715"/>
    <w:multiLevelType w:val="hybridMultilevel"/>
    <w:tmpl w:val="8506D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56BC3"/>
    <w:multiLevelType w:val="hybridMultilevel"/>
    <w:tmpl w:val="D0F8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94A4684"/>
    <w:multiLevelType w:val="hybridMultilevel"/>
    <w:tmpl w:val="E6443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2E543B0"/>
    <w:multiLevelType w:val="hybridMultilevel"/>
    <w:tmpl w:val="085C1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51BE"/>
    <w:multiLevelType w:val="hybridMultilevel"/>
    <w:tmpl w:val="905E0BDE"/>
    <w:lvl w:ilvl="0" w:tplc="F84C3C58">
      <w:numFmt w:val="bullet"/>
      <w:lvlText w:val="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64F2EAE"/>
    <w:multiLevelType w:val="multilevel"/>
    <w:tmpl w:val="2C58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7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8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40113375">
    <w:abstractNumId w:val="6"/>
  </w:num>
  <w:num w:numId="2" w16cid:durableId="629631169">
    <w:abstractNumId w:val="2"/>
  </w:num>
  <w:num w:numId="3" w16cid:durableId="1323503219">
    <w:abstractNumId w:val="7"/>
  </w:num>
  <w:num w:numId="4" w16cid:durableId="1577939060">
    <w:abstractNumId w:val="9"/>
  </w:num>
  <w:num w:numId="5" w16cid:durableId="2066832155">
    <w:abstractNumId w:val="1"/>
  </w:num>
  <w:num w:numId="6" w16cid:durableId="518273559">
    <w:abstractNumId w:val="12"/>
  </w:num>
  <w:num w:numId="7" w16cid:durableId="2087915517">
    <w:abstractNumId w:val="15"/>
  </w:num>
  <w:num w:numId="8" w16cid:durableId="970208855">
    <w:abstractNumId w:val="19"/>
  </w:num>
  <w:num w:numId="9" w16cid:durableId="181632021">
    <w:abstractNumId w:val="17"/>
  </w:num>
  <w:num w:numId="10" w16cid:durableId="1089160557">
    <w:abstractNumId w:val="16"/>
  </w:num>
  <w:num w:numId="11" w16cid:durableId="294026627">
    <w:abstractNumId w:val="3"/>
  </w:num>
  <w:num w:numId="12" w16cid:durableId="897478743">
    <w:abstractNumId w:val="18"/>
  </w:num>
  <w:num w:numId="13" w16cid:durableId="2089494058">
    <w:abstractNumId w:val="13"/>
  </w:num>
  <w:num w:numId="14" w16cid:durableId="1732192516">
    <w:abstractNumId w:val="0"/>
  </w:num>
  <w:num w:numId="15" w16cid:durableId="1112630799">
    <w:abstractNumId w:val="10"/>
  </w:num>
  <w:num w:numId="16" w16cid:durableId="95055128">
    <w:abstractNumId w:val="4"/>
  </w:num>
  <w:num w:numId="17" w16cid:durableId="1187408886">
    <w:abstractNumId w:val="5"/>
  </w:num>
  <w:num w:numId="18" w16cid:durableId="1232275272">
    <w:abstractNumId w:val="14"/>
  </w:num>
  <w:num w:numId="19" w16cid:durableId="1361592585">
    <w:abstractNumId w:val="8"/>
  </w:num>
  <w:num w:numId="20" w16cid:durableId="2258471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118B9"/>
    <w:rsid w:val="00066B73"/>
    <w:rsid w:val="000A3016"/>
    <w:rsid w:val="000C22A6"/>
    <w:rsid w:val="000F7C29"/>
    <w:rsid w:val="00120AB1"/>
    <w:rsid w:val="00136094"/>
    <w:rsid w:val="001511FA"/>
    <w:rsid w:val="00160CC7"/>
    <w:rsid w:val="00175870"/>
    <w:rsid w:val="00177C87"/>
    <w:rsid w:val="00183DC2"/>
    <w:rsid w:val="00184161"/>
    <w:rsid w:val="001F45AE"/>
    <w:rsid w:val="002047FA"/>
    <w:rsid w:val="00254CBE"/>
    <w:rsid w:val="00270A11"/>
    <w:rsid w:val="002823CF"/>
    <w:rsid w:val="00285F04"/>
    <w:rsid w:val="002D22E1"/>
    <w:rsid w:val="002F626F"/>
    <w:rsid w:val="0030327E"/>
    <w:rsid w:val="003109B6"/>
    <w:rsid w:val="0031123D"/>
    <w:rsid w:val="00336E57"/>
    <w:rsid w:val="003416DD"/>
    <w:rsid w:val="00363710"/>
    <w:rsid w:val="003867EE"/>
    <w:rsid w:val="003A090D"/>
    <w:rsid w:val="003A2D0A"/>
    <w:rsid w:val="003D3057"/>
    <w:rsid w:val="003D61ED"/>
    <w:rsid w:val="003E00C4"/>
    <w:rsid w:val="003E7656"/>
    <w:rsid w:val="003F1AA0"/>
    <w:rsid w:val="00401758"/>
    <w:rsid w:val="004044AA"/>
    <w:rsid w:val="004221E6"/>
    <w:rsid w:val="004319D7"/>
    <w:rsid w:val="004A7B50"/>
    <w:rsid w:val="004C67A8"/>
    <w:rsid w:val="004D3596"/>
    <w:rsid w:val="004D4703"/>
    <w:rsid w:val="00526418"/>
    <w:rsid w:val="005404CF"/>
    <w:rsid w:val="00562664"/>
    <w:rsid w:val="00567184"/>
    <w:rsid w:val="005A18AA"/>
    <w:rsid w:val="005A3991"/>
    <w:rsid w:val="005E1DE6"/>
    <w:rsid w:val="00603D99"/>
    <w:rsid w:val="00605B56"/>
    <w:rsid w:val="0061001D"/>
    <w:rsid w:val="006407B0"/>
    <w:rsid w:val="00652AC0"/>
    <w:rsid w:val="00661E2A"/>
    <w:rsid w:val="00687B84"/>
    <w:rsid w:val="006E0A1F"/>
    <w:rsid w:val="006E7FB1"/>
    <w:rsid w:val="006F0161"/>
    <w:rsid w:val="007003B2"/>
    <w:rsid w:val="00704AFC"/>
    <w:rsid w:val="007324DB"/>
    <w:rsid w:val="00741B9E"/>
    <w:rsid w:val="0075509C"/>
    <w:rsid w:val="00764F90"/>
    <w:rsid w:val="007A4DAD"/>
    <w:rsid w:val="007B0E38"/>
    <w:rsid w:val="007C2F04"/>
    <w:rsid w:val="007C44DF"/>
    <w:rsid w:val="007D207F"/>
    <w:rsid w:val="00812337"/>
    <w:rsid w:val="00822BF8"/>
    <w:rsid w:val="008942C5"/>
    <w:rsid w:val="008A41C8"/>
    <w:rsid w:val="008F7914"/>
    <w:rsid w:val="00907BFE"/>
    <w:rsid w:val="009124F7"/>
    <w:rsid w:val="00932F0B"/>
    <w:rsid w:val="00972DDF"/>
    <w:rsid w:val="009C2B1C"/>
    <w:rsid w:val="009D3822"/>
    <w:rsid w:val="009D4002"/>
    <w:rsid w:val="009D71E8"/>
    <w:rsid w:val="009E1E57"/>
    <w:rsid w:val="009F7F1B"/>
    <w:rsid w:val="00A1211B"/>
    <w:rsid w:val="00A4265F"/>
    <w:rsid w:val="00AB6698"/>
    <w:rsid w:val="00AF7B89"/>
    <w:rsid w:val="00B027FB"/>
    <w:rsid w:val="00B45EBE"/>
    <w:rsid w:val="00B52E96"/>
    <w:rsid w:val="00BA5BBE"/>
    <w:rsid w:val="00C230F9"/>
    <w:rsid w:val="00C61F24"/>
    <w:rsid w:val="00CA163B"/>
    <w:rsid w:val="00CA2970"/>
    <w:rsid w:val="00CA7497"/>
    <w:rsid w:val="00CC76C5"/>
    <w:rsid w:val="00CE24E5"/>
    <w:rsid w:val="00CE2CF9"/>
    <w:rsid w:val="00CF103B"/>
    <w:rsid w:val="00D034C1"/>
    <w:rsid w:val="00D115E7"/>
    <w:rsid w:val="00D16BE6"/>
    <w:rsid w:val="00D204CA"/>
    <w:rsid w:val="00D26DB7"/>
    <w:rsid w:val="00D33FE5"/>
    <w:rsid w:val="00D547BC"/>
    <w:rsid w:val="00D84093"/>
    <w:rsid w:val="00DE3FE1"/>
    <w:rsid w:val="00E30866"/>
    <w:rsid w:val="00E66558"/>
    <w:rsid w:val="00E92B02"/>
    <w:rsid w:val="00ED2FCD"/>
    <w:rsid w:val="00EE4BAA"/>
    <w:rsid w:val="00EE5DB9"/>
    <w:rsid w:val="00EE7A30"/>
    <w:rsid w:val="00EF3BDD"/>
    <w:rsid w:val="00EF4769"/>
    <w:rsid w:val="00F60315"/>
    <w:rsid w:val="00F870CD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62148E6B-690E-419F-B9E3-93CF2A6D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uidance/pupil-premium-effective-use-and-accountabilit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v.uk/guidance/pupil-premium-effective-use-and-accountabil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BE181FF5B9A47BB43216AB016BB71" ma:contentTypeVersion="13" ma:contentTypeDescription="Create a new document." ma:contentTypeScope="" ma:versionID="0770a515c4d1ec2c7f7bb31c8be2d2f0">
  <xsd:schema xmlns:xsd="http://www.w3.org/2001/XMLSchema" xmlns:xs="http://www.w3.org/2001/XMLSchema" xmlns:p="http://schemas.microsoft.com/office/2006/metadata/properties" xmlns:ns2="576dc499-7e29-447d-906b-b95e3a82f8de" xmlns:ns3="899d1d07-bfe8-472e-b93d-b6c7a07696e9" targetNamespace="http://schemas.microsoft.com/office/2006/metadata/properties" ma:root="true" ma:fieldsID="2c700e4f3dcad8a8b34ad9ad1c3289cb" ns2:_="" ns3:_="">
    <xsd:import namespace="576dc499-7e29-447d-906b-b95e3a82f8de"/>
    <xsd:import namespace="899d1d07-bfe8-472e-b93d-b6c7a0769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dc499-7e29-447d-906b-b95e3a82f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1d07-bfe8-472e-b93d-b6c7a07696e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40466-5912-4CAC-9E60-5F4B4C5F1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dc499-7e29-447d-906b-b95e3a82f8de"/>
    <ds:schemaRef ds:uri="899d1d07-bfe8-472e-b93d-b6c7a0769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626ED-E088-41E5-A038-8875C7EDD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3B2EAD-DD46-4716-87C5-5F60D94F1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1852</Words>
  <Characters>9597</Characters>
  <Application>Microsoft Office Word</Application>
  <DocSecurity>0</DocSecurity>
  <Lines>738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subject/>
  <dc:creator>Publishing.TEAM@education.gsi.gov.uk</dc:creator>
  <dc:description>Master-ET-v3.8</dc:description>
  <cp:lastModifiedBy>Emma Hembury</cp:lastModifiedBy>
  <cp:revision>2</cp:revision>
  <cp:lastPrinted>2024-11-29T08:23:00Z</cp:lastPrinted>
  <dcterms:created xsi:type="dcterms:W3CDTF">2026-01-30T16:15:00Z</dcterms:created>
  <dcterms:modified xsi:type="dcterms:W3CDTF">2026-01-30T16:15:00Z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0x010100227BE181FF5B9A47BB43216AB016BB71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