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98CD" w14:textId="2389C82C" w:rsidR="5138D902" w:rsidRPr="00434DB9" w:rsidRDefault="2E11C744" w:rsidP="5138D902">
      <w:r>
        <w:rPr>
          <w:noProof/>
        </w:rPr>
        <w:drawing>
          <wp:inline distT="0" distB="0" distL="0" distR="0" wp14:anchorId="642F8BEF" wp14:editId="6F62A8E1">
            <wp:extent cx="5857875" cy="2324100"/>
            <wp:effectExtent l="0" t="0" r="0" b="0"/>
            <wp:docPr id="802799350" name="Picture 802799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7875" cy="2324100"/>
                    </a:xfrm>
                    <a:prstGeom prst="rect">
                      <a:avLst/>
                    </a:prstGeom>
                  </pic:spPr>
                </pic:pic>
              </a:graphicData>
            </a:graphic>
          </wp:inline>
        </w:drawing>
      </w:r>
    </w:p>
    <w:p w14:paraId="3497A5F4" w14:textId="0C074EE7" w:rsidR="004618D6" w:rsidRPr="004618D6" w:rsidRDefault="004618D6">
      <w:pPr>
        <w:rPr>
          <w:sz w:val="36"/>
          <w:szCs w:val="36"/>
        </w:rPr>
      </w:pPr>
      <w:r w:rsidRPr="5138D902">
        <w:rPr>
          <w:sz w:val="36"/>
          <w:szCs w:val="36"/>
        </w:rPr>
        <w:t>Annual SEND Report 202</w:t>
      </w:r>
      <w:r w:rsidR="401956B8" w:rsidRPr="5138D902">
        <w:rPr>
          <w:sz w:val="36"/>
          <w:szCs w:val="36"/>
        </w:rPr>
        <w:t>2</w:t>
      </w:r>
      <w:r w:rsidRPr="5138D902">
        <w:rPr>
          <w:sz w:val="36"/>
          <w:szCs w:val="36"/>
        </w:rPr>
        <w:t xml:space="preserve"> – 202</w:t>
      </w:r>
      <w:r w:rsidR="70E0D624" w:rsidRPr="5138D902">
        <w:rPr>
          <w:sz w:val="36"/>
          <w:szCs w:val="36"/>
        </w:rPr>
        <w:t>3</w:t>
      </w:r>
    </w:p>
    <w:p w14:paraId="23EBB41C" w14:textId="77777777" w:rsidR="004618D6" w:rsidRPr="004618D6" w:rsidRDefault="004618D6" w:rsidP="004618D6">
      <w:pPr>
        <w:rPr>
          <w:sz w:val="24"/>
          <w:szCs w:val="24"/>
        </w:rPr>
      </w:pPr>
      <w:r w:rsidRPr="004618D6">
        <w:rPr>
          <w:sz w:val="24"/>
          <w:szCs w:val="24"/>
        </w:rPr>
        <w:t xml:space="preserve">At Selwood, </w:t>
      </w:r>
      <w:r w:rsidRPr="00454226">
        <w:rPr>
          <w:sz w:val="24"/>
          <w:szCs w:val="24"/>
        </w:rPr>
        <w:t>we</w:t>
      </w:r>
      <w:r w:rsidR="00454226" w:rsidRPr="00454226">
        <w:rPr>
          <w:rFonts w:ascii="Arial" w:hAnsi="Arial" w:cs="Arial"/>
          <w:sz w:val="21"/>
          <w:szCs w:val="21"/>
          <w:shd w:val="clear" w:color="auto" w:fill="FFFFFF"/>
        </w:rPr>
        <w:t xml:space="preserve"> are committed to creating a safe, happy and enriching environment where we all aspire to thrive, achieve and celebrate success together.</w:t>
      </w:r>
      <w:r w:rsidRPr="00454226">
        <w:rPr>
          <w:sz w:val="24"/>
          <w:szCs w:val="24"/>
        </w:rPr>
        <w:t xml:space="preserve"> </w:t>
      </w:r>
      <w:r w:rsidR="00454226" w:rsidRPr="00454226">
        <w:rPr>
          <w:sz w:val="24"/>
          <w:szCs w:val="24"/>
        </w:rPr>
        <w:t xml:space="preserve">We </w:t>
      </w:r>
      <w:r w:rsidRPr="00454226">
        <w:rPr>
          <w:sz w:val="24"/>
          <w:szCs w:val="24"/>
        </w:rPr>
        <w:t>believe that it is essential to provide a well-balanced, challenging curriculum for all pupils</w:t>
      </w:r>
      <w:r w:rsidR="00454226" w:rsidRPr="00454226">
        <w:rPr>
          <w:sz w:val="24"/>
          <w:szCs w:val="24"/>
        </w:rPr>
        <w:t>, allowing our whole community to ‘let your light shine before others.’</w:t>
      </w:r>
      <w:r w:rsidRPr="00454226">
        <w:rPr>
          <w:sz w:val="24"/>
          <w:szCs w:val="24"/>
        </w:rPr>
        <w:t xml:space="preserve"> We are committed </w:t>
      </w:r>
      <w:r w:rsidRPr="004618D6">
        <w:rPr>
          <w:sz w:val="24"/>
          <w:szCs w:val="24"/>
        </w:rPr>
        <w:t xml:space="preserve">to ensuring that all pupils, including those with special educational needs and disabilities (SEND), receive their right to a high quality, accessible and balanced curriculum. </w:t>
      </w:r>
    </w:p>
    <w:p w14:paraId="196866F1" w14:textId="5262C415" w:rsidR="004618D6" w:rsidRPr="00551B4E" w:rsidRDefault="004618D6" w:rsidP="004618D6">
      <w:pPr>
        <w:rPr>
          <w:sz w:val="24"/>
          <w:szCs w:val="24"/>
        </w:rPr>
      </w:pPr>
      <w:r w:rsidRPr="004618D6">
        <w:rPr>
          <w:sz w:val="24"/>
          <w:szCs w:val="24"/>
        </w:rPr>
        <w:t xml:space="preserve">Our aim </w:t>
      </w:r>
      <w:r w:rsidRPr="00454226">
        <w:rPr>
          <w:sz w:val="24"/>
          <w:szCs w:val="24"/>
        </w:rPr>
        <w:t>is</w:t>
      </w:r>
      <w:r w:rsidR="00454226" w:rsidRPr="00454226">
        <w:rPr>
          <w:rFonts w:ascii="Arial" w:hAnsi="Arial" w:cs="Arial"/>
          <w:sz w:val="21"/>
          <w:szCs w:val="21"/>
          <w:shd w:val="clear" w:color="auto" w:fill="FFFFFF"/>
        </w:rPr>
        <w:t xml:space="preserve"> to promote the dignity and well-being of every </w:t>
      </w:r>
      <w:r w:rsidR="00CD550F">
        <w:rPr>
          <w:rFonts w:ascii="Arial" w:hAnsi="Arial" w:cs="Arial"/>
          <w:sz w:val="21"/>
          <w:szCs w:val="21"/>
          <w:shd w:val="clear" w:color="auto" w:fill="FFFFFF"/>
        </w:rPr>
        <w:t>pupil</w:t>
      </w:r>
      <w:r w:rsidR="00454226" w:rsidRPr="00454226">
        <w:rPr>
          <w:rFonts w:ascii="Arial" w:hAnsi="Arial" w:cs="Arial"/>
          <w:sz w:val="21"/>
          <w:szCs w:val="21"/>
          <w:shd w:val="clear" w:color="auto" w:fill="FFFFFF"/>
        </w:rPr>
        <w:t xml:space="preserve"> and staff member and ensure they flourish in the course of their journey with us and </w:t>
      </w:r>
      <w:r w:rsidRPr="00454226">
        <w:rPr>
          <w:sz w:val="24"/>
          <w:szCs w:val="24"/>
        </w:rPr>
        <w:t xml:space="preserve">to </w:t>
      </w:r>
      <w:r w:rsidRPr="004618D6">
        <w:rPr>
          <w:sz w:val="24"/>
          <w:szCs w:val="24"/>
        </w:rPr>
        <w:t xml:space="preserve">provide all </w:t>
      </w:r>
      <w:r w:rsidR="007A7CF2">
        <w:rPr>
          <w:sz w:val="24"/>
          <w:szCs w:val="24"/>
        </w:rPr>
        <w:t>pupils</w:t>
      </w:r>
      <w:r w:rsidRPr="004618D6">
        <w:rPr>
          <w:sz w:val="24"/>
          <w:szCs w:val="24"/>
        </w:rPr>
        <w:t xml:space="preserve"> with the best possible outcomes in preparation for life-long learning. We believe it is important that </w:t>
      </w:r>
      <w:r w:rsidR="007A7CF2">
        <w:rPr>
          <w:sz w:val="24"/>
          <w:szCs w:val="24"/>
        </w:rPr>
        <w:t>pupils</w:t>
      </w:r>
      <w:r w:rsidRPr="004618D6">
        <w:rPr>
          <w:sz w:val="24"/>
          <w:szCs w:val="24"/>
        </w:rPr>
        <w:t xml:space="preserve"> acquire skills, knowledge and confidence that can be applied to all future learning experiences, including social, physical and spiritual development. We endeavour to raise aspirations and expectations for all pupils, </w:t>
      </w:r>
      <w:r w:rsidR="00434DB9">
        <w:rPr>
          <w:sz w:val="24"/>
          <w:szCs w:val="24"/>
        </w:rPr>
        <w:t>especially</w:t>
      </w:r>
      <w:r w:rsidRPr="004618D6">
        <w:rPr>
          <w:sz w:val="24"/>
          <w:szCs w:val="24"/>
        </w:rPr>
        <w:t xml:space="preserve"> those pupils with SEND by working in partnership with parents/</w:t>
      </w:r>
      <w:r w:rsidR="00551B4E">
        <w:rPr>
          <w:sz w:val="24"/>
          <w:szCs w:val="24"/>
        </w:rPr>
        <w:t xml:space="preserve">carers and </w:t>
      </w:r>
      <w:r w:rsidR="00D47401">
        <w:rPr>
          <w:sz w:val="24"/>
          <w:szCs w:val="24"/>
        </w:rPr>
        <w:t>hearing every pupil’s voice.</w:t>
      </w:r>
    </w:p>
    <w:p w14:paraId="4FF8C2DF" w14:textId="77777777" w:rsidR="004618D6" w:rsidRPr="002F6D31" w:rsidRDefault="004618D6" w:rsidP="004618D6">
      <w:pPr>
        <w:rPr>
          <w:b/>
          <w:bCs/>
          <w:u w:val="single"/>
        </w:rPr>
      </w:pPr>
      <w:r w:rsidRPr="002F6D31">
        <w:rPr>
          <w:b/>
          <w:bCs/>
          <w:u w:val="single"/>
        </w:rPr>
        <w:t>SEND School Profile</w:t>
      </w:r>
    </w:p>
    <w:p w14:paraId="71DE6389" w14:textId="6477F247" w:rsidR="002F6D31" w:rsidRPr="006F439C" w:rsidRDefault="004618D6" w:rsidP="004618D6">
      <w:pPr>
        <w:rPr>
          <w:b/>
          <w:bCs/>
        </w:rPr>
      </w:pPr>
      <w:r w:rsidRPr="002F6D31">
        <w:rPr>
          <w:b/>
        </w:rPr>
        <w:t xml:space="preserve">SEND pupils </w:t>
      </w:r>
      <w:r w:rsidR="006F439C">
        <w:rPr>
          <w:b/>
        </w:rPr>
        <w:t>make up about a quarter of the school’s intake. Frome have the highest number of pupils with SEND recorded in Somerset.</w:t>
      </w:r>
    </w:p>
    <w:p w14:paraId="3E0D4B6D" w14:textId="77DD782E" w:rsidR="004618D6" w:rsidRDefault="004618D6" w:rsidP="006F439C">
      <w:pPr>
        <w:spacing w:after="0"/>
      </w:pPr>
      <w:r w:rsidRPr="002F6D31">
        <w:t xml:space="preserve">Mobility </w:t>
      </w:r>
      <w:r w:rsidR="002F6D31" w:rsidRPr="002F6D31">
        <w:t xml:space="preserve">– </w:t>
      </w:r>
      <w:r w:rsidR="006F439C">
        <w:t xml:space="preserve">Between </w:t>
      </w:r>
      <w:r w:rsidR="007745AB">
        <w:t>July 2023</w:t>
      </w:r>
      <w:r w:rsidR="006F439C">
        <w:t xml:space="preserve"> and now we have had </w:t>
      </w:r>
      <w:r w:rsidR="007745AB">
        <w:t xml:space="preserve">5 </w:t>
      </w:r>
      <w:r w:rsidR="006F439C">
        <w:t xml:space="preserve">pupils with EHCPs leave in Year 8 and 1 join us in Year 5. </w:t>
      </w:r>
      <w:r w:rsidR="0093148F">
        <w:t>We supported on</w:t>
      </w:r>
      <w:r w:rsidR="00D30CFE">
        <w:t>e</w:t>
      </w:r>
      <w:r w:rsidR="0093148F">
        <w:t xml:space="preserve"> year 6 </w:t>
      </w:r>
      <w:r w:rsidR="00D30CFE">
        <w:t>(</w:t>
      </w:r>
      <w:proofErr w:type="spellStart"/>
      <w:r w:rsidR="00D30CFE">
        <w:t>then</w:t>
      </w:r>
      <w:proofErr w:type="spellEnd"/>
      <w:r w:rsidR="00D30CFE">
        <w:t xml:space="preserve"> Year 5) pupil to achieve an EHCP. </w:t>
      </w:r>
      <w:r w:rsidR="006F439C">
        <w:t>No pupils with EHCPs from other Year groups have left.</w:t>
      </w:r>
    </w:p>
    <w:p w14:paraId="672A6659" w14:textId="77777777" w:rsidR="00551B4E" w:rsidRPr="00551B4E" w:rsidRDefault="00551B4E" w:rsidP="00551B4E">
      <w:pPr>
        <w:spacing w:after="0"/>
      </w:pPr>
    </w:p>
    <w:p w14:paraId="420F5597" w14:textId="68967711" w:rsidR="004618D6" w:rsidRPr="00551B4E" w:rsidRDefault="004618D6" w:rsidP="004618D6">
      <w:pPr>
        <w:rPr>
          <w:b/>
          <w:bCs/>
          <w:u w:val="single"/>
        </w:rPr>
      </w:pPr>
      <w:r w:rsidRPr="00551B4E">
        <w:rPr>
          <w:b/>
          <w:bCs/>
          <w:u w:val="single"/>
        </w:rPr>
        <w:t xml:space="preserve">Profile of pupils at Selwood with SEND </w:t>
      </w:r>
    </w:p>
    <w:tbl>
      <w:tblPr>
        <w:tblStyle w:val="TableGrid"/>
        <w:tblW w:w="10207" w:type="dxa"/>
        <w:tblLook w:val="04A0" w:firstRow="1" w:lastRow="0" w:firstColumn="1" w:lastColumn="0" w:noHBand="0" w:noVBand="1"/>
      </w:tblPr>
      <w:tblGrid>
        <w:gridCol w:w="3402"/>
        <w:gridCol w:w="1361"/>
        <w:gridCol w:w="1361"/>
        <w:gridCol w:w="1361"/>
        <w:gridCol w:w="1361"/>
        <w:gridCol w:w="1361"/>
      </w:tblGrid>
      <w:tr w:rsidR="00304CEB" w:rsidRPr="0033059D" w14:paraId="403FDFC7" w14:textId="77777777" w:rsidTr="008B61FD">
        <w:tc>
          <w:tcPr>
            <w:tcW w:w="3402" w:type="dxa"/>
          </w:tcPr>
          <w:p w14:paraId="5D877002" w14:textId="77777777" w:rsidR="00304CEB" w:rsidRPr="0033059D" w:rsidRDefault="00304CEB" w:rsidP="008B61FD">
            <w:pPr>
              <w:jc w:val="center"/>
              <w:rPr>
                <w:rFonts w:ascii="Arial" w:hAnsi="Arial" w:cs="Arial"/>
              </w:rPr>
            </w:pPr>
          </w:p>
        </w:tc>
        <w:tc>
          <w:tcPr>
            <w:tcW w:w="1361" w:type="dxa"/>
          </w:tcPr>
          <w:p w14:paraId="2FE0F211" w14:textId="77777777" w:rsidR="00304CEB" w:rsidRPr="0033059D" w:rsidRDefault="00304CEB" w:rsidP="008B61FD">
            <w:pPr>
              <w:jc w:val="center"/>
              <w:rPr>
                <w:rFonts w:ascii="Arial" w:hAnsi="Arial" w:cs="Arial"/>
              </w:rPr>
            </w:pPr>
            <w:r w:rsidRPr="0033059D">
              <w:rPr>
                <w:rFonts w:ascii="Arial" w:hAnsi="Arial" w:cs="Arial"/>
              </w:rPr>
              <w:t>Year 5</w:t>
            </w:r>
          </w:p>
        </w:tc>
        <w:tc>
          <w:tcPr>
            <w:tcW w:w="1361" w:type="dxa"/>
          </w:tcPr>
          <w:p w14:paraId="63B33AE2" w14:textId="77777777" w:rsidR="00304CEB" w:rsidRPr="0033059D" w:rsidRDefault="00304CEB" w:rsidP="008B61FD">
            <w:pPr>
              <w:jc w:val="center"/>
              <w:rPr>
                <w:rFonts w:ascii="Arial" w:hAnsi="Arial" w:cs="Arial"/>
              </w:rPr>
            </w:pPr>
            <w:r w:rsidRPr="0033059D">
              <w:rPr>
                <w:rFonts w:ascii="Arial" w:hAnsi="Arial" w:cs="Arial"/>
              </w:rPr>
              <w:t>Year 6</w:t>
            </w:r>
          </w:p>
        </w:tc>
        <w:tc>
          <w:tcPr>
            <w:tcW w:w="1361" w:type="dxa"/>
          </w:tcPr>
          <w:p w14:paraId="6DE6DF98" w14:textId="77777777" w:rsidR="00304CEB" w:rsidRPr="0033059D" w:rsidRDefault="00304CEB" w:rsidP="008B61FD">
            <w:pPr>
              <w:jc w:val="center"/>
              <w:rPr>
                <w:rFonts w:ascii="Arial" w:hAnsi="Arial" w:cs="Arial"/>
              </w:rPr>
            </w:pPr>
            <w:r w:rsidRPr="0033059D">
              <w:rPr>
                <w:rFonts w:ascii="Arial" w:hAnsi="Arial" w:cs="Arial"/>
              </w:rPr>
              <w:t>Year 7</w:t>
            </w:r>
          </w:p>
        </w:tc>
        <w:tc>
          <w:tcPr>
            <w:tcW w:w="1361" w:type="dxa"/>
          </w:tcPr>
          <w:p w14:paraId="4D1CAED9" w14:textId="77777777" w:rsidR="00304CEB" w:rsidRPr="0033059D" w:rsidRDefault="00304CEB" w:rsidP="008B61FD">
            <w:pPr>
              <w:jc w:val="center"/>
              <w:rPr>
                <w:rFonts w:ascii="Arial" w:hAnsi="Arial" w:cs="Arial"/>
              </w:rPr>
            </w:pPr>
            <w:r w:rsidRPr="0033059D">
              <w:rPr>
                <w:rFonts w:ascii="Arial" w:hAnsi="Arial" w:cs="Arial"/>
              </w:rPr>
              <w:t>Year 8</w:t>
            </w:r>
          </w:p>
        </w:tc>
        <w:tc>
          <w:tcPr>
            <w:tcW w:w="1361" w:type="dxa"/>
          </w:tcPr>
          <w:p w14:paraId="606C9292" w14:textId="77777777" w:rsidR="00304CEB" w:rsidRPr="0033059D" w:rsidRDefault="00304CEB" w:rsidP="008B61FD">
            <w:pPr>
              <w:jc w:val="center"/>
              <w:rPr>
                <w:rFonts w:ascii="Arial" w:hAnsi="Arial" w:cs="Arial"/>
              </w:rPr>
            </w:pPr>
            <w:r w:rsidRPr="0033059D">
              <w:rPr>
                <w:rFonts w:ascii="Arial" w:hAnsi="Arial" w:cs="Arial"/>
              </w:rPr>
              <w:t>Total</w:t>
            </w:r>
          </w:p>
        </w:tc>
      </w:tr>
      <w:tr w:rsidR="00304CEB" w:rsidRPr="0033059D" w14:paraId="09684243" w14:textId="77777777" w:rsidTr="00B10571">
        <w:tc>
          <w:tcPr>
            <w:tcW w:w="3402" w:type="dxa"/>
          </w:tcPr>
          <w:p w14:paraId="6D78AEFB" w14:textId="77777777" w:rsidR="00304CEB" w:rsidRPr="0033059D" w:rsidRDefault="00304CEB" w:rsidP="008B61FD">
            <w:pPr>
              <w:rPr>
                <w:rFonts w:ascii="Arial" w:hAnsi="Arial" w:cs="Arial"/>
              </w:rPr>
            </w:pPr>
            <w:r w:rsidRPr="0033059D">
              <w:rPr>
                <w:rFonts w:ascii="Arial" w:hAnsi="Arial" w:cs="Arial"/>
              </w:rPr>
              <w:t>No. of pupils on register</w:t>
            </w:r>
          </w:p>
        </w:tc>
        <w:tc>
          <w:tcPr>
            <w:tcW w:w="1361" w:type="dxa"/>
          </w:tcPr>
          <w:p w14:paraId="49DDBD48" w14:textId="1F98082E" w:rsidR="00304CEB" w:rsidRPr="0033059D" w:rsidRDefault="00304CEB" w:rsidP="008B61FD">
            <w:pPr>
              <w:jc w:val="center"/>
              <w:rPr>
                <w:rFonts w:ascii="Arial" w:hAnsi="Arial" w:cs="Arial"/>
                <w:highlight w:val="yellow"/>
              </w:rPr>
            </w:pPr>
            <w:r w:rsidRPr="0033059D">
              <w:rPr>
                <w:rFonts w:ascii="Arial" w:hAnsi="Arial" w:cs="Arial"/>
              </w:rPr>
              <w:t>3</w:t>
            </w:r>
            <w:r w:rsidR="00C96BEF">
              <w:rPr>
                <w:rFonts w:ascii="Arial" w:hAnsi="Arial" w:cs="Arial"/>
              </w:rPr>
              <w:t>7</w:t>
            </w:r>
            <w:r w:rsidRPr="0033059D">
              <w:rPr>
                <w:rFonts w:ascii="Arial" w:hAnsi="Arial" w:cs="Arial"/>
              </w:rPr>
              <w:t xml:space="preserve"> (two at monitoring)</w:t>
            </w:r>
          </w:p>
        </w:tc>
        <w:tc>
          <w:tcPr>
            <w:tcW w:w="1361" w:type="dxa"/>
          </w:tcPr>
          <w:p w14:paraId="5AB354C9" w14:textId="3B0A8206" w:rsidR="00304CEB" w:rsidRPr="0033059D" w:rsidRDefault="00DE57BF" w:rsidP="008B61FD">
            <w:pPr>
              <w:jc w:val="center"/>
              <w:rPr>
                <w:rFonts w:ascii="Arial" w:hAnsi="Arial" w:cs="Arial"/>
                <w:highlight w:val="yellow"/>
              </w:rPr>
            </w:pPr>
            <w:r>
              <w:rPr>
                <w:rFonts w:ascii="Arial" w:hAnsi="Arial" w:cs="Arial"/>
              </w:rPr>
              <w:t>45</w:t>
            </w:r>
            <w:r w:rsidR="00B50BEF" w:rsidRPr="008A7AAB">
              <w:rPr>
                <w:rFonts w:ascii="Arial" w:hAnsi="Arial" w:cs="Arial"/>
              </w:rPr>
              <w:t xml:space="preserve"> (</w:t>
            </w:r>
            <w:r w:rsidR="008A7AAB" w:rsidRPr="008A7AAB">
              <w:rPr>
                <w:rFonts w:ascii="Arial" w:hAnsi="Arial" w:cs="Arial"/>
              </w:rPr>
              <w:t>6 at monitoring)</w:t>
            </w:r>
          </w:p>
        </w:tc>
        <w:tc>
          <w:tcPr>
            <w:tcW w:w="1361" w:type="dxa"/>
          </w:tcPr>
          <w:p w14:paraId="2CC896DC" w14:textId="61EF7339" w:rsidR="00304CEB" w:rsidRPr="0033059D" w:rsidRDefault="009D6DED" w:rsidP="008B61FD">
            <w:pPr>
              <w:jc w:val="center"/>
              <w:rPr>
                <w:rFonts w:ascii="Arial" w:hAnsi="Arial" w:cs="Arial"/>
                <w:highlight w:val="yellow"/>
              </w:rPr>
            </w:pPr>
            <w:r>
              <w:rPr>
                <w:rFonts w:ascii="Arial" w:hAnsi="Arial" w:cs="Arial"/>
              </w:rPr>
              <w:t>34</w:t>
            </w:r>
            <w:r w:rsidR="00926D5C">
              <w:rPr>
                <w:rFonts w:ascii="Arial" w:hAnsi="Arial" w:cs="Arial"/>
              </w:rPr>
              <w:t xml:space="preserve"> (7 monitoring)</w:t>
            </w:r>
          </w:p>
        </w:tc>
        <w:tc>
          <w:tcPr>
            <w:tcW w:w="1361" w:type="dxa"/>
          </w:tcPr>
          <w:p w14:paraId="265048B8" w14:textId="4E560DA0" w:rsidR="00304CEB" w:rsidRPr="0033059D" w:rsidRDefault="00EF5066" w:rsidP="008B61FD">
            <w:pPr>
              <w:jc w:val="center"/>
              <w:rPr>
                <w:rFonts w:ascii="Arial" w:hAnsi="Arial" w:cs="Arial"/>
                <w:highlight w:val="yellow"/>
              </w:rPr>
            </w:pPr>
            <w:r>
              <w:rPr>
                <w:rFonts w:ascii="Arial" w:hAnsi="Arial" w:cs="Arial"/>
              </w:rPr>
              <w:t>44</w:t>
            </w:r>
            <w:r w:rsidR="00680144" w:rsidRPr="00680144">
              <w:rPr>
                <w:rFonts w:ascii="Arial" w:hAnsi="Arial" w:cs="Arial"/>
              </w:rPr>
              <w:t>(8 at monitoring</w:t>
            </w:r>
            <w:r w:rsidR="00680144" w:rsidRPr="00933C43">
              <w:rPr>
                <w:rFonts w:ascii="Arial" w:hAnsi="Arial" w:cs="Arial"/>
              </w:rPr>
              <w:t>)</w:t>
            </w:r>
          </w:p>
        </w:tc>
        <w:tc>
          <w:tcPr>
            <w:tcW w:w="1361" w:type="dxa"/>
            <w:shd w:val="clear" w:color="auto" w:fill="auto"/>
          </w:tcPr>
          <w:p w14:paraId="710289AA" w14:textId="705AB31A" w:rsidR="00304CEB" w:rsidRPr="0033059D" w:rsidRDefault="00612B9A" w:rsidP="008B61FD">
            <w:pPr>
              <w:jc w:val="center"/>
              <w:rPr>
                <w:rFonts w:ascii="Arial" w:hAnsi="Arial" w:cs="Arial"/>
                <w:highlight w:val="yellow"/>
              </w:rPr>
            </w:pPr>
            <w:r w:rsidRPr="00B10571">
              <w:rPr>
                <w:rFonts w:ascii="Arial" w:hAnsi="Arial" w:cs="Arial"/>
              </w:rPr>
              <w:t>1</w:t>
            </w:r>
            <w:r w:rsidR="004A242D" w:rsidRPr="00B10571">
              <w:rPr>
                <w:rFonts w:ascii="Arial" w:hAnsi="Arial" w:cs="Arial"/>
              </w:rPr>
              <w:t>60</w:t>
            </w:r>
          </w:p>
        </w:tc>
      </w:tr>
      <w:tr w:rsidR="00304CEB" w:rsidRPr="0033059D" w14:paraId="1E3FB94D" w14:textId="77777777" w:rsidTr="008B61FD">
        <w:tc>
          <w:tcPr>
            <w:tcW w:w="3402" w:type="dxa"/>
          </w:tcPr>
          <w:p w14:paraId="7FC2AF6C" w14:textId="77777777" w:rsidR="00304CEB" w:rsidRPr="0033059D" w:rsidRDefault="00304CEB" w:rsidP="008B61FD">
            <w:pPr>
              <w:rPr>
                <w:rFonts w:ascii="Arial" w:hAnsi="Arial" w:cs="Arial"/>
              </w:rPr>
            </w:pPr>
            <w:r w:rsidRPr="0033059D">
              <w:rPr>
                <w:rFonts w:ascii="Arial" w:hAnsi="Arial" w:cs="Arial"/>
              </w:rPr>
              <w:t>No. of pupils with SEN support</w:t>
            </w:r>
          </w:p>
        </w:tc>
        <w:tc>
          <w:tcPr>
            <w:tcW w:w="1361" w:type="dxa"/>
          </w:tcPr>
          <w:p w14:paraId="6AD0AD14" w14:textId="77777777" w:rsidR="00304CEB" w:rsidRPr="0033059D" w:rsidRDefault="00304CEB" w:rsidP="008B61FD">
            <w:pPr>
              <w:jc w:val="center"/>
              <w:rPr>
                <w:rFonts w:ascii="Arial" w:hAnsi="Arial" w:cs="Arial"/>
                <w:highlight w:val="yellow"/>
              </w:rPr>
            </w:pPr>
            <w:r w:rsidRPr="0033059D">
              <w:rPr>
                <w:rFonts w:ascii="Arial" w:hAnsi="Arial" w:cs="Arial"/>
              </w:rPr>
              <w:t>34</w:t>
            </w:r>
          </w:p>
        </w:tc>
        <w:tc>
          <w:tcPr>
            <w:tcW w:w="1361" w:type="dxa"/>
          </w:tcPr>
          <w:p w14:paraId="628CD95E" w14:textId="77777777" w:rsidR="00304CEB" w:rsidRPr="0033059D" w:rsidRDefault="00304CEB" w:rsidP="008B61FD">
            <w:pPr>
              <w:jc w:val="center"/>
              <w:rPr>
                <w:rFonts w:ascii="Arial" w:hAnsi="Arial" w:cs="Arial"/>
                <w:highlight w:val="yellow"/>
              </w:rPr>
            </w:pPr>
            <w:r w:rsidRPr="0033059D">
              <w:rPr>
                <w:rFonts w:ascii="Arial" w:hAnsi="Arial" w:cs="Arial"/>
              </w:rPr>
              <w:t>32</w:t>
            </w:r>
          </w:p>
        </w:tc>
        <w:tc>
          <w:tcPr>
            <w:tcW w:w="1361" w:type="dxa"/>
          </w:tcPr>
          <w:p w14:paraId="507BC3CA" w14:textId="59278285" w:rsidR="00304CEB" w:rsidRPr="0033059D" w:rsidRDefault="003853F4" w:rsidP="008B61FD">
            <w:pPr>
              <w:jc w:val="center"/>
              <w:rPr>
                <w:rFonts w:ascii="Arial" w:hAnsi="Arial" w:cs="Arial"/>
                <w:highlight w:val="yellow"/>
              </w:rPr>
            </w:pPr>
            <w:r w:rsidRPr="003B70D7">
              <w:rPr>
                <w:rFonts w:ascii="Arial" w:hAnsi="Arial" w:cs="Arial"/>
              </w:rPr>
              <w:t>22</w:t>
            </w:r>
          </w:p>
        </w:tc>
        <w:tc>
          <w:tcPr>
            <w:tcW w:w="1361" w:type="dxa"/>
          </w:tcPr>
          <w:p w14:paraId="3712F1A7" w14:textId="31AC9F3E" w:rsidR="00304CEB" w:rsidRPr="0033059D" w:rsidRDefault="00EC78C4" w:rsidP="008B61FD">
            <w:pPr>
              <w:jc w:val="center"/>
              <w:rPr>
                <w:rFonts w:ascii="Arial" w:hAnsi="Arial" w:cs="Arial"/>
                <w:highlight w:val="yellow"/>
              </w:rPr>
            </w:pPr>
            <w:r w:rsidRPr="004837BD">
              <w:rPr>
                <w:rFonts w:ascii="Arial" w:hAnsi="Arial" w:cs="Arial"/>
              </w:rPr>
              <w:t>28</w:t>
            </w:r>
          </w:p>
        </w:tc>
        <w:tc>
          <w:tcPr>
            <w:tcW w:w="1361" w:type="dxa"/>
          </w:tcPr>
          <w:p w14:paraId="6CCD6244" w14:textId="4D5B2A41" w:rsidR="00304CEB" w:rsidRPr="0033059D" w:rsidRDefault="00E43C89" w:rsidP="008B61FD">
            <w:pPr>
              <w:jc w:val="center"/>
              <w:rPr>
                <w:rFonts w:ascii="Arial" w:hAnsi="Arial" w:cs="Arial"/>
                <w:highlight w:val="yellow"/>
              </w:rPr>
            </w:pPr>
            <w:r w:rsidRPr="00B10571">
              <w:rPr>
                <w:rFonts w:ascii="Arial" w:hAnsi="Arial" w:cs="Arial"/>
              </w:rPr>
              <w:t>1</w:t>
            </w:r>
            <w:r w:rsidR="00DC46AD" w:rsidRPr="00B10571">
              <w:rPr>
                <w:rFonts w:ascii="Arial" w:hAnsi="Arial" w:cs="Arial"/>
              </w:rPr>
              <w:t>16</w:t>
            </w:r>
          </w:p>
        </w:tc>
      </w:tr>
      <w:tr w:rsidR="00304CEB" w:rsidRPr="0033059D" w14:paraId="39688D61" w14:textId="77777777" w:rsidTr="008B61FD">
        <w:tc>
          <w:tcPr>
            <w:tcW w:w="3402" w:type="dxa"/>
          </w:tcPr>
          <w:p w14:paraId="0DB47659" w14:textId="77777777" w:rsidR="00304CEB" w:rsidRPr="0062392C" w:rsidRDefault="00304CEB" w:rsidP="008B61FD">
            <w:pPr>
              <w:rPr>
                <w:rFonts w:ascii="Arial" w:hAnsi="Arial" w:cs="Arial"/>
              </w:rPr>
            </w:pPr>
            <w:r w:rsidRPr="0062392C">
              <w:rPr>
                <w:rFonts w:ascii="Arial" w:hAnsi="Arial" w:cs="Arial"/>
              </w:rPr>
              <w:t>No. of pupils with EHCP</w:t>
            </w:r>
          </w:p>
        </w:tc>
        <w:tc>
          <w:tcPr>
            <w:tcW w:w="1361" w:type="dxa"/>
          </w:tcPr>
          <w:p w14:paraId="5F2CF0B9" w14:textId="77777777" w:rsidR="00304CEB" w:rsidRPr="0062392C" w:rsidRDefault="00304CEB" w:rsidP="008B61FD">
            <w:pPr>
              <w:jc w:val="center"/>
              <w:rPr>
                <w:rFonts w:ascii="Arial" w:hAnsi="Arial" w:cs="Arial"/>
              </w:rPr>
            </w:pPr>
            <w:r w:rsidRPr="0062392C">
              <w:rPr>
                <w:rFonts w:ascii="Arial" w:hAnsi="Arial" w:cs="Arial"/>
              </w:rPr>
              <w:t>1</w:t>
            </w:r>
          </w:p>
        </w:tc>
        <w:tc>
          <w:tcPr>
            <w:tcW w:w="1361" w:type="dxa"/>
          </w:tcPr>
          <w:p w14:paraId="5A1BD27B" w14:textId="06586743" w:rsidR="00304CEB" w:rsidRPr="0062392C" w:rsidRDefault="00D30CFE" w:rsidP="008B61FD">
            <w:pPr>
              <w:jc w:val="center"/>
              <w:rPr>
                <w:rFonts w:ascii="Arial" w:hAnsi="Arial" w:cs="Arial"/>
              </w:rPr>
            </w:pPr>
            <w:r w:rsidRPr="0062392C">
              <w:rPr>
                <w:rFonts w:ascii="Arial" w:hAnsi="Arial" w:cs="Arial"/>
              </w:rPr>
              <w:t>7</w:t>
            </w:r>
          </w:p>
        </w:tc>
        <w:tc>
          <w:tcPr>
            <w:tcW w:w="1361" w:type="dxa"/>
          </w:tcPr>
          <w:p w14:paraId="78669A63" w14:textId="2B7DC9A0" w:rsidR="00304CEB" w:rsidRPr="0062392C" w:rsidRDefault="00A91250" w:rsidP="008B61FD">
            <w:pPr>
              <w:jc w:val="center"/>
              <w:rPr>
                <w:rFonts w:ascii="Arial" w:hAnsi="Arial" w:cs="Arial"/>
              </w:rPr>
            </w:pPr>
            <w:r w:rsidRPr="0062392C">
              <w:rPr>
                <w:rFonts w:ascii="Arial" w:hAnsi="Arial" w:cs="Arial"/>
              </w:rPr>
              <w:t>5</w:t>
            </w:r>
          </w:p>
        </w:tc>
        <w:tc>
          <w:tcPr>
            <w:tcW w:w="1361" w:type="dxa"/>
          </w:tcPr>
          <w:p w14:paraId="133DC2C6" w14:textId="74F32834" w:rsidR="00304CEB" w:rsidRPr="0062392C" w:rsidRDefault="00BD5875" w:rsidP="008B61FD">
            <w:pPr>
              <w:jc w:val="center"/>
              <w:rPr>
                <w:rFonts w:ascii="Arial" w:hAnsi="Arial" w:cs="Arial"/>
              </w:rPr>
            </w:pPr>
            <w:r w:rsidRPr="0062392C">
              <w:rPr>
                <w:rFonts w:ascii="Arial" w:hAnsi="Arial" w:cs="Arial"/>
              </w:rPr>
              <w:t>8</w:t>
            </w:r>
          </w:p>
        </w:tc>
        <w:tc>
          <w:tcPr>
            <w:tcW w:w="1361" w:type="dxa"/>
          </w:tcPr>
          <w:p w14:paraId="4365F4AE" w14:textId="3549E774" w:rsidR="00304CEB" w:rsidRPr="0033059D" w:rsidRDefault="00304CEB" w:rsidP="008B61FD">
            <w:pPr>
              <w:jc w:val="center"/>
              <w:rPr>
                <w:rFonts w:ascii="Arial" w:hAnsi="Arial" w:cs="Arial"/>
                <w:highlight w:val="yellow"/>
              </w:rPr>
            </w:pPr>
            <w:r w:rsidRPr="0033059D">
              <w:rPr>
                <w:rFonts w:ascii="Arial" w:hAnsi="Arial" w:cs="Arial"/>
              </w:rPr>
              <w:t>2</w:t>
            </w:r>
            <w:r w:rsidR="00BD5875">
              <w:rPr>
                <w:rFonts w:ascii="Arial" w:hAnsi="Arial" w:cs="Arial"/>
              </w:rPr>
              <w:t>1</w:t>
            </w:r>
          </w:p>
        </w:tc>
      </w:tr>
    </w:tbl>
    <w:p w14:paraId="60061E4C" w14:textId="77777777" w:rsidR="00551B4E" w:rsidRDefault="00551B4E" w:rsidP="004618D6">
      <w:pPr>
        <w:rPr>
          <w:b/>
          <w:bCs/>
        </w:rPr>
      </w:pPr>
    </w:p>
    <w:p w14:paraId="53964CE8" w14:textId="77777777" w:rsidR="004618D6" w:rsidRPr="00551B4E" w:rsidRDefault="004618D6" w:rsidP="004618D6">
      <w:pPr>
        <w:rPr>
          <w:b/>
          <w:bCs/>
          <w:u w:val="single"/>
        </w:rPr>
      </w:pPr>
      <w:r w:rsidRPr="00551B4E">
        <w:rPr>
          <w:b/>
          <w:bCs/>
          <w:u w:val="single"/>
        </w:rPr>
        <w:t xml:space="preserve">Identifying Special Educational Needs  </w:t>
      </w:r>
    </w:p>
    <w:p w14:paraId="4FC924B4" w14:textId="77777777" w:rsidR="00B01ECC" w:rsidRDefault="007A7CF2" w:rsidP="00B01ECC">
      <w:pPr>
        <w:spacing w:after="0" w:line="240" w:lineRule="auto"/>
      </w:pPr>
      <w:r>
        <w:lastRenderedPageBreak/>
        <w:t>Pupils</w:t>
      </w:r>
      <w:r w:rsidR="004618D6" w:rsidRPr="00023863">
        <w:t>’s needs ma</w:t>
      </w:r>
      <w:r w:rsidR="00C251EC">
        <w:t>y be categorised into four broad</w:t>
      </w:r>
      <w:r w:rsidR="004618D6" w:rsidRPr="00023863">
        <w:t> areas, these include:</w:t>
      </w:r>
      <w:r w:rsidR="004618D6">
        <w:t xml:space="preserve">   </w:t>
      </w:r>
    </w:p>
    <w:p w14:paraId="6C225243" w14:textId="77777777" w:rsidR="004618D6" w:rsidRDefault="004618D6" w:rsidP="00B01ECC">
      <w:pPr>
        <w:spacing w:after="0" w:line="240" w:lineRule="auto"/>
      </w:pPr>
      <w:r>
        <w:t xml:space="preserve">                                                     </w:t>
      </w:r>
      <w:r w:rsidRPr="00023863">
        <w:t xml:space="preserve"> 1.Communication and Interaction </w:t>
      </w:r>
      <w:r>
        <w:t xml:space="preserve">                                                                                               </w:t>
      </w:r>
      <w:r w:rsidR="00B01ECC">
        <w:t xml:space="preserve">      </w:t>
      </w:r>
      <w:r>
        <w:t xml:space="preserve">                 </w:t>
      </w:r>
      <w:r w:rsidRPr="00023863">
        <w:t xml:space="preserve"> 2.Cognition and Learning  </w:t>
      </w:r>
      <w:r>
        <w:t xml:space="preserve">                                                                                                                                              </w:t>
      </w:r>
      <w:r w:rsidRPr="00023863">
        <w:t>3.Social, Emotional and Mental Health </w:t>
      </w:r>
      <w:r>
        <w:t xml:space="preserve">                                                                                                                       </w:t>
      </w:r>
      <w:r w:rsidRPr="00023863">
        <w:t xml:space="preserve"> 4. Sensory and/or Physical </w:t>
      </w:r>
    </w:p>
    <w:p w14:paraId="44EAFD9C" w14:textId="77777777" w:rsidR="00B01ECC" w:rsidRDefault="00B01ECC" w:rsidP="00B01ECC">
      <w:pPr>
        <w:spacing w:after="0" w:line="240" w:lineRule="auto"/>
      </w:pPr>
    </w:p>
    <w:p w14:paraId="4B94D5A5" w14:textId="39FDC97A" w:rsidR="00B01ECC" w:rsidRDefault="0096012C" w:rsidP="00B01ECC">
      <w:pPr>
        <w:spacing w:after="0" w:line="240" w:lineRule="auto"/>
      </w:pPr>
      <w:r>
        <w:t xml:space="preserve">Our department is </w:t>
      </w:r>
      <w:r w:rsidR="001214F4">
        <w:t xml:space="preserve">now </w:t>
      </w:r>
      <w:r>
        <w:t>structured around these areas</w:t>
      </w:r>
      <w:r w:rsidR="001214F4">
        <w:t xml:space="preserve"> to avoid a flat structure, to give </w:t>
      </w:r>
      <w:r w:rsidR="00B97E6D">
        <w:t xml:space="preserve">TAs a lead as practitioners in their own fields. </w:t>
      </w:r>
      <w:r w:rsidR="00C80D50">
        <w:t>We have been able to run more interventions,</w:t>
      </w:r>
      <w:r w:rsidR="00C35FD5">
        <w:t xml:space="preserve"> </w:t>
      </w:r>
      <w:r w:rsidR="0080118F">
        <w:t xml:space="preserve">give TAs more CPD </w:t>
      </w:r>
      <w:r w:rsidR="003C18B5">
        <w:t xml:space="preserve">around their own areas of interest </w:t>
      </w:r>
      <w:r w:rsidR="0080118F">
        <w:t xml:space="preserve">and support training and </w:t>
      </w:r>
      <w:r w:rsidR="003C18B5">
        <w:t>promotion of a senior TA and</w:t>
      </w:r>
      <w:r w:rsidR="00E56DE1">
        <w:t xml:space="preserve"> ELSA practitioner.</w:t>
      </w:r>
      <w:r w:rsidR="003C18B5">
        <w:t xml:space="preserve"> </w:t>
      </w:r>
    </w:p>
    <w:p w14:paraId="40552743" w14:textId="77777777" w:rsidR="00B97E6D" w:rsidRDefault="00B97E6D" w:rsidP="00B01ECC">
      <w:pPr>
        <w:spacing w:after="0" w:line="240" w:lineRule="auto"/>
      </w:pPr>
    </w:p>
    <w:p w14:paraId="54D7B742" w14:textId="73614853" w:rsidR="0096012C" w:rsidRDefault="002C1806" w:rsidP="00B01ECC">
      <w:pPr>
        <w:spacing w:after="0" w:line="240" w:lineRule="auto"/>
      </w:pPr>
      <w:r w:rsidRPr="002C1806">
        <w:rPr>
          <w:noProof/>
        </w:rPr>
        <w:drawing>
          <wp:inline distT="0" distB="0" distL="0" distR="0" wp14:anchorId="76208638" wp14:editId="16876EEC">
            <wp:extent cx="6312535" cy="3390900"/>
            <wp:effectExtent l="0" t="0" r="0" b="0"/>
            <wp:docPr id="368468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68167" name=""/>
                    <pic:cNvPicPr/>
                  </pic:nvPicPr>
                  <pic:blipFill>
                    <a:blip r:embed="rId6"/>
                    <a:stretch>
                      <a:fillRect/>
                    </a:stretch>
                  </pic:blipFill>
                  <pic:spPr>
                    <a:xfrm>
                      <a:off x="0" y="0"/>
                      <a:ext cx="6312535" cy="3390900"/>
                    </a:xfrm>
                    <a:prstGeom prst="rect">
                      <a:avLst/>
                    </a:prstGeom>
                  </pic:spPr>
                </pic:pic>
              </a:graphicData>
            </a:graphic>
          </wp:inline>
        </w:drawing>
      </w:r>
    </w:p>
    <w:p w14:paraId="59777BFD" w14:textId="77777777" w:rsidR="0096012C" w:rsidRDefault="0096012C" w:rsidP="00B01ECC">
      <w:pPr>
        <w:spacing w:after="0" w:line="240" w:lineRule="auto"/>
      </w:pPr>
    </w:p>
    <w:p w14:paraId="2581912A" w14:textId="77777777" w:rsidR="0096012C" w:rsidRDefault="0096012C" w:rsidP="00B01ECC">
      <w:pPr>
        <w:spacing w:after="0" w:line="240" w:lineRule="auto"/>
      </w:pPr>
    </w:p>
    <w:p w14:paraId="7D80DE55" w14:textId="77777777" w:rsidR="001B2220" w:rsidRPr="00551B4E" w:rsidRDefault="001B2220" w:rsidP="001B2220">
      <w:pPr>
        <w:spacing w:after="0"/>
        <w:rPr>
          <w:b/>
          <w:bCs/>
          <w:u w:val="single"/>
        </w:rPr>
      </w:pPr>
      <w:r w:rsidRPr="00551B4E">
        <w:rPr>
          <w:b/>
          <w:bCs/>
          <w:u w:val="single"/>
        </w:rPr>
        <w:t>Early identification  </w:t>
      </w:r>
    </w:p>
    <w:p w14:paraId="2429F0A9" w14:textId="39C0AC1F" w:rsidR="00B01ECC" w:rsidRDefault="001B2220" w:rsidP="001B2220">
      <w:pPr>
        <w:spacing w:after="0"/>
      </w:pPr>
      <w:r>
        <w:t xml:space="preserve"> We believe that early identification of special educational needs, whether it is social, emotional, </w:t>
      </w:r>
      <w:r w:rsidR="00B01ECC">
        <w:t xml:space="preserve">  </w:t>
      </w:r>
    </w:p>
    <w:p w14:paraId="1F617225" w14:textId="77777777" w:rsidR="001B2220" w:rsidRDefault="007A7CF2" w:rsidP="001B2220">
      <w:pPr>
        <w:spacing w:after="0"/>
      </w:pPr>
      <w:r>
        <w:t>p</w:t>
      </w:r>
      <w:r w:rsidR="00B01ECC">
        <w:t>hysical, communication or a specific learning difficulty, is cru</w:t>
      </w:r>
      <w:r w:rsidR="00635909">
        <w:t>c</w:t>
      </w:r>
      <w:r w:rsidR="00B01ECC">
        <w:t>ial to the wellbeing of all of our pupils.</w:t>
      </w:r>
      <w:r w:rsidR="001B2220">
        <w:t> </w:t>
      </w:r>
    </w:p>
    <w:p w14:paraId="049F31CB" w14:textId="77777777" w:rsidR="001B2220" w:rsidRDefault="001B2220" w:rsidP="001B2220">
      <w:pPr>
        <w:spacing w:after="0"/>
      </w:pPr>
    </w:p>
    <w:p w14:paraId="6767F916" w14:textId="77777777" w:rsidR="001B2220" w:rsidRDefault="001B2220" w:rsidP="001B2220">
      <w:pPr>
        <w:spacing w:after="0"/>
      </w:pPr>
      <w:r>
        <w:t>To support us in our early intervention we:  </w:t>
      </w:r>
    </w:p>
    <w:p w14:paraId="4BFD2139" w14:textId="77777777" w:rsidR="001B2220" w:rsidRDefault="001B2220" w:rsidP="001B2220">
      <w:pPr>
        <w:spacing w:after="0"/>
      </w:pPr>
      <w:r>
        <w:t xml:space="preserve"> 1. Contact the </w:t>
      </w:r>
      <w:r w:rsidR="00B01ECC">
        <w:t>first schools</w:t>
      </w:r>
      <w:r>
        <w:t xml:space="preserve"> and have professional dialogue for all </w:t>
      </w:r>
      <w:r w:rsidR="00B01ECC">
        <w:t xml:space="preserve">Year 5 </w:t>
      </w:r>
      <w:r>
        <w:t xml:space="preserve">pupils   </w:t>
      </w:r>
    </w:p>
    <w:p w14:paraId="0017E5C6" w14:textId="3A8F00B3" w:rsidR="001B2220" w:rsidRDefault="001B2220" w:rsidP="001B2220">
      <w:pPr>
        <w:spacing w:after="0"/>
      </w:pPr>
      <w:r>
        <w:t>2. Attend </w:t>
      </w:r>
      <w:r w:rsidR="007A7CF2">
        <w:t xml:space="preserve">where possible, </w:t>
      </w:r>
      <w:r>
        <w:t>transfer reviews for pupils with SEND transferring to us</w:t>
      </w:r>
      <w:r w:rsidR="007A7CF2">
        <w:t>.</w:t>
      </w:r>
    </w:p>
    <w:p w14:paraId="793829ED" w14:textId="77777777" w:rsidR="001B2220" w:rsidRDefault="001B2220" w:rsidP="001B2220">
      <w:pPr>
        <w:spacing w:after="0"/>
      </w:pPr>
      <w:r>
        <w:t>3. Encourage open communication, between school and home.</w:t>
      </w:r>
    </w:p>
    <w:p w14:paraId="62486C05" w14:textId="26F2DA5F" w:rsidR="007D725C" w:rsidRDefault="001B2220" w:rsidP="004B28E8">
      <w:pPr>
        <w:spacing w:after="0"/>
      </w:pPr>
      <w:r>
        <w:t>4. Provide the appropriate intervention, </w:t>
      </w:r>
      <w:proofErr w:type="spellStart"/>
      <w:r>
        <w:t>eg</w:t>
      </w:r>
      <w:proofErr w:type="spellEnd"/>
      <w:r>
        <w:t>, </w:t>
      </w:r>
      <w:r w:rsidR="00B01ECC">
        <w:t>Oasis (small group support) provided by a TA for pupils as appropriate.</w:t>
      </w:r>
    </w:p>
    <w:p w14:paraId="7A314BC7" w14:textId="2EB1C062" w:rsidR="004B28E8" w:rsidRPr="004B28E8" w:rsidRDefault="004B28E8" w:rsidP="004B28E8">
      <w:pPr>
        <w:spacing w:after="0"/>
      </w:pPr>
      <w:r>
        <w:t xml:space="preserve">5. </w:t>
      </w:r>
      <w:r w:rsidR="00296C37">
        <w:t>Have a graduated approach to monitor then move pupils needing above the core offer to SEND Support on the Register of Need</w:t>
      </w:r>
    </w:p>
    <w:p w14:paraId="4B99056E" w14:textId="77777777" w:rsidR="007D725C" w:rsidRDefault="007D725C" w:rsidP="007D725C">
      <w:pPr>
        <w:spacing w:after="0" w:line="240" w:lineRule="auto"/>
        <w:rPr>
          <w:b/>
          <w:bCs/>
          <w:u w:val="single"/>
        </w:rPr>
      </w:pPr>
    </w:p>
    <w:p w14:paraId="4259A185" w14:textId="77777777" w:rsidR="00454226" w:rsidRPr="00551B4E" w:rsidRDefault="007D725C" w:rsidP="007D725C">
      <w:pPr>
        <w:spacing w:after="0" w:line="240" w:lineRule="auto"/>
        <w:rPr>
          <w:b/>
          <w:bCs/>
          <w:u w:val="single"/>
        </w:rPr>
      </w:pPr>
      <w:r w:rsidRPr="00551B4E">
        <w:rPr>
          <w:b/>
          <w:bCs/>
          <w:u w:val="single"/>
        </w:rPr>
        <w:t xml:space="preserve">Identification of SEND </w:t>
      </w:r>
      <w:r w:rsidR="00635909" w:rsidRPr="00551B4E">
        <w:rPr>
          <w:b/>
          <w:bCs/>
          <w:u w:val="single"/>
        </w:rPr>
        <w:t>in</w:t>
      </w:r>
      <w:r w:rsidRPr="00551B4E">
        <w:rPr>
          <w:b/>
          <w:bCs/>
          <w:u w:val="single"/>
        </w:rPr>
        <w:t xml:space="preserve"> pupils currently attending Selwood </w:t>
      </w:r>
    </w:p>
    <w:p w14:paraId="29D6B04F" w14:textId="77777777" w:rsidR="007D725C" w:rsidRPr="00BF7DE1" w:rsidRDefault="007D725C" w:rsidP="007D725C">
      <w:pPr>
        <w:spacing w:after="0" w:line="240" w:lineRule="auto"/>
        <w:rPr>
          <w:b/>
          <w:bCs/>
          <w:u w:val="single"/>
        </w:rPr>
      </w:pPr>
      <w:r w:rsidRPr="00BF7DE1">
        <w:rPr>
          <w:b/>
          <w:bCs/>
        </w:rPr>
        <w:t xml:space="preserve"> </w:t>
      </w:r>
    </w:p>
    <w:p w14:paraId="371FF5E7" w14:textId="77777777" w:rsidR="007D725C" w:rsidRDefault="007D725C" w:rsidP="001B2220">
      <w:pPr>
        <w:spacing w:after="0"/>
      </w:pPr>
      <w:r>
        <w:t>Assessment of our pupils continues throughout their time with us.</w:t>
      </w:r>
    </w:p>
    <w:p w14:paraId="67EE4AF0" w14:textId="77777777" w:rsidR="00B01ECC" w:rsidRDefault="00B01ECC" w:rsidP="001B2220">
      <w:pPr>
        <w:spacing w:after="0"/>
      </w:pPr>
      <w:r>
        <w:lastRenderedPageBreak/>
        <w:t>In school</w:t>
      </w:r>
      <w:r w:rsidR="007D725C">
        <w:t xml:space="preserve">, </w:t>
      </w:r>
      <w:r>
        <w:t>all members of staff are able to identify pupils who they believe might have SEND, but their needs have not yet been identified. These pupils will be discussed in curriculum team meeting and Pastoral teams and then referred to the SENDCo for further advice and possible assessments.</w:t>
      </w:r>
    </w:p>
    <w:p w14:paraId="0A6959E7" w14:textId="77777777" w:rsidR="001B2220" w:rsidRDefault="001B2220" w:rsidP="001B2220">
      <w:pPr>
        <w:spacing w:after="0"/>
      </w:pPr>
      <w:r>
        <w:t xml:space="preserve"> </w:t>
      </w:r>
    </w:p>
    <w:p w14:paraId="60BD1127" w14:textId="77777777" w:rsidR="001B2220" w:rsidRDefault="007D725C" w:rsidP="001B2220">
      <w:pPr>
        <w:spacing w:after="0" w:line="240" w:lineRule="auto"/>
      </w:pPr>
      <w:r>
        <w:t>In addition, w</w:t>
      </w:r>
      <w:r w:rsidR="001B2220">
        <w:t>e </w:t>
      </w:r>
      <w:r>
        <w:t>also</w:t>
      </w:r>
      <w:r w:rsidR="001B2220">
        <w:t>:  </w:t>
      </w:r>
    </w:p>
    <w:p w14:paraId="37ED0E09" w14:textId="77777777" w:rsidR="001B2220" w:rsidRDefault="001B2220" w:rsidP="001B2220">
      <w:pPr>
        <w:spacing w:after="0" w:line="240" w:lineRule="auto"/>
      </w:pPr>
      <w:r>
        <w:t>1. Analys</w:t>
      </w:r>
      <w:r w:rsidR="007D725C">
        <w:t>e</w:t>
      </w:r>
      <w:r>
        <w:t> assessment data </w:t>
      </w:r>
      <w:r w:rsidR="007D725C">
        <w:t xml:space="preserve">after each data drop, </w:t>
      </w:r>
      <w:r>
        <w:t>to identify </w:t>
      </w:r>
      <w:r w:rsidR="007D725C">
        <w:t>pupils</w:t>
      </w:r>
      <w:r w:rsidR="00392E4C">
        <w:t xml:space="preserve"> </w:t>
      </w:r>
      <w:r>
        <w:t xml:space="preserve">who are not meeting age related expectations  </w:t>
      </w:r>
    </w:p>
    <w:p w14:paraId="191F9B83" w14:textId="77777777" w:rsidR="001B2220" w:rsidRDefault="001B2220" w:rsidP="001B2220">
      <w:pPr>
        <w:spacing w:after="0" w:line="240" w:lineRule="auto"/>
      </w:pPr>
      <w:r>
        <w:t>2. </w:t>
      </w:r>
      <w:r w:rsidR="007D725C">
        <w:t>Subject</w:t>
      </w:r>
      <w:r>
        <w:t> teachers continually monitor the </w:t>
      </w:r>
      <w:r w:rsidR="007A7CF2">
        <w:t>pupils</w:t>
      </w:r>
      <w:r>
        <w:t> in their </w:t>
      </w:r>
      <w:r w:rsidR="007D725C">
        <w:t>department</w:t>
      </w:r>
      <w:r>
        <w:t> through </w:t>
      </w:r>
      <w:r w:rsidR="007D725C">
        <w:t xml:space="preserve">departmental meetings, </w:t>
      </w:r>
      <w:r>
        <w:t xml:space="preserve">observations, discussions, marking and   written feedback.  </w:t>
      </w:r>
    </w:p>
    <w:p w14:paraId="5D1B975F" w14:textId="12DFEA7D" w:rsidR="001B2220" w:rsidRDefault="001B2220" w:rsidP="001B2220">
      <w:pPr>
        <w:spacing w:after="0" w:line="240" w:lineRule="auto"/>
      </w:pPr>
      <w:r>
        <w:t>3. Providing </w:t>
      </w:r>
      <w:r w:rsidR="002706F4">
        <w:t>carers/parents</w:t>
      </w:r>
      <w:r>
        <w:t xml:space="preserve"> with the opportunity to discuss concerns at any time   </w:t>
      </w:r>
    </w:p>
    <w:p w14:paraId="39020BF5" w14:textId="77777777" w:rsidR="00E27346" w:rsidRDefault="001B2220" w:rsidP="00E27346">
      <w:pPr>
        <w:spacing w:after="0" w:line="240" w:lineRule="auto"/>
      </w:pPr>
      <w:r>
        <w:t>4. Liaising with </w:t>
      </w:r>
      <w:r w:rsidR="002706F4">
        <w:t>staff members where they have concerns about pupils</w:t>
      </w:r>
    </w:p>
    <w:p w14:paraId="11F99054" w14:textId="6BC328D3" w:rsidR="001B2220" w:rsidRDefault="001B2220" w:rsidP="00E27346">
      <w:pPr>
        <w:spacing w:after="0" w:line="240" w:lineRule="auto"/>
      </w:pPr>
      <w:r>
        <w:t xml:space="preserve">  </w:t>
      </w:r>
    </w:p>
    <w:p w14:paraId="64DB1EBF" w14:textId="77777777" w:rsidR="001B2220" w:rsidRPr="00551B4E" w:rsidRDefault="001B2220" w:rsidP="001B2220">
      <w:pPr>
        <w:rPr>
          <w:b/>
          <w:bCs/>
          <w:u w:val="single"/>
        </w:rPr>
      </w:pPr>
      <w:r w:rsidRPr="00551B4E">
        <w:rPr>
          <w:b/>
          <w:bCs/>
          <w:u w:val="single"/>
        </w:rPr>
        <w:t xml:space="preserve">Provision  </w:t>
      </w:r>
    </w:p>
    <w:p w14:paraId="38CADEEF" w14:textId="77777777" w:rsidR="007D725C" w:rsidRDefault="00551B4E" w:rsidP="001B2220">
      <w:r>
        <w:t>All</w:t>
      </w:r>
      <w:r w:rsidR="001B2220">
        <w:t> </w:t>
      </w:r>
      <w:r w:rsidR="007D725C">
        <w:t>pupil</w:t>
      </w:r>
      <w:r>
        <w:t>s</w:t>
      </w:r>
      <w:r w:rsidR="007D725C">
        <w:t xml:space="preserve"> identified on the SEND register receives additional support either by having TA support in class, attending small group or 1:1 </w:t>
      </w:r>
      <w:r w:rsidR="0078593E">
        <w:t xml:space="preserve">sessions </w:t>
      </w:r>
      <w:r w:rsidR="007D725C">
        <w:t>or by the subject teacher making specific adaptations to the learning in the classroom, through quality first teaching.</w:t>
      </w:r>
    </w:p>
    <w:p w14:paraId="6ACC2584" w14:textId="53E1D733" w:rsidR="007D725C" w:rsidRDefault="007D725C" w:rsidP="001B2220">
      <w:r>
        <w:t xml:space="preserve">All </w:t>
      </w:r>
      <w:r w:rsidR="007A7CF2">
        <w:t>pupils</w:t>
      </w:r>
      <w:r>
        <w:t xml:space="preserve"> on the SEND regi</w:t>
      </w:r>
      <w:r w:rsidR="00262F6C">
        <w:t xml:space="preserve">ster have </w:t>
      </w:r>
      <w:r w:rsidR="004D4839">
        <w:t>their needs and how best to support them</w:t>
      </w:r>
      <w:r w:rsidR="0061068A">
        <w:t xml:space="preserve"> recorded on Class Charts which is a program teachers have access to at all times to update and circulate information. Pupils </w:t>
      </w:r>
      <w:r w:rsidR="00740BEE">
        <w:t xml:space="preserve">at SEND Support </w:t>
      </w:r>
      <w:r w:rsidR="0061068A">
        <w:t>al</w:t>
      </w:r>
      <w:r w:rsidR="00740BEE">
        <w:t xml:space="preserve">so have a Learning Plan on Provision Map which is reviewed </w:t>
      </w:r>
      <w:r w:rsidR="005A2667">
        <w:t>up to 3 times a year and fed back to parents/carers.</w:t>
      </w:r>
    </w:p>
    <w:p w14:paraId="45C90D6E" w14:textId="56521F0F" w:rsidR="001B2220" w:rsidRDefault="001B2220" w:rsidP="001B2220">
      <w:r w:rsidRPr="00BF7DE1">
        <w:t xml:space="preserve">Parents/Carers are invited to meet </w:t>
      </w:r>
      <w:r w:rsidR="00262F6C">
        <w:t xml:space="preserve">with the SENDCo </w:t>
      </w:r>
      <w:r w:rsidRPr="00BF7DE1">
        <w:t xml:space="preserve">to review their </w:t>
      </w:r>
      <w:r w:rsidR="00CD550F">
        <w:t>pupil</w:t>
      </w:r>
      <w:r w:rsidRPr="00BF7DE1">
        <w:t>’s learning</w:t>
      </w:r>
      <w:r w:rsidR="00EF7577">
        <w:t xml:space="preserve"> and </w:t>
      </w:r>
      <w:r w:rsidRPr="00BF7DE1">
        <w:t>celebrate their successes</w:t>
      </w:r>
      <w:r w:rsidR="00262F6C">
        <w:t xml:space="preserve"> as part of their SEND Support Review</w:t>
      </w:r>
      <w:r w:rsidR="00635909">
        <w:t xml:space="preserve"> and Assess, Plan, Do, Review (APDR) cycle</w:t>
      </w:r>
      <w:r w:rsidR="00262F6C">
        <w:t>.</w:t>
      </w:r>
      <w:r w:rsidR="007A7CF2">
        <w:t xml:space="preserve"> This year the SENDCo</w:t>
      </w:r>
      <w:r w:rsidR="005A2667">
        <w:t xml:space="preserve"> and Deputy</w:t>
      </w:r>
      <w:r w:rsidR="007A7CF2">
        <w:t xml:space="preserve"> held a SEND review meeting for all pupils </w:t>
      </w:r>
      <w:r w:rsidR="00EF7577">
        <w:t>on the</w:t>
      </w:r>
      <w:r w:rsidR="001A7899">
        <w:t xml:space="preserve"> SEND</w:t>
      </w:r>
      <w:r w:rsidR="00EF7577">
        <w:t xml:space="preserve"> Register</w:t>
      </w:r>
      <w:r w:rsidR="001A7899">
        <w:t xml:space="preserve">. The school exceeded </w:t>
      </w:r>
      <w:r w:rsidR="003B4647">
        <w:t xml:space="preserve">its statutory obligations and went above and beyond to offer multiple reviews for all pupils, increasing parental </w:t>
      </w:r>
      <w:r w:rsidR="00EF7577">
        <w:t>engagement</w:t>
      </w:r>
      <w:r w:rsidR="003B4647">
        <w:t xml:space="preserve"> with learning plans and </w:t>
      </w:r>
      <w:r w:rsidR="00EF7577">
        <w:t>supporti</w:t>
      </w:r>
      <w:r w:rsidR="0031643E">
        <w:t>ng further attainment.</w:t>
      </w:r>
      <w:r w:rsidR="00EF7577">
        <w:t xml:space="preserve"> </w:t>
      </w:r>
    </w:p>
    <w:p w14:paraId="4D37254A" w14:textId="77777777" w:rsidR="001B2220" w:rsidRDefault="001B2220" w:rsidP="001B2220">
      <w:r w:rsidRPr="00BF7DE1">
        <w:t xml:space="preserve">For further information, please see the School </w:t>
      </w:r>
      <w:r>
        <w:t>SEND Information Plan</w:t>
      </w:r>
      <w:r w:rsidRPr="00BF7DE1">
        <w:t xml:space="preserve"> on the SEN section of the school website.</w:t>
      </w:r>
    </w:p>
    <w:p w14:paraId="56B354D9" w14:textId="65E6F394" w:rsidR="00B852AB" w:rsidRDefault="00B852AB" w:rsidP="001B2220">
      <w:r>
        <w:t xml:space="preserve">David Bartram OBE, </w:t>
      </w:r>
      <w:r w:rsidR="00EE110D">
        <w:t xml:space="preserve">who has written for the DfE and audited over 300 schools for SEND </w:t>
      </w:r>
      <w:r w:rsidR="00727BE4">
        <w:t>was invited in June to inspect SEND provision. We were able to present the following figures to him</w:t>
      </w:r>
      <w:r w:rsidR="00B10571">
        <w:t xml:space="preserve"> in June 2023</w:t>
      </w:r>
      <w:r w:rsidR="00727BE4">
        <w:t>.</w:t>
      </w:r>
    </w:p>
    <w:p w14:paraId="72B7C70C" w14:textId="60EF4364" w:rsidR="008F26F3" w:rsidRPr="00D26853" w:rsidRDefault="002452EE" w:rsidP="001B2220">
      <w:pPr>
        <w:rPr>
          <w:b/>
          <w:sz w:val="24"/>
          <w:szCs w:val="24"/>
          <w:u w:val="single"/>
        </w:rPr>
      </w:pPr>
      <w:r w:rsidRPr="002452EE">
        <w:rPr>
          <w:b/>
          <w:sz w:val="24"/>
          <w:szCs w:val="24"/>
          <w:u w:val="single"/>
        </w:rPr>
        <w:t>Att</w:t>
      </w:r>
      <w:r w:rsidR="00B852AB">
        <w:rPr>
          <w:b/>
          <w:sz w:val="24"/>
          <w:szCs w:val="24"/>
          <w:u w:val="single"/>
        </w:rPr>
        <w:t>endance</w:t>
      </w:r>
      <w:r w:rsidRPr="002452EE">
        <w:rPr>
          <w:b/>
          <w:sz w:val="24"/>
          <w:szCs w:val="24"/>
          <w:u w:val="single"/>
        </w:rPr>
        <w:t xml:space="preserve"> of SEND Pupils</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101"/>
        <w:gridCol w:w="1020"/>
        <w:gridCol w:w="1020"/>
        <w:gridCol w:w="1020"/>
        <w:gridCol w:w="1020"/>
      </w:tblGrid>
      <w:tr w:rsidR="000265B8" w:rsidRPr="005F6D28" w14:paraId="4A31AFF2" w14:textId="77777777" w:rsidTr="008B61FD">
        <w:trPr>
          <w:trHeight w:val="340"/>
        </w:trPr>
        <w:tc>
          <w:tcPr>
            <w:tcW w:w="410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3306260" w14:textId="77777777" w:rsidR="000265B8" w:rsidRPr="005F6D28" w:rsidRDefault="000265B8" w:rsidP="008B61FD">
            <w:pPr>
              <w:pStyle w:val="ListParagraph"/>
              <w:spacing w:after="0" w:line="240" w:lineRule="auto"/>
              <w:rPr>
                <w:rFonts w:ascii="Arial" w:eastAsia="Calibri" w:hAnsi="Arial" w:cs="Arial"/>
                <w:lang w:eastAsia="en-GB"/>
              </w:rPr>
            </w:pPr>
          </w:p>
        </w:tc>
        <w:tc>
          <w:tcPr>
            <w:tcW w:w="10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23ABA2A"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b/>
                <w:bCs/>
                <w:u w:val="single"/>
                <w:lang w:eastAsia="en-GB"/>
              </w:rPr>
              <w:t>19-20</w:t>
            </w:r>
          </w:p>
        </w:tc>
        <w:tc>
          <w:tcPr>
            <w:tcW w:w="10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204CD6D"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b/>
                <w:bCs/>
                <w:u w:val="single"/>
                <w:lang w:eastAsia="en-GB"/>
              </w:rPr>
              <w:t>20-21</w:t>
            </w:r>
          </w:p>
        </w:tc>
        <w:tc>
          <w:tcPr>
            <w:tcW w:w="102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D49BC38"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b/>
                <w:bCs/>
                <w:u w:val="single"/>
                <w:lang w:eastAsia="en-GB"/>
              </w:rPr>
              <w:t>21-22</w:t>
            </w:r>
          </w:p>
        </w:tc>
        <w:tc>
          <w:tcPr>
            <w:tcW w:w="1020" w:type="dxa"/>
            <w:tcBorders>
              <w:top w:val="single" w:sz="8" w:space="0" w:color="auto"/>
              <w:left w:val="nil"/>
              <w:bottom w:val="single" w:sz="4" w:space="0" w:color="auto"/>
              <w:right w:val="single" w:sz="8" w:space="0" w:color="auto"/>
            </w:tcBorders>
          </w:tcPr>
          <w:p w14:paraId="30C68038" w14:textId="77777777" w:rsidR="000265B8" w:rsidRPr="005F6D28" w:rsidRDefault="000265B8" w:rsidP="008B61FD">
            <w:pPr>
              <w:spacing w:after="0" w:line="240" w:lineRule="auto"/>
              <w:jc w:val="center"/>
              <w:rPr>
                <w:rFonts w:ascii="Arial" w:eastAsia="Calibri" w:hAnsi="Arial" w:cs="Arial"/>
                <w:b/>
                <w:bCs/>
                <w:u w:val="single"/>
                <w:lang w:eastAsia="en-GB"/>
              </w:rPr>
            </w:pPr>
            <w:r w:rsidRPr="005F6D28">
              <w:rPr>
                <w:rFonts w:ascii="Arial" w:eastAsia="Calibri" w:hAnsi="Arial" w:cs="Arial"/>
                <w:b/>
                <w:bCs/>
                <w:u w:val="single"/>
                <w:lang w:eastAsia="en-GB"/>
              </w:rPr>
              <w:t>22-23</w:t>
            </w:r>
          </w:p>
        </w:tc>
      </w:tr>
      <w:tr w:rsidR="000265B8" w:rsidRPr="005F6D28" w14:paraId="41857DB1"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BB51" w14:textId="77777777" w:rsidR="000265B8" w:rsidRPr="005F6D28" w:rsidRDefault="000265B8" w:rsidP="008B61FD">
            <w:pPr>
              <w:spacing w:after="0" w:line="240" w:lineRule="auto"/>
              <w:rPr>
                <w:rFonts w:ascii="Arial" w:eastAsia="Calibri" w:hAnsi="Arial" w:cs="Arial"/>
                <w:lang w:eastAsia="en-GB"/>
              </w:rPr>
            </w:pPr>
            <w:r w:rsidRPr="005F6D28">
              <w:rPr>
                <w:rFonts w:ascii="Arial" w:eastAsia="Calibri" w:hAnsi="Arial" w:cs="Arial"/>
                <w:b/>
                <w:bCs/>
                <w:lang w:eastAsia="en-GB"/>
              </w:rPr>
              <w:t>All schools National</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9FB8D"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95.1</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42412"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95.3</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883D5"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88.9</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664C2E"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91.6</w:t>
            </w:r>
          </w:p>
        </w:tc>
      </w:tr>
      <w:tr w:rsidR="000265B8" w:rsidRPr="005F6D28" w14:paraId="4FB07874"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3C83E" w14:textId="77777777" w:rsidR="000265B8" w:rsidRPr="005F6D28" w:rsidRDefault="000265B8" w:rsidP="008B61FD">
            <w:pPr>
              <w:spacing w:after="0" w:line="240" w:lineRule="auto"/>
              <w:rPr>
                <w:rFonts w:ascii="Arial" w:eastAsia="Calibri" w:hAnsi="Arial" w:cs="Arial"/>
                <w:lang w:eastAsia="en-GB"/>
              </w:rPr>
            </w:pPr>
            <w:r w:rsidRPr="005F6D28">
              <w:rPr>
                <w:rFonts w:ascii="Arial" w:eastAsia="Calibri" w:hAnsi="Arial" w:cs="Arial"/>
                <w:b/>
                <w:bCs/>
                <w:lang w:eastAsia="en-GB"/>
              </w:rPr>
              <w:t>Primary School National</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5BD4E"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95.7</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8C1774"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96.3</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C86DF"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 92.2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07EE8A8"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93.5</w:t>
            </w:r>
          </w:p>
        </w:tc>
      </w:tr>
      <w:tr w:rsidR="000265B8" w:rsidRPr="005F6D28" w14:paraId="48C4078F"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9EB0F" w14:textId="77777777" w:rsidR="000265B8" w:rsidRPr="005F6D28" w:rsidRDefault="000265B8" w:rsidP="008B61FD">
            <w:pPr>
              <w:spacing w:after="0" w:line="240" w:lineRule="auto"/>
              <w:rPr>
                <w:rFonts w:ascii="Arial" w:eastAsia="Calibri" w:hAnsi="Arial" w:cs="Arial"/>
                <w:lang w:eastAsia="en-GB"/>
              </w:rPr>
            </w:pPr>
            <w:r w:rsidRPr="005F6D28">
              <w:rPr>
                <w:rFonts w:ascii="Arial" w:eastAsia="Calibri" w:hAnsi="Arial" w:cs="Arial"/>
                <w:b/>
                <w:bCs/>
                <w:lang w:eastAsia="en-GB"/>
              </w:rPr>
              <w:t>Secondary School National</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B6E06"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94.4</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8B246"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94.3</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BF5F5"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86.6 </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B077944"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89.4</w:t>
            </w:r>
          </w:p>
        </w:tc>
      </w:tr>
      <w:tr w:rsidR="000265B8" w:rsidRPr="005F6D28" w14:paraId="7F7B3D58"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2DB55" w14:textId="77777777" w:rsidR="000265B8" w:rsidRPr="005F6D28" w:rsidRDefault="000265B8" w:rsidP="008B61FD">
            <w:pPr>
              <w:spacing w:after="0" w:line="240" w:lineRule="auto"/>
              <w:rPr>
                <w:rFonts w:ascii="Arial" w:eastAsia="Calibri" w:hAnsi="Arial" w:cs="Arial"/>
                <w:b/>
                <w:bCs/>
                <w:lang w:eastAsia="en-GB"/>
              </w:rPr>
            </w:pPr>
            <w:r w:rsidRPr="005F6D28">
              <w:rPr>
                <w:rFonts w:ascii="Arial" w:eastAsia="Calibri" w:hAnsi="Arial" w:cs="Arial"/>
                <w:b/>
                <w:bCs/>
                <w:lang w:eastAsia="en-GB"/>
              </w:rPr>
              <w:t>LA Primary</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22851250"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661C5702"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6842E0A9"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8B193AD"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94.3</w:t>
            </w:r>
          </w:p>
        </w:tc>
      </w:tr>
      <w:tr w:rsidR="000265B8" w:rsidRPr="005F6D28" w14:paraId="0F8809DE"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D4F95" w14:textId="77777777" w:rsidR="000265B8" w:rsidRPr="005F6D28" w:rsidRDefault="000265B8" w:rsidP="008B61FD">
            <w:pPr>
              <w:spacing w:after="0" w:line="240" w:lineRule="auto"/>
              <w:rPr>
                <w:rFonts w:ascii="Arial" w:eastAsia="Calibri" w:hAnsi="Arial" w:cs="Arial"/>
                <w:b/>
                <w:bCs/>
                <w:lang w:eastAsia="en-GB"/>
              </w:rPr>
            </w:pPr>
            <w:r w:rsidRPr="005F6D28">
              <w:rPr>
                <w:rFonts w:ascii="Arial" w:eastAsia="Calibri" w:hAnsi="Arial" w:cs="Arial"/>
                <w:b/>
                <w:bCs/>
                <w:lang w:eastAsia="en-GB"/>
              </w:rPr>
              <w:t>LA Secondary</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6C12CF48"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28A6FA4A"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28DCA98C"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4613055"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91.2</w:t>
            </w:r>
          </w:p>
        </w:tc>
      </w:tr>
      <w:tr w:rsidR="000265B8" w:rsidRPr="005F6D28" w14:paraId="07DD06E8"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F4D15" w14:textId="77777777" w:rsidR="000265B8" w:rsidRPr="005F6D28" w:rsidRDefault="000265B8" w:rsidP="008B61FD">
            <w:pPr>
              <w:spacing w:after="0" w:line="240" w:lineRule="auto"/>
              <w:rPr>
                <w:rFonts w:ascii="Arial" w:eastAsia="Calibri" w:hAnsi="Arial" w:cs="Arial"/>
                <w:b/>
                <w:bCs/>
                <w:lang w:eastAsia="en-GB"/>
              </w:rPr>
            </w:pPr>
            <w:r w:rsidRPr="005F6D28">
              <w:rPr>
                <w:rFonts w:ascii="Arial" w:eastAsia="Calibri" w:hAnsi="Arial" w:cs="Arial"/>
                <w:b/>
                <w:bCs/>
                <w:lang w:eastAsia="en-GB"/>
              </w:rPr>
              <w:t>Somerset County Council average</w:t>
            </w: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276D0AC1"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1D4245CA"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tcPr>
          <w:p w14:paraId="127C084A" w14:textId="77777777" w:rsidR="000265B8" w:rsidRPr="005F6D28" w:rsidRDefault="000265B8" w:rsidP="008B61FD">
            <w:pPr>
              <w:spacing w:after="0" w:line="240" w:lineRule="auto"/>
              <w:jc w:val="center"/>
              <w:rPr>
                <w:rFonts w:ascii="Arial" w:eastAsia="Calibri" w:hAnsi="Arial" w:cs="Arial"/>
                <w:lang w:eastAsia="en-GB"/>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B56B14F"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89.5%</w:t>
            </w:r>
          </w:p>
        </w:tc>
      </w:tr>
      <w:tr w:rsidR="000265B8" w:rsidRPr="005F6D28" w14:paraId="483BBE07"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EB8A4" w14:textId="77777777" w:rsidR="000265B8" w:rsidRPr="005F6D28" w:rsidRDefault="000265B8" w:rsidP="008B61FD">
            <w:pPr>
              <w:spacing w:after="0" w:line="240" w:lineRule="auto"/>
              <w:rPr>
                <w:rFonts w:ascii="Arial" w:eastAsia="Calibri" w:hAnsi="Arial" w:cs="Arial"/>
                <w:lang w:eastAsia="en-GB"/>
              </w:rPr>
            </w:pPr>
            <w:r w:rsidRPr="005F6D28">
              <w:rPr>
                <w:rFonts w:ascii="Arial" w:eastAsia="Calibri" w:hAnsi="Arial" w:cs="Arial"/>
                <w:b/>
                <w:bCs/>
                <w:lang w:eastAsia="en-GB"/>
              </w:rPr>
              <w:t>Selwood Academy</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E348F"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95.72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9328A4"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95.75</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AFB7D"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92.52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6DEB112"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92.79</w:t>
            </w:r>
          </w:p>
        </w:tc>
      </w:tr>
      <w:tr w:rsidR="000265B8" w:rsidRPr="005F6D28" w14:paraId="19191A58"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5FF1D" w14:textId="77777777" w:rsidR="000265B8" w:rsidRPr="005F6D28" w:rsidRDefault="000265B8" w:rsidP="008B61FD">
            <w:pPr>
              <w:spacing w:after="0" w:line="240" w:lineRule="auto"/>
              <w:rPr>
                <w:rFonts w:ascii="Arial" w:eastAsia="Calibri" w:hAnsi="Arial" w:cs="Arial"/>
                <w:b/>
                <w:bCs/>
                <w:lang w:eastAsia="en-GB"/>
              </w:rPr>
            </w:pPr>
            <w:r w:rsidRPr="005F6D28">
              <w:rPr>
                <w:rFonts w:ascii="Arial" w:eastAsia="Calibri" w:hAnsi="Arial" w:cs="Arial"/>
                <w:b/>
                <w:bCs/>
                <w:lang w:eastAsia="en-GB"/>
              </w:rPr>
              <w:t>Selwood Academy Pupil Premium</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8DCF2"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88.8</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0E87D"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88.8</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F3BC35"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90.15</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7880AF4"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89.17</w:t>
            </w:r>
          </w:p>
        </w:tc>
      </w:tr>
      <w:tr w:rsidR="000265B8" w:rsidRPr="005F6D28" w14:paraId="602E1720" w14:textId="77777777" w:rsidTr="008B61FD">
        <w:trPr>
          <w:trHeight w:val="340"/>
        </w:trPr>
        <w:tc>
          <w:tcPr>
            <w:tcW w:w="4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4646D" w14:textId="77777777" w:rsidR="000265B8" w:rsidRPr="005F6D28" w:rsidRDefault="000265B8" w:rsidP="008B61FD">
            <w:pPr>
              <w:spacing w:after="0" w:line="240" w:lineRule="auto"/>
              <w:rPr>
                <w:rFonts w:ascii="Arial" w:eastAsia="Calibri" w:hAnsi="Arial" w:cs="Arial"/>
                <w:b/>
                <w:bCs/>
                <w:lang w:eastAsia="en-GB"/>
              </w:rPr>
            </w:pPr>
            <w:r w:rsidRPr="005F6D28">
              <w:rPr>
                <w:rFonts w:ascii="Arial" w:eastAsia="Calibri" w:hAnsi="Arial" w:cs="Arial"/>
                <w:b/>
                <w:bCs/>
                <w:lang w:eastAsia="en-GB"/>
              </w:rPr>
              <w:t>Selwood Academy SEND</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DAE38"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87.5</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187AA"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87.5</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E5F32"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89.8</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3C6E438" w14:textId="77777777" w:rsidR="000265B8" w:rsidRPr="005F6D28" w:rsidRDefault="000265B8" w:rsidP="008B61FD">
            <w:pPr>
              <w:spacing w:after="0" w:line="240" w:lineRule="auto"/>
              <w:jc w:val="center"/>
              <w:rPr>
                <w:rFonts w:ascii="Arial" w:eastAsia="Calibri" w:hAnsi="Arial" w:cs="Arial"/>
                <w:lang w:eastAsia="en-GB"/>
              </w:rPr>
            </w:pPr>
            <w:r w:rsidRPr="005F6D28">
              <w:rPr>
                <w:rFonts w:ascii="Arial" w:eastAsia="Calibri" w:hAnsi="Arial" w:cs="Arial"/>
                <w:lang w:eastAsia="en-GB"/>
              </w:rPr>
              <w:t>90.07</w:t>
            </w:r>
          </w:p>
        </w:tc>
      </w:tr>
    </w:tbl>
    <w:p w14:paraId="633A1E35" w14:textId="77777777" w:rsidR="000265B8" w:rsidRPr="005F6D28" w:rsidRDefault="000265B8" w:rsidP="000265B8">
      <w:pPr>
        <w:rPr>
          <w:rFonts w:ascii="Arial" w:hAnsi="Arial" w:cs="Arial"/>
          <w:u w:val="single"/>
        </w:rPr>
      </w:pPr>
    </w:p>
    <w:p w14:paraId="34FF1C98" w14:textId="77777777" w:rsidR="00551B4E" w:rsidRDefault="00551B4E" w:rsidP="001B2220">
      <w:pPr>
        <w:rPr>
          <w:b/>
        </w:rPr>
      </w:pPr>
    </w:p>
    <w:p w14:paraId="5EAD5C7E" w14:textId="77777777" w:rsidR="002C1806" w:rsidRDefault="002C1806" w:rsidP="009E0BEE">
      <w:pPr>
        <w:rPr>
          <w:rFonts w:ascii="Arial" w:hAnsi="Arial" w:cs="Arial"/>
          <w:b/>
          <w:u w:val="single"/>
        </w:rPr>
      </w:pPr>
    </w:p>
    <w:p w14:paraId="23BE34F7" w14:textId="77777777" w:rsidR="002C1806" w:rsidRDefault="002C1806" w:rsidP="009E0BEE">
      <w:pPr>
        <w:rPr>
          <w:rFonts w:ascii="Arial" w:hAnsi="Arial" w:cs="Arial"/>
          <w:b/>
          <w:u w:val="single"/>
        </w:rPr>
      </w:pPr>
    </w:p>
    <w:p w14:paraId="0E7F348E" w14:textId="3BC23028" w:rsidR="009E0BEE" w:rsidRPr="005F6D28" w:rsidRDefault="009E0BEE" w:rsidP="009E0BEE">
      <w:pPr>
        <w:rPr>
          <w:rFonts w:ascii="Arial" w:hAnsi="Arial" w:cs="Arial"/>
          <w:b/>
          <w:u w:val="single"/>
        </w:rPr>
      </w:pPr>
      <w:r w:rsidRPr="005F6D28">
        <w:rPr>
          <w:rFonts w:ascii="Arial" w:hAnsi="Arial" w:cs="Arial"/>
          <w:b/>
          <w:u w:val="single"/>
        </w:rPr>
        <w:t>Behaviour</w:t>
      </w:r>
    </w:p>
    <w:p w14:paraId="410FF6AA" w14:textId="2C7AD241" w:rsidR="009E0BEE" w:rsidRPr="005F6D28" w:rsidRDefault="009E0BEE" w:rsidP="009E0BEE">
      <w:pPr>
        <w:rPr>
          <w:rFonts w:ascii="Arial" w:hAnsi="Arial" w:cs="Arial"/>
          <w:b/>
        </w:rPr>
      </w:pPr>
    </w:p>
    <w:tbl>
      <w:tblPr>
        <w:tblStyle w:val="TableGrid"/>
        <w:tblW w:w="0" w:type="auto"/>
        <w:tblLook w:val="04A0" w:firstRow="1" w:lastRow="0" w:firstColumn="1" w:lastColumn="0" w:noHBand="0" w:noVBand="1"/>
      </w:tblPr>
      <w:tblGrid>
        <w:gridCol w:w="4207"/>
        <w:gridCol w:w="1134"/>
        <w:gridCol w:w="1134"/>
        <w:gridCol w:w="1134"/>
      </w:tblGrid>
      <w:tr w:rsidR="009E0BEE" w:rsidRPr="005F6D28" w14:paraId="03918A5A" w14:textId="77777777" w:rsidTr="008B61FD">
        <w:trPr>
          <w:trHeight w:val="212"/>
        </w:trPr>
        <w:tc>
          <w:tcPr>
            <w:tcW w:w="4207" w:type="dxa"/>
          </w:tcPr>
          <w:p w14:paraId="1C76B1C0" w14:textId="77777777" w:rsidR="009E0BEE" w:rsidRPr="005F6D28" w:rsidRDefault="009E0BEE" w:rsidP="008B61FD">
            <w:pPr>
              <w:rPr>
                <w:rFonts w:ascii="Arial" w:eastAsia="Calibri" w:hAnsi="Arial" w:cs="Arial"/>
                <w:b/>
                <w:bCs/>
                <w:lang w:eastAsia="en-GB"/>
              </w:rPr>
            </w:pPr>
            <w:r w:rsidRPr="005F6D28">
              <w:rPr>
                <w:rFonts w:ascii="Arial" w:eastAsia="Calibri" w:hAnsi="Arial" w:cs="Arial"/>
                <w:b/>
                <w:bCs/>
                <w:lang w:eastAsia="en-GB"/>
              </w:rPr>
              <w:t>Year</w:t>
            </w:r>
          </w:p>
        </w:tc>
        <w:tc>
          <w:tcPr>
            <w:tcW w:w="1134" w:type="dxa"/>
          </w:tcPr>
          <w:p w14:paraId="108DCC00" w14:textId="77777777" w:rsidR="009E0BEE" w:rsidRPr="005F6D28" w:rsidRDefault="009E0BEE" w:rsidP="008B61FD">
            <w:pPr>
              <w:jc w:val="center"/>
              <w:rPr>
                <w:rFonts w:ascii="Arial" w:hAnsi="Arial" w:cs="Arial"/>
                <w:b/>
              </w:rPr>
            </w:pPr>
            <w:r w:rsidRPr="005F6D28">
              <w:rPr>
                <w:rFonts w:ascii="Arial" w:hAnsi="Arial" w:cs="Arial"/>
                <w:b/>
              </w:rPr>
              <w:t>20/21*</w:t>
            </w:r>
          </w:p>
        </w:tc>
        <w:tc>
          <w:tcPr>
            <w:tcW w:w="1134" w:type="dxa"/>
          </w:tcPr>
          <w:p w14:paraId="2AD7C6C9" w14:textId="77777777" w:rsidR="009E0BEE" w:rsidRPr="005F6D28" w:rsidRDefault="009E0BEE" w:rsidP="008B61FD">
            <w:pPr>
              <w:jc w:val="center"/>
              <w:rPr>
                <w:rFonts w:ascii="Arial" w:hAnsi="Arial" w:cs="Arial"/>
                <w:b/>
              </w:rPr>
            </w:pPr>
            <w:r w:rsidRPr="005F6D28">
              <w:rPr>
                <w:rFonts w:ascii="Arial" w:hAnsi="Arial" w:cs="Arial"/>
                <w:b/>
              </w:rPr>
              <w:t>21/22</w:t>
            </w:r>
          </w:p>
        </w:tc>
        <w:tc>
          <w:tcPr>
            <w:tcW w:w="1134" w:type="dxa"/>
          </w:tcPr>
          <w:p w14:paraId="32F1DBFF" w14:textId="77777777" w:rsidR="009E0BEE" w:rsidRPr="005F6D28" w:rsidRDefault="009E0BEE" w:rsidP="008B61FD">
            <w:pPr>
              <w:jc w:val="center"/>
              <w:rPr>
                <w:rFonts w:ascii="Arial" w:hAnsi="Arial" w:cs="Arial"/>
                <w:b/>
              </w:rPr>
            </w:pPr>
            <w:r w:rsidRPr="005F6D28">
              <w:rPr>
                <w:rFonts w:ascii="Arial" w:hAnsi="Arial" w:cs="Arial"/>
                <w:b/>
              </w:rPr>
              <w:t>22/23</w:t>
            </w:r>
          </w:p>
        </w:tc>
      </w:tr>
      <w:tr w:rsidR="009E0BEE" w:rsidRPr="005F6D28" w14:paraId="3C49B97C" w14:textId="77777777" w:rsidTr="008B61FD">
        <w:tc>
          <w:tcPr>
            <w:tcW w:w="4207" w:type="dxa"/>
          </w:tcPr>
          <w:p w14:paraId="01754177" w14:textId="77777777" w:rsidR="009E0BEE" w:rsidRPr="005F6D28" w:rsidRDefault="009E0BEE" w:rsidP="008B61FD">
            <w:pPr>
              <w:rPr>
                <w:rFonts w:ascii="Arial" w:eastAsia="Calibri" w:hAnsi="Arial" w:cs="Arial"/>
                <w:b/>
                <w:bCs/>
                <w:lang w:eastAsia="en-GB"/>
              </w:rPr>
            </w:pPr>
            <w:r w:rsidRPr="005F6D28">
              <w:rPr>
                <w:rFonts w:ascii="Arial" w:eastAsia="Calibri" w:hAnsi="Arial" w:cs="Arial"/>
                <w:b/>
                <w:bCs/>
                <w:lang w:eastAsia="en-GB"/>
              </w:rPr>
              <w:t>Sessions lost to suspension</w:t>
            </w:r>
          </w:p>
        </w:tc>
        <w:tc>
          <w:tcPr>
            <w:tcW w:w="1134" w:type="dxa"/>
          </w:tcPr>
          <w:p w14:paraId="0A5D3080" w14:textId="77777777" w:rsidR="009E0BEE" w:rsidRPr="005F6D28" w:rsidRDefault="009E0BEE" w:rsidP="008B61FD">
            <w:pPr>
              <w:jc w:val="center"/>
              <w:rPr>
                <w:rFonts w:ascii="Arial" w:hAnsi="Arial" w:cs="Arial"/>
              </w:rPr>
            </w:pPr>
            <w:r w:rsidRPr="005F6D28">
              <w:rPr>
                <w:rFonts w:ascii="Arial" w:hAnsi="Arial" w:cs="Arial"/>
              </w:rPr>
              <w:t>156</w:t>
            </w:r>
          </w:p>
        </w:tc>
        <w:tc>
          <w:tcPr>
            <w:tcW w:w="1134" w:type="dxa"/>
          </w:tcPr>
          <w:p w14:paraId="341A4FCE" w14:textId="77777777" w:rsidR="009E0BEE" w:rsidRPr="005F6D28" w:rsidRDefault="009E0BEE" w:rsidP="008B61FD">
            <w:pPr>
              <w:jc w:val="center"/>
              <w:rPr>
                <w:rFonts w:ascii="Arial" w:hAnsi="Arial" w:cs="Arial"/>
              </w:rPr>
            </w:pPr>
            <w:r w:rsidRPr="005F6D28">
              <w:rPr>
                <w:rFonts w:ascii="Arial" w:hAnsi="Arial" w:cs="Arial"/>
              </w:rPr>
              <w:t>148</w:t>
            </w:r>
          </w:p>
        </w:tc>
        <w:tc>
          <w:tcPr>
            <w:tcW w:w="1134" w:type="dxa"/>
          </w:tcPr>
          <w:p w14:paraId="707464BE" w14:textId="77777777" w:rsidR="009E0BEE" w:rsidRPr="005F6D28" w:rsidRDefault="009E0BEE" w:rsidP="008B61FD">
            <w:pPr>
              <w:jc w:val="center"/>
              <w:rPr>
                <w:rFonts w:ascii="Arial" w:hAnsi="Arial" w:cs="Arial"/>
              </w:rPr>
            </w:pPr>
            <w:r w:rsidRPr="005F6D28">
              <w:rPr>
                <w:rFonts w:ascii="Arial" w:hAnsi="Arial" w:cs="Arial"/>
              </w:rPr>
              <w:t>139</w:t>
            </w:r>
          </w:p>
        </w:tc>
      </w:tr>
      <w:tr w:rsidR="009E0BEE" w:rsidRPr="005F6D28" w14:paraId="15E0198A" w14:textId="77777777" w:rsidTr="008B61FD">
        <w:tc>
          <w:tcPr>
            <w:tcW w:w="4207" w:type="dxa"/>
          </w:tcPr>
          <w:p w14:paraId="735D8DDB" w14:textId="77777777" w:rsidR="009E0BEE" w:rsidRPr="005F6D28" w:rsidRDefault="009E0BEE" w:rsidP="008B61FD">
            <w:pPr>
              <w:rPr>
                <w:rFonts w:ascii="Arial" w:eastAsia="Calibri" w:hAnsi="Arial" w:cs="Arial"/>
                <w:b/>
                <w:bCs/>
                <w:lang w:eastAsia="en-GB"/>
              </w:rPr>
            </w:pPr>
            <w:r w:rsidRPr="005F6D28">
              <w:rPr>
                <w:rFonts w:ascii="Arial" w:eastAsia="Calibri" w:hAnsi="Arial" w:cs="Arial"/>
                <w:b/>
                <w:bCs/>
                <w:lang w:eastAsia="en-GB"/>
              </w:rPr>
              <w:t>Sessions lost to suspension (SEND)</w:t>
            </w:r>
          </w:p>
        </w:tc>
        <w:tc>
          <w:tcPr>
            <w:tcW w:w="1134" w:type="dxa"/>
          </w:tcPr>
          <w:p w14:paraId="6717F328" w14:textId="77777777" w:rsidR="009E0BEE" w:rsidRPr="005F6D28" w:rsidRDefault="009E0BEE" w:rsidP="008B61FD">
            <w:pPr>
              <w:jc w:val="center"/>
              <w:rPr>
                <w:rFonts w:ascii="Arial" w:hAnsi="Arial" w:cs="Arial"/>
              </w:rPr>
            </w:pPr>
            <w:r w:rsidRPr="005F6D28">
              <w:rPr>
                <w:rFonts w:ascii="Arial" w:hAnsi="Arial" w:cs="Arial"/>
              </w:rPr>
              <w:t>109</w:t>
            </w:r>
          </w:p>
        </w:tc>
        <w:tc>
          <w:tcPr>
            <w:tcW w:w="1134" w:type="dxa"/>
          </w:tcPr>
          <w:p w14:paraId="1CD83540" w14:textId="77777777" w:rsidR="009E0BEE" w:rsidRPr="005F6D28" w:rsidRDefault="009E0BEE" w:rsidP="008B61FD">
            <w:pPr>
              <w:jc w:val="center"/>
              <w:rPr>
                <w:rFonts w:ascii="Arial" w:hAnsi="Arial" w:cs="Arial"/>
              </w:rPr>
            </w:pPr>
            <w:r w:rsidRPr="005F6D28">
              <w:rPr>
                <w:rFonts w:ascii="Arial" w:hAnsi="Arial" w:cs="Arial"/>
              </w:rPr>
              <w:t>103</w:t>
            </w:r>
          </w:p>
        </w:tc>
        <w:tc>
          <w:tcPr>
            <w:tcW w:w="1134" w:type="dxa"/>
          </w:tcPr>
          <w:p w14:paraId="2D7FAB6C" w14:textId="77777777" w:rsidR="009E0BEE" w:rsidRPr="005F6D28" w:rsidRDefault="009E0BEE" w:rsidP="008B61FD">
            <w:pPr>
              <w:jc w:val="center"/>
              <w:rPr>
                <w:rFonts w:ascii="Arial" w:hAnsi="Arial" w:cs="Arial"/>
              </w:rPr>
            </w:pPr>
            <w:r w:rsidRPr="005F6D28">
              <w:rPr>
                <w:rFonts w:ascii="Arial" w:hAnsi="Arial" w:cs="Arial"/>
              </w:rPr>
              <w:t>100</w:t>
            </w:r>
          </w:p>
        </w:tc>
      </w:tr>
      <w:tr w:rsidR="009E0BEE" w:rsidRPr="005F6D28" w14:paraId="6DBA4EBE" w14:textId="77777777" w:rsidTr="008B61FD">
        <w:tc>
          <w:tcPr>
            <w:tcW w:w="4207" w:type="dxa"/>
          </w:tcPr>
          <w:p w14:paraId="51408BAA" w14:textId="77777777" w:rsidR="009E0BEE" w:rsidRPr="005F6D28" w:rsidRDefault="009E0BEE" w:rsidP="008B61FD">
            <w:pPr>
              <w:rPr>
                <w:rFonts w:ascii="Arial" w:eastAsia="Calibri" w:hAnsi="Arial" w:cs="Arial"/>
                <w:b/>
                <w:bCs/>
                <w:lang w:eastAsia="en-GB"/>
              </w:rPr>
            </w:pPr>
            <w:r w:rsidRPr="005F6D28">
              <w:rPr>
                <w:rFonts w:ascii="Arial" w:eastAsia="Calibri" w:hAnsi="Arial" w:cs="Arial"/>
                <w:b/>
                <w:bCs/>
                <w:lang w:eastAsia="en-GB"/>
              </w:rPr>
              <w:t>Permanent exclusions</w:t>
            </w:r>
          </w:p>
        </w:tc>
        <w:tc>
          <w:tcPr>
            <w:tcW w:w="1134" w:type="dxa"/>
          </w:tcPr>
          <w:p w14:paraId="343ACC01" w14:textId="77777777" w:rsidR="009E0BEE" w:rsidRPr="005F6D28" w:rsidRDefault="009E0BEE" w:rsidP="008B61FD">
            <w:pPr>
              <w:jc w:val="center"/>
              <w:rPr>
                <w:rFonts w:ascii="Arial" w:hAnsi="Arial" w:cs="Arial"/>
                <w:highlight w:val="yellow"/>
              </w:rPr>
            </w:pPr>
            <w:r w:rsidRPr="005F6D28">
              <w:rPr>
                <w:rFonts w:ascii="Arial" w:hAnsi="Arial" w:cs="Arial"/>
              </w:rPr>
              <w:t>0</w:t>
            </w:r>
          </w:p>
        </w:tc>
        <w:tc>
          <w:tcPr>
            <w:tcW w:w="1134" w:type="dxa"/>
          </w:tcPr>
          <w:p w14:paraId="4EB114A2" w14:textId="77777777" w:rsidR="009E0BEE" w:rsidRPr="005F6D28" w:rsidRDefault="009E0BEE" w:rsidP="008B61FD">
            <w:pPr>
              <w:jc w:val="center"/>
              <w:rPr>
                <w:rFonts w:ascii="Arial" w:hAnsi="Arial" w:cs="Arial"/>
              </w:rPr>
            </w:pPr>
            <w:r w:rsidRPr="005F6D28">
              <w:rPr>
                <w:rFonts w:ascii="Arial" w:hAnsi="Arial" w:cs="Arial"/>
              </w:rPr>
              <w:t>0</w:t>
            </w:r>
          </w:p>
        </w:tc>
        <w:tc>
          <w:tcPr>
            <w:tcW w:w="1134" w:type="dxa"/>
          </w:tcPr>
          <w:p w14:paraId="7A71759F" w14:textId="77777777" w:rsidR="009E0BEE" w:rsidRPr="005F6D28" w:rsidRDefault="009E0BEE" w:rsidP="008B61FD">
            <w:pPr>
              <w:jc w:val="center"/>
              <w:rPr>
                <w:rFonts w:ascii="Arial" w:hAnsi="Arial" w:cs="Arial"/>
              </w:rPr>
            </w:pPr>
            <w:r w:rsidRPr="005F6D28">
              <w:rPr>
                <w:rFonts w:ascii="Arial" w:hAnsi="Arial" w:cs="Arial"/>
              </w:rPr>
              <w:t>0</w:t>
            </w:r>
          </w:p>
        </w:tc>
      </w:tr>
    </w:tbl>
    <w:p w14:paraId="1F6BC424" w14:textId="77777777" w:rsidR="009E0BEE" w:rsidRPr="005F6D28" w:rsidRDefault="009E0BEE" w:rsidP="009E0BEE">
      <w:pPr>
        <w:rPr>
          <w:rFonts w:ascii="Arial" w:hAnsi="Arial" w:cs="Arial"/>
          <w:color w:val="FF0000"/>
        </w:rPr>
      </w:pPr>
      <w:r w:rsidRPr="005F6D28">
        <w:rPr>
          <w:rFonts w:ascii="Arial" w:hAnsi="Arial" w:cs="Arial"/>
          <w:bCs/>
        </w:rPr>
        <w:t>*This year included partial closure</w:t>
      </w:r>
    </w:p>
    <w:p w14:paraId="045048F6" w14:textId="77777777" w:rsidR="009E0BEE" w:rsidRPr="005F6D28" w:rsidRDefault="009E0BEE" w:rsidP="009E0BEE">
      <w:pPr>
        <w:rPr>
          <w:rFonts w:ascii="Arial" w:hAnsi="Arial" w:cs="Arial"/>
          <w:color w:val="FF0000"/>
        </w:rPr>
      </w:pPr>
      <w:r w:rsidRPr="005F6D28">
        <w:rPr>
          <w:rFonts w:ascii="Arial" w:hAnsi="Arial" w:cs="Arial"/>
          <w:b/>
        </w:rPr>
        <w:t xml:space="preserve">Referrals to Compass Centre </w:t>
      </w:r>
    </w:p>
    <w:tbl>
      <w:tblPr>
        <w:tblStyle w:val="TableGrid"/>
        <w:tblW w:w="6578" w:type="dxa"/>
        <w:tblLook w:val="04A0" w:firstRow="1" w:lastRow="0" w:firstColumn="1" w:lastColumn="0" w:noHBand="0" w:noVBand="1"/>
      </w:tblPr>
      <w:tblGrid>
        <w:gridCol w:w="1134"/>
        <w:gridCol w:w="1361"/>
        <w:gridCol w:w="1361"/>
        <w:gridCol w:w="1361"/>
        <w:gridCol w:w="1361"/>
      </w:tblGrid>
      <w:tr w:rsidR="009E0BEE" w:rsidRPr="005F6D28" w14:paraId="6E35DABE" w14:textId="77777777" w:rsidTr="009E0BEE">
        <w:tc>
          <w:tcPr>
            <w:tcW w:w="1134" w:type="dxa"/>
          </w:tcPr>
          <w:p w14:paraId="170BBB78" w14:textId="77777777" w:rsidR="009E0BEE" w:rsidRPr="005F6D28" w:rsidRDefault="009E0BEE" w:rsidP="008B61FD">
            <w:pPr>
              <w:rPr>
                <w:rFonts w:ascii="Arial" w:hAnsi="Arial" w:cs="Arial"/>
                <w:b/>
              </w:rPr>
            </w:pPr>
          </w:p>
        </w:tc>
        <w:tc>
          <w:tcPr>
            <w:tcW w:w="1361" w:type="dxa"/>
          </w:tcPr>
          <w:p w14:paraId="3823A39D" w14:textId="77777777" w:rsidR="009E0BEE" w:rsidRPr="005F6D28" w:rsidRDefault="009E0BEE" w:rsidP="008B61FD">
            <w:pPr>
              <w:rPr>
                <w:rFonts w:ascii="Arial" w:hAnsi="Arial" w:cs="Arial"/>
                <w:b/>
              </w:rPr>
            </w:pPr>
            <w:r w:rsidRPr="005F6D28">
              <w:rPr>
                <w:rFonts w:ascii="Arial" w:hAnsi="Arial" w:cs="Arial"/>
                <w:b/>
              </w:rPr>
              <w:t>Term 1</w:t>
            </w:r>
          </w:p>
        </w:tc>
        <w:tc>
          <w:tcPr>
            <w:tcW w:w="1361" w:type="dxa"/>
          </w:tcPr>
          <w:p w14:paraId="4A48A0A4" w14:textId="77777777" w:rsidR="009E0BEE" w:rsidRPr="005F6D28" w:rsidRDefault="009E0BEE" w:rsidP="008B61FD">
            <w:pPr>
              <w:rPr>
                <w:rFonts w:ascii="Arial" w:hAnsi="Arial" w:cs="Arial"/>
                <w:b/>
              </w:rPr>
            </w:pPr>
            <w:r w:rsidRPr="005F6D28">
              <w:rPr>
                <w:rFonts w:ascii="Arial" w:hAnsi="Arial" w:cs="Arial"/>
                <w:b/>
              </w:rPr>
              <w:t>Term 2</w:t>
            </w:r>
          </w:p>
        </w:tc>
        <w:tc>
          <w:tcPr>
            <w:tcW w:w="1361" w:type="dxa"/>
          </w:tcPr>
          <w:p w14:paraId="5F478EEA" w14:textId="77777777" w:rsidR="009E0BEE" w:rsidRPr="005F6D28" w:rsidRDefault="009E0BEE" w:rsidP="008B61FD">
            <w:pPr>
              <w:rPr>
                <w:rFonts w:ascii="Arial" w:hAnsi="Arial" w:cs="Arial"/>
                <w:b/>
              </w:rPr>
            </w:pPr>
            <w:r w:rsidRPr="005F6D28">
              <w:rPr>
                <w:rFonts w:ascii="Arial" w:hAnsi="Arial" w:cs="Arial"/>
                <w:b/>
              </w:rPr>
              <w:t xml:space="preserve">Term 3    </w:t>
            </w:r>
          </w:p>
        </w:tc>
        <w:tc>
          <w:tcPr>
            <w:tcW w:w="1361" w:type="dxa"/>
          </w:tcPr>
          <w:p w14:paraId="574290F5" w14:textId="77777777" w:rsidR="009E0BEE" w:rsidRPr="005F6D28" w:rsidRDefault="009E0BEE" w:rsidP="008B61FD">
            <w:pPr>
              <w:rPr>
                <w:rFonts w:ascii="Arial" w:hAnsi="Arial" w:cs="Arial"/>
                <w:b/>
              </w:rPr>
            </w:pPr>
            <w:r w:rsidRPr="005F6D28">
              <w:rPr>
                <w:rFonts w:ascii="Arial" w:hAnsi="Arial" w:cs="Arial"/>
                <w:b/>
              </w:rPr>
              <w:t>Term 4</w:t>
            </w:r>
          </w:p>
        </w:tc>
      </w:tr>
      <w:tr w:rsidR="009E0BEE" w:rsidRPr="005F6D28" w14:paraId="17707DA5" w14:textId="77777777" w:rsidTr="009E0BEE">
        <w:tc>
          <w:tcPr>
            <w:tcW w:w="1134" w:type="dxa"/>
          </w:tcPr>
          <w:p w14:paraId="2315A36F" w14:textId="77777777" w:rsidR="009E0BEE" w:rsidRPr="005F6D28" w:rsidRDefault="009E0BEE" w:rsidP="008B61FD">
            <w:pPr>
              <w:rPr>
                <w:rFonts w:ascii="Arial" w:hAnsi="Arial" w:cs="Arial"/>
                <w:b/>
              </w:rPr>
            </w:pPr>
            <w:bookmarkStart w:id="0" w:name="_Hlk132792329"/>
            <w:r w:rsidRPr="005F6D28">
              <w:rPr>
                <w:rFonts w:ascii="Arial" w:hAnsi="Arial" w:cs="Arial"/>
                <w:b/>
              </w:rPr>
              <w:t>Year 5</w:t>
            </w:r>
          </w:p>
        </w:tc>
        <w:tc>
          <w:tcPr>
            <w:tcW w:w="1361" w:type="dxa"/>
          </w:tcPr>
          <w:p w14:paraId="102BAF45" w14:textId="77777777" w:rsidR="009E0BEE" w:rsidRPr="005F6D28" w:rsidRDefault="009E0BEE" w:rsidP="008B61FD">
            <w:pPr>
              <w:jc w:val="center"/>
              <w:rPr>
                <w:rFonts w:ascii="Arial" w:hAnsi="Arial" w:cs="Arial"/>
              </w:rPr>
            </w:pPr>
            <w:r w:rsidRPr="005F6D28">
              <w:rPr>
                <w:rFonts w:ascii="Arial" w:hAnsi="Arial" w:cs="Arial"/>
              </w:rPr>
              <w:t>13</w:t>
            </w:r>
          </w:p>
        </w:tc>
        <w:tc>
          <w:tcPr>
            <w:tcW w:w="1361" w:type="dxa"/>
          </w:tcPr>
          <w:p w14:paraId="76EFAAA7" w14:textId="77777777" w:rsidR="009E0BEE" w:rsidRPr="005F6D28" w:rsidRDefault="009E0BEE" w:rsidP="008B61FD">
            <w:pPr>
              <w:jc w:val="center"/>
              <w:rPr>
                <w:rFonts w:ascii="Arial" w:hAnsi="Arial" w:cs="Arial"/>
              </w:rPr>
            </w:pPr>
            <w:r w:rsidRPr="005F6D28">
              <w:rPr>
                <w:rFonts w:ascii="Arial" w:hAnsi="Arial" w:cs="Arial"/>
              </w:rPr>
              <w:t>23</w:t>
            </w:r>
          </w:p>
        </w:tc>
        <w:tc>
          <w:tcPr>
            <w:tcW w:w="1361" w:type="dxa"/>
          </w:tcPr>
          <w:p w14:paraId="6372B889" w14:textId="77777777" w:rsidR="009E0BEE" w:rsidRPr="005F6D28" w:rsidRDefault="009E0BEE" w:rsidP="008B61FD">
            <w:pPr>
              <w:jc w:val="center"/>
              <w:rPr>
                <w:rFonts w:ascii="Arial" w:hAnsi="Arial" w:cs="Arial"/>
              </w:rPr>
            </w:pPr>
            <w:r w:rsidRPr="005F6D28">
              <w:rPr>
                <w:rFonts w:ascii="Arial" w:hAnsi="Arial" w:cs="Arial"/>
              </w:rPr>
              <w:t>14</w:t>
            </w:r>
          </w:p>
        </w:tc>
        <w:tc>
          <w:tcPr>
            <w:tcW w:w="1361" w:type="dxa"/>
          </w:tcPr>
          <w:p w14:paraId="431E40F4" w14:textId="77777777" w:rsidR="009E0BEE" w:rsidRPr="005F6D28" w:rsidRDefault="009E0BEE" w:rsidP="008B61FD">
            <w:pPr>
              <w:jc w:val="center"/>
              <w:rPr>
                <w:rFonts w:ascii="Arial" w:hAnsi="Arial" w:cs="Arial"/>
              </w:rPr>
            </w:pPr>
            <w:r w:rsidRPr="005F6D28">
              <w:rPr>
                <w:rFonts w:ascii="Arial" w:hAnsi="Arial" w:cs="Arial"/>
              </w:rPr>
              <w:t>21</w:t>
            </w:r>
          </w:p>
        </w:tc>
      </w:tr>
      <w:bookmarkEnd w:id="0"/>
      <w:tr w:rsidR="009E0BEE" w:rsidRPr="005F6D28" w14:paraId="06021C99" w14:textId="77777777" w:rsidTr="009E0BEE">
        <w:tc>
          <w:tcPr>
            <w:tcW w:w="1134" w:type="dxa"/>
          </w:tcPr>
          <w:p w14:paraId="5190EF98" w14:textId="77777777" w:rsidR="009E0BEE" w:rsidRPr="005F6D28" w:rsidRDefault="009E0BEE" w:rsidP="008B61FD">
            <w:pPr>
              <w:rPr>
                <w:rFonts w:ascii="Arial" w:hAnsi="Arial" w:cs="Arial"/>
                <w:b/>
              </w:rPr>
            </w:pPr>
            <w:r w:rsidRPr="005F6D28">
              <w:rPr>
                <w:rFonts w:ascii="Arial" w:hAnsi="Arial" w:cs="Arial"/>
                <w:b/>
              </w:rPr>
              <w:t>Year 6</w:t>
            </w:r>
          </w:p>
        </w:tc>
        <w:tc>
          <w:tcPr>
            <w:tcW w:w="1361" w:type="dxa"/>
          </w:tcPr>
          <w:p w14:paraId="40446D17" w14:textId="77777777" w:rsidR="009E0BEE" w:rsidRPr="005F6D28" w:rsidRDefault="009E0BEE" w:rsidP="008B61FD">
            <w:pPr>
              <w:jc w:val="center"/>
              <w:rPr>
                <w:rFonts w:ascii="Arial" w:hAnsi="Arial" w:cs="Arial"/>
              </w:rPr>
            </w:pPr>
            <w:r w:rsidRPr="005F6D28">
              <w:rPr>
                <w:rFonts w:ascii="Arial" w:hAnsi="Arial" w:cs="Arial"/>
              </w:rPr>
              <w:t>32</w:t>
            </w:r>
          </w:p>
        </w:tc>
        <w:tc>
          <w:tcPr>
            <w:tcW w:w="1361" w:type="dxa"/>
          </w:tcPr>
          <w:p w14:paraId="1C19E127" w14:textId="77777777" w:rsidR="009E0BEE" w:rsidRPr="005F6D28" w:rsidRDefault="009E0BEE" w:rsidP="008B61FD">
            <w:pPr>
              <w:jc w:val="center"/>
              <w:rPr>
                <w:rFonts w:ascii="Arial" w:hAnsi="Arial" w:cs="Arial"/>
              </w:rPr>
            </w:pPr>
            <w:r w:rsidRPr="005F6D28">
              <w:rPr>
                <w:rFonts w:ascii="Arial" w:hAnsi="Arial" w:cs="Arial"/>
              </w:rPr>
              <w:t>27</w:t>
            </w:r>
          </w:p>
        </w:tc>
        <w:tc>
          <w:tcPr>
            <w:tcW w:w="1361" w:type="dxa"/>
          </w:tcPr>
          <w:p w14:paraId="27DF47D2" w14:textId="77777777" w:rsidR="009E0BEE" w:rsidRPr="005F6D28" w:rsidRDefault="009E0BEE" w:rsidP="008B61FD">
            <w:pPr>
              <w:jc w:val="center"/>
              <w:rPr>
                <w:rFonts w:ascii="Arial" w:hAnsi="Arial" w:cs="Arial"/>
              </w:rPr>
            </w:pPr>
            <w:r w:rsidRPr="005F6D28">
              <w:rPr>
                <w:rFonts w:ascii="Arial" w:hAnsi="Arial" w:cs="Arial"/>
              </w:rPr>
              <w:t>19</w:t>
            </w:r>
          </w:p>
        </w:tc>
        <w:tc>
          <w:tcPr>
            <w:tcW w:w="1361" w:type="dxa"/>
          </w:tcPr>
          <w:p w14:paraId="3BD31509" w14:textId="77777777" w:rsidR="009E0BEE" w:rsidRPr="005F6D28" w:rsidRDefault="009E0BEE" w:rsidP="008B61FD">
            <w:pPr>
              <w:jc w:val="center"/>
              <w:rPr>
                <w:rFonts w:ascii="Arial" w:hAnsi="Arial" w:cs="Arial"/>
              </w:rPr>
            </w:pPr>
            <w:r w:rsidRPr="005F6D28">
              <w:rPr>
                <w:rFonts w:ascii="Arial" w:hAnsi="Arial" w:cs="Arial"/>
              </w:rPr>
              <w:t>24</w:t>
            </w:r>
          </w:p>
        </w:tc>
      </w:tr>
      <w:tr w:rsidR="009E0BEE" w:rsidRPr="005F6D28" w14:paraId="7D364C55" w14:textId="77777777" w:rsidTr="009E0BEE">
        <w:tc>
          <w:tcPr>
            <w:tcW w:w="1134" w:type="dxa"/>
          </w:tcPr>
          <w:p w14:paraId="1A0FBF59" w14:textId="77777777" w:rsidR="009E0BEE" w:rsidRPr="005F6D28" w:rsidRDefault="009E0BEE" w:rsidP="008B61FD">
            <w:pPr>
              <w:rPr>
                <w:rFonts w:ascii="Arial" w:hAnsi="Arial" w:cs="Arial"/>
                <w:b/>
              </w:rPr>
            </w:pPr>
            <w:r w:rsidRPr="005F6D28">
              <w:rPr>
                <w:rFonts w:ascii="Arial" w:hAnsi="Arial" w:cs="Arial"/>
                <w:b/>
              </w:rPr>
              <w:t>Year 7</w:t>
            </w:r>
          </w:p>
        </w:tc>
        <w:tc>
          <w:tcPr>
            <w:tcW w:w="1361" w:type="dxa"/>
          </w:tcPr>
          <w:p w14:paraId="692C81C9" w14:textId="77777777" w:rsidR="009E0BEE" w:rsidRPr="005F6D28" w:rsidRDefault="009E0BEE" w:rsidP="008B61FD">
            <w:pPr>
              <w:jc w:val="center"/>
              <w:rPr>
                <w:rFonts w:ascii="Arial" w:hAnsi="Arial" w:cs="Arial"/>
              </w:rPr>
            </w:pPr>
            <w:r w:rsidRPr="005F6D28">
              <w:rPr>
                <w:rFonts w:ascii="Arial" w:hAnsi="Arial" w:cs="Arial"/>
              </w:rPr>
              <w:t>36</w:t>
            </w:r>
          </w:p>
        </w:tc>
        <w:tc>
          <w:tcPr>
            <w:tcW w:w="1361" w:type="dxa"/>
          </w:tcPr>
          <w:p w14:paraId="6B7BEEA8" w14:textId="77777777" w:rsidR="009E0BEE" w:rsidRPr="005F6D28" w:rsidRDefault="009E0BEE" w:rsidP="008B61FD">
            <w:pPr>
              <w:jc w:val="center"/>
              <w:rPr>
                <w:rFonts w:ascii="Arial" w:hAnsi="Arial" w:cs="Arial"/>
              </w:rPr>
            </w:pPr>
            <w:r w:rsidRPr="005F6D28">
              <w:rPr>
                <w:rFonts w:ascii="Arial" w:hAnsi="Arial" w:cs="Arial"/>
              </w:rPr>
              <w:t>40</w:t>
            </w:r>
          </w:p>
        </w:tc>
        <w:tc>
          <w:tcPr>
            <w:tcW w:w="1361" w:type="dxa"/>
          </w:tcPr>
          <w:p w14:paraId="0C7F9FCA" w14:textId="77777777" w:rsidR="009E0BEE" w:rsidRPr="005F6D28" w:rsidRDefault="009E0BEE" w:rsidP="008B61FD">
            <w:pPr>
              <w:jc w:val="center"/>
              <w:rPr>
                <w:rFonts w:ascii="Arial" w:hAnsi="Arial" w:cs="Arial"/>
              </w:rPr>
            </w:pPr>
            <w:r w:rsidRPr="005F6D28">
              <w:rPr>
                <w:rFonts w:ascii="Arial" w:hAnsi="Arial" w:cs="Arial"/>
              </w:rPr>
              <w:t>22</w:t>
            </w:r>
          </w:p>
        </w:tc>
        <w:tc>
          <w:tcPr>
            <w:tcW w:w="1361" w:type="dxa"/>
          </w:tcPr>
          <w:p w14:paraId="1721CC7F" w14:textId="77777777" w:rsidR="009E0BEE" w:rsidRPr="005F6D28" w:rsidRDefault="009E0BEE" w:rsidP="008B61FD">
            <w:pPr>
              <w:jc w:val="center"/>
              <w:rPr>
                <w:rFonts w:ascii="Arial" w:hAnsi="Arial" w:cs="Arial"/>
              </w:rPr>
            </w:pPr>
            <w:r w:rsidRPr="005F6D28">
              <w:rPr>
                <w:rFonts w:ascii="Arial" w:hAnsi="Arial" w:cs="Arial"/>
              </w:rPr>
              <w:t>40</w:t>
            </w:r>
          </w:p>
        </w:tc>
      </w:tr>
      <w:tr w:rsidR="009E0BEE" w:rsidRPr="005F6D28" w14:paraId="1DFD8687" w14:textId="77777777" w:rsidTr="009E0BEE">
        <w:tc>
          <w:tcPr>
            <w:tcW w:w="1134" w:type="dxa"/>
          </w:tcPr>
          <w:p w14:paraId="271B53EA" w14:textId="77777777" w:rsidR="009E0BEE" w:rsidRPr="005F6D28" w:rsidRDefault="009E0BEE" w:rsidP="008B61FD">
            <w:pPr>
              <w:rPr>
                <w:rFonts w:ascii="Arial" w:hAnsi="Arial" w:cs="Arial"/>
                <w:b/>
              </w:rPr>
            </w:pPr>
            <w:r w:rsidRPr="005F6D28">
              <w:rPr>
                <w:rFonts w:ascii="Arial" w:hAnsi="Arial" w:cs="Arial"/>
                <w:b/>
              </w:rPr>
              <w:t>Year 8</w:t>
            </w:r>
          </w:p>
        </w:tc>
        <w:tc>
          <w:tcPr>
            <w:tcW w:w="1361" w:type="dxa"/>
          </w:tcPr>
          <w:p w14:paraId="5E6EF55F" w14:textId="77777777" w:rsidR="009E0BEE" w:rsidRPr="005F6D28" w:rsidRDefault="009E0BEE" w:rsidP="008B61FD">
            <w:pPr>
              <w:jc w:val="center"/>
              <w:rPr>
                <w:rFonts w:ascii="Arial" w:hAnsi="Arial" w:cs="Arial"/>
              </w:rPr>
            </w:pPr>
            <w:r w:rsidRPr="005F6D28">
              <w:rPr>
                <w:rFonts w:ascii="Arial" w:hAnsi="Arial" w:cs="Arial"/>
              </w:rPr>
              <w:t>52</w:t>
            </w:r>
          </w:p>
        </w:tc>
        <w:tc>
          <w:tcPr>
            <w:tcW w:w="1361" w:type="dxa"/>
          </w:tcPr>
          <w:p w14:paraId="61C834A5" w14:textId="77777777" w:rsidR="009E0BEE" w:rsidRPr="005F6D28" w:rsidRDefault="009E0BEE" w:rsidP="008B61FD">
            <w:pPr>
              <w:jc w:val="center"/>
              <w:rPr>
                <w:rFonts w:ascii="Arial" w:hAnsi="Arial" w:cs="Arial"/>
              </w:rPr>
            </w:pPr>
            <w:r w:rsidRPr="005F6D28">
              <w:rPr>
                <w:rFonts w:ascii="Arial" w:hAnsi="Arial" w:cs="Arial"/>
              </w:rPr>
              <w:t>39</w:t>
            </w:r>
          </w:p>
        </w:tc>
        <w:tc>
          <w:tcPr>
            <w:tcW w:w="1361" w:type="dxa"/>
          </w:tcPr>
          <w:p w14:paraId="589896CD" w14:textId="77777777" w:rsidR="009E0BEE" w:rsidRPr="005F6D28" w:rsidRDefault="009E0BEE" w:rsidP="008B61FD">
            <w:pPr>
              <w:jc w:val="center"/>
              <w:rPr>
                <w:rFonts w:ascii="Arial" w:hAnsi="Arial" w:cs="Arial"/>
              </w:rPr>
            </w:pPr>
            <w:r w:rsidRPr="005F6D28">
              <w:rPr>
                <w:rFonts w:ascii="Arial" w:hAnsi="Arial" w:cs="Arial"/>
              </w:rPr>
              <w:t>30</w:t>
            </w:r>
          </w:p>
        </w:tc>
        <w:tc>
          <w:tcPr>
            <w:tcW w:w="1361" w:type="dxa"/>
          </w:tcPr>
          <w:p w14:paraId="70DE0FC9" w14:textId="77777777" w:rsidR="009E0BEE" w:rsidRPr="005F6D28" w:rsidRDefault="009E0BEE" w:rsidP="008B61FD">
            <w:pPr>
              <w:jc w:val="center"/>
              <w:rPr>
                <w:rFonts w:ascii="Arial" w:hAnsi="Arial" w:cs="Arial"/>
              </w:rPr>
            </w:pPr>
            <w:r w:rsidRPr="005F6D28">
              <w:rPr>
                <w:rFonts w:ascii="Arial" w:hAnsi="Arial" w:cs="Arial"/>
              </w:rPr>
              <w:t xml:space="preserve"> 31</w:t>
            </w:r>
          </w:p>
        </w:tc>
      </w:tr>
      <w:tr w:rsidR="009E0BEE" w:rsidRPr="005F6D28" w14:paraId="33B8ECCC" w14:textId="77777777" w:rsidTr="009E0BEE">
        <w:tc>
          <w:tcPr>
            <w:tcW w:w="1134" w:type="dxa"/>
          </w:tcPr>
          <w:p w14:paraId="221EBB9E" w14:textId="77777777" w:rsidR="009E0BEE" w:rsidRPr="005F6D28" w:rsidRDefault="009E0BEE" w:rsidP="008B61FD">
            <w:pPr>
              <w:rPr>
                <w:rFonts w:ascii="Arial" w:hAnsi="Arial" w:cs="Arial"/>
                <w:b/>
              </w:rPr>
            </w:pPr>
            <w:r w:rsidRPr="005F6D28">
              <w:rPr>
                <w:rFonts w:ascii="Arial" w:hAnsi="Arial" w:cs="Arial"/>
                <w:b/>
              </w:rPr>
              <w:t>Boys</w:t>
            </w:r>
          </w:p>
        </w:tc>
        <w:tc>
          <w:tcPr>
            <w:tcW w:w="1361" w:type="dxa"/>
          </w:tcPr>
          <w:p w14:paraId="10105652" w14:textId="77777777" w:rsidR="009E0BEE" w:rsidRPr="005F6D28" w:rsidRDefault="009E0BEE" w:rsidP="008B61FD">
            <w:pPr>
              <w:jc w:val="center"/>
              <w:rPr>
                <w:rFonts w:ascii="Arial" w:hAnsi="Arial" w:cs="Arial"/>
              </w:rPr>
            </w:pPr>
            <w:r w:rsidRPr="005F6D28">
              <w:rPr>
                <w:rFonts w:ascii="Arial" w:hAnsi="Arial" w:cs="Arial"/>
              </w:rPr>
              <w:t>49</w:t>
            </w:r>
          </w:p>
        </w:tc>
        <w:tc>
          <w:tcPr>
            <w:tcW w:w="1361" w:type="dxa"/>
          </w:tcPr>
          <w:p w14:paraId="5DCC4AEC" w14:textId="77777777" w:rsidR="009E0BEE" w:rsidRPr="005F6D28" w:rsidRDefault="009E0BEE" w:rsidP="008B61FD">
            <w:pPr>
              <w:jc w:val="center"/>
              <w:rPr>
                <w:rFonts w:ascii="Arial" w:hAnsi="Arial" w:cs="Arial"/>
              </w:rPr>
            </w:pPr>
            <w:r w:rsidRPr="005F6D28">
              <w:rPr>
                <w:rFonts w:ascii="Arial" w:hAnsi="Arial" w:cs="Arial"/>
              </w:rPr>
              <w:t>54</w:t>
            </w:r>
          </w:p>
        </w:tc>
        <w:tc>
          <w:tcPr>
            <w:tcW w:w="1361" w:type="dxa"/>
          </w:tcPr>
          <w:p w14:paraId="0163365A" w14:textId="77777777" w:rsidR="009E0BEE" w:rsidRPr="005F6D28" w:rsidRDefault="009E0BEE" w:rsidP="008B61FD">
            <w:pPr>
              <w:jc w:val="center"/>
              <w:rPr>
                <w:rFonts w:ascii="Arial" w:hAnsi="Arial" w:cs="Arial"/>
              </w:rPr>
            </w:pPr>
            <w:r w:rsidRPr="005F6D28">
              <w:rPr>
                <w:rFonts w:ascii="Arial" w:hAnsi="Arial" w:cs="Arial"/>
              </w:rPr>
              <w:t>31</w:t>
            </w:r>
          </w:p>
        </w:tc>
        <w:tc>
          <w:tcPr>
            <w:tcW w:w="1361" w:type="dxa"/>
          </w:tcPr>
          <w:p w14:paraId="5628BC69" w14:textId="77777777" w:rsidR="009E0BEE" w:rsidRPr="005F6D28" w:rsidRDefault="009E0BEE" w:rsidP="008B61FD">
            <w:pPr>
              <w:jc w:val="center"/>
              <w:rPr>
                <w:rFonts w:ascii="Arial" w:hAnsi="Arial" w:cs="Arial"/>
              </w:rPr>
            </w:pPr>
            <w:r w:rsidRPr="005F6D28">
              <w:rPr>
                <w:rFonts w:ascii="Arial" w:hAnsi="Arial" w:cs="Arial"/>
              </w:rPr>
              <w:t>37</w:t>
            </w:r>
          </w:p>
        </w:tc>
      </w:tr>
      <w:tr w:rsidR="009E0BEE" w:rsidRPr="005F6D28" w14:paraId="6852CCD2" w14:textId="77777777" w:rsidTr="009E0BEE">
        <w:tc>
          <w:tcPr>
            <w:tcW w:w="1134" w:type="dxa"/>
          </w:tcPr>
          <w:p w14:paraId="58612EB1" w14:textId="77777777" w:rsidR="009E0BEE" w:rsidRPr="005F6D28" w:rsidRDefault="009E0BEE" w:rsidP="008B61FD">
            <w:pPr>
              <w:rPr>
                <w:rFonts w:ascii="Arial" w:hAnsi="Arial" w:cs="Arial"/>
                <w:b/>
              </w:rPr>
            </w:pPr>
            <w:r w:rsidRPr="005F6D28">
              <w:rPr>
                <w:rFonts w:ascii="Arial" w:hAnsi="Arial" w:cs="Arial"/>
                <w:b/>
              </w:rPr>
              <w:t>Girls</w:t>
            </w:r>
          </w:p>
        </w:tc>
        <w:tc>
          <w:tcPr>
            <w:tcW w:w="1361" w:type="dxa"/>
          </w:tcPr>
          <w:p w14:paraId="23491B50" w14:textId="77777777" w:rsidR="009E0BEE" w:rsidRPr="005F6D28" w:rsidRDefault="009E0BEE" w:rsidP="008B61FD">
            <w:pPr>
              <w:jc w:val="center"/>
              <w:rPr>
                <w:rFonts w:ascii="Arial" w:hAnsi="Arial" w:cs="Arial"/>
                <w:b/>
                <w:bCs/>
              </w:rPr>
            </w:pPr>
            <w:r w:rsidRPr="005F6D28">
              <w:rPr>
                <w:rFonts w:ascii="Arial" w:hAnsi="Arial" w:cs="Arial"/>
              </w:rPr>
              <w:t>18</w:t>
            </w:r>
          </w:p>
        </w:tc>
        <w:tc>
          <w:tcPr>
            <w:tcW w:w="1361" w:type="dxa"/>
          </w:tcPr>
          <w:p w14:paraId="46A98BD4" w14:textId="77777777" w:rsidR="009E0BEE" w:rsidRPr="005F6D28" w:rsidRDefault="009E0BEE" w:rsidP="008B61FD">
            <w:pPr>
              <w:jc w:val="center"/>
              <w:rPr>
                <w:rFonts w:ascii="Arial" w:hAnsi="Arial" w:cs="Arial"/>
              </w:rPr>
            </w:pPr>
            <w:r w:rsidRPr="005F6D28">
              <w:rPr>
                <w:rFonts w:ascii="Arial" w:hAnsi="Arial" w:cs="Arial"/>
              </w:rPr>
              <w:t>27</w:t>
            </w:r>
          </w:p>
        </w:tc>
        <w:tc>
          <w:tcPr>
            <w:tcW w:w="1361" w:type="dxa"/>
          </w:tcPr>
          <w:p w14:paraId="71660D98" w14:textId="77777777" w:rsidR="009E0BEE" w:rsidRPr="005F6D28" w:rsidRDefault="009E0BEE" w:rsidP="008B61FD">
            <w:pPr>
              <w:jc w:val="center"/>
              <w:rPr>
                <w:rFonts w:ascii="Arial" w:hAnsi="Arial" w:cs="Arial"/>
              </w:rPr>
            </w:pPr>
            <w:r w:rsidRPr="005F6D28">
              <w:rPr>
                <w:rFonts w:ascii="Arial" w:hAnsi="Arial" w:cs="Arial"/>
              </w:rPr>
              <w:t>21</w:t>
            </w:r>
          </w:p>
        </w:tc>
        <w:tc>
          <w:tcPr>
            <w:tcW w:w="1361" w:type="dxa"/>
          </w:tcPr>
          <w:p w14:paraId="7324684B" w14:textId="77777777" w:rsidR="009E0BEE" w:rsidRPr="005F6D28" w:rsidRDefault="009E0BEE" w:rsidP="008B61FD">
            <w:pPr>
              <w:jc w:val="center"/>
              <w:rPr>
                <w:rFonts w:ascii="Arial" w:hAnsi="Arial" w:cs="Arial"/>
              </w:rPr>
            </w:pPr>
            <w:r w:rsidRPr="005F6D28">
              <w:rPr>
                <w:rFonts w:ascii="Arial" w:hAnsi="Arial" w:cs="Arial"/>
              </w:rPr>
              <w:t>26</w:t>
            </w:r>
          </w:p>
        </w:tc>
      </w:tr>
      <w:tr w:rsidR="009E0BEE" w:rsidRPr="005F6D28" w14:paraId="2C10F4F1" w14:textId="77777777" w:rsidTr="009E0BEE">
        <w:tc>
          <w:tcPr>
            <w:tcW w:w="1134" w:type="dxa"/>
          </w:tcPr>
          <w:p w14:paraId="4B88862E" w14:textId="77777777" w:rsidR="009E0BEE" w:rsidRPr="005F6D28" w:rsidRDefault="009E0BEE" w:rsidP="008B61FD">
            <w:pPr>
              <w:rPr>
                <w:rFonts w:ascii="Arial" w:hAnsi="Arial" w:cs="Arial"/>
                <w:b/>
              </w:rPr>
            </w:pPr>
            <w:r w:rsidRPr="005F6D28">
              <w:rPr>
                <w:rFonts w:ascii="Arial" w:hAnsi="Arial" w:cs="Arial"/>
                <w:b/>
              </w:rPr>
              <w:t>SEND</w:t>
            </w:r>
          </w:p>
        </w:tc>
        <w:tc>
          <w:tcPr>
            <w:tcW w:w="1361" w:type="dxa"/>
          </w:tcPr>
          <w:p w14:paraId="4F907025" w14:textId="77777777" w:rsidR="009E0BEE" w:rsidRPr="005F6D28" w:rsidRDefault="009E0BEE" w:rsidP="008B61FD">
            <w:pPr>
              <w:jc w:val="center"/>
              <w:rPr>
                <w:rFonts w:ascii="Arial" w:hAnsi="Arial" w:cs="Arial"/>
              </w:rPr>
            </w:pPr>
            <w:r w:rsidRPr="005F6D28">
              <w:rPr>
                <w:rFonts w:ascii="Arial" w:hAnsi="Arial" w:cs="Arial"/>
              </w:rPr>
              <w:t>64</w:t>
            </w:r>
          </w:p>
        </w:tc>
        <w:tc>
          <w:tcPr>
            <w:tcW w:w="1361" w:type="dxa"/>
          </w:tcPr>
          <w:p w14:paraId="732B28AF" w14:textId="77777777" w:rsidR="009E0BEE" w:rsidRPr="005F6D28" w:rsidRDefault="009E0BEE" w:rsidP="008B61FD">
            <w:pPr>
              <w:jc w:val="center"/>
              <w:rPr>
                <w:rFonts w:ascii="Arial" w:hAnsi="Arial" w:cs="Arial"/>
              </w:rPr>
            </w:pPr>
            <w:r w:rsidRPr="005F6D28">
              <w:rPr>
                <w:rFonts w:ascii="Arial" w:hAnsi="Arial" w:cs="Arial"/>
              </w:rPr>
              <w:t>61</w:t>
            </w:r>
          </w:p>
        </w:tc>
        <w:tc>
          <w:tcPr>
            <w:tcW w:w="1361" w:type="dxa"/>
          </w:tcPr>
          <w:p w14:paraId="59C4BB55" w14:textId="77777777" w:rsidR="009E0BEE" w:rsidRPr="005F6D28" w:rsidRDefault="009E0BEE" w:rsidP="008B61FD">
            <w:pPr>
              <w:jc w:val="center"/>
              <w:rPr>
                <w:rFonts w:ascii="Arial" w:hAnsi="Arial" w:cs="Arial"/>
              </w:rPr>
            </w:pPr>
            <w:r w:rsidRPr="005F6D28">
              <w:rPr>
                <w:rFonts w:ascii="Arial" w:hAnsi="Arial" w:cs="Arial"/>
              </w:rPr>
              <w:t>49</w:t>
            </w:r>
          </w:p>
        </w:tc>
        <w:tc>
          <w:tcPr>
            <w:tcW w:w="1361" w:type="dxa"/>
          </w:tcPr>
          <w:p w14:paraId="6B538C29" w14:textId="77777777" w:rsidR="009E0BEE" w:rsidRPr="005F6D28" w:rsidRDefault="009E0BEE" w:rsidP="008B61FD">
            <w:pPr>
              <w:jc w:val="center"/>
              <w:rPr>
                <w:rFonts w:ascii="Arial" w:hAnsi="Arial" w:cs="Arial"/>
              </w:rPr>
            </w:pPr>
            <w:r w:rsidRPr="005F6D28">
              <w:rPr>
                <w:rFonts w:ascii="Arial" w:hAnsi="Arial" w:cs="Arial"/>
              </w:rPr>
              <w:t>22</w:t>
            </w:r>
          </w:p>
        </w:tc>
      </w:tr>
      <w:tr w:rsidR="009E0BEE" w:rsidRPr="005F6D28" w14:paraId="35223082" w14:textId="77777777" w:rsidTr="009E0BEE">
        <w:tc>
          <w:tcPr>
            <w:tcW w:w="1134" w:type="dxa"/>
          </w:tcPr>
          <w:p w14:paraId="219189B5" w14:textId="77777777" w:rsidR="009E0BEE" w:rsidRPr="005F6D28" w:rsidRDefault="009E0BEE" w:rsidP="008B61FD">
            <w:pPr>
              <w:rPr>
                <w:rFonts w:ascii="Arial" w:hAnsi="Arial" w:cs="Arial"/>
                <w:b/>
              </w:rPr>
            </w:pPr>
            <w:r w:rsidRPr="005F6D28">
              <w:rPr>
                <w:rFonts w:ascii="Arial" w:hAnsi="Arial" w:cs="Arial"/>
                <w:b/>
              </w:rPr>
              <w:t>PP</w:t>
            </w:r>
          </w:p>
        </w:tc>
        <w:tc>
          <w:tcPr>
            <w:tcW w:w="1361" w:type="dxa"/>
          </w:tcPr>
          <w:p w14:paraId="675CBB85" w14:textId="77777777" w:rsidR="009E0BEE" w:rsidRPr="005F6D28" w:rsidRDefault="009E0BEE" w:rsidP="008B61FD">
            <w:pPr>
              <w:jc w:val="center"/>
              <w:rPr>
                <w:rFonts w:ascii="Arial" w:hAnsi="Arial" w:cs="Arial"/>
              </w:rPr>
            </w:pPr>
            <w:r w:rsidRPr="005F6D28">
              <w:rPr>
                <w:rFonts w:ascii="Arial" w:hAnsi="Arial" w:cs="Arial"/>
              </w:rPr>
              <w:t>75</w:t>
            </w:r>
          </w:p>
        </w:tc>
        <w:tc>
          <w:tcPr>
            <w:tcW w:w="1361" w:type="dxa"/>
          </w:tcPr>
          <w:p w14:paraId="6B92C431" w14:textId="77777777" w:rsidR="009E0BEE" w:rsidRPr="005F6D28" w:rsidRDefault="009E0BEE" w:rsidP="008B61FD">
            <w:pPr>
              <w:jc w:val="center"/>
              <w:rPr>
                <w:rFonts w:ascii="Arial" w:hAnsi="Arial" w:cs="Arial"/>
              </w:rPr>
            </w:pPr>
            <w:r w:rsidRPr="005F6D28">
              <w:rPr>
                <w:rFonts w:ascii="Arial" w:hAnsi="Arial" w:cs="Arial"/>
              </w:rPr>
              <w:t>79</w:t>
            </w:r>
          </w:p>
        </w:tc>
        <w:tc>
          <w:tcPr>
            <w:tcW w:w="1361" w:type="dxa"/>
          </w:tcPr>
          <w:p w14:paraId="787D74B3" w14:textId="77777777" w:rsidR="009E0BEE" w:rsidRPr="005F6D28" w:rsidRDefault="009E0BEE" w:rsidP="008B61FD">
            <w:pPr>
              <w:jc w:val="center"/>
              <w:rPr>
                <w:rFonts w:ascii="Arial" w:hAnsi="Arial" w:cs="Arial"/>
              </w:rPr>
            </w:pPr>
            <w:r w:rsidRPr="005F6D28">
              <w:rPr>
                <w:rFonts w:ascii="Arial" w:hAnsi="Arial" w:cs="Arial"/>
              </w:rPr>
              <w:t>52</w:t>
            </w:r>
          </w:p>
        </w:tc>
        <w:tc>
          <w:tcPr>
            <w:tcW w:w="1361" w:type="dxa"/>
          </w:tcPr>
          <w:p w14:paraId="7FF2DC40" w14:textId="77777777" w:rsidR="009E0BEE" w:rsidRPr="005F6D28" w:rsidRDefault="009E0BEE" w:rsidP="008B61FD">
            <w:pPr>
              <w:jc w:val="center"/>
              <w:rPr>
                <w:rFonts w:ascii="Arial" w:hAnsi="Arial" w:cs="Arial"/>
              </w:rPr>
            </w:pPr>
            <w:r w:rsidRPr="005F6D28">
              <w:rPr>
                <w:rFonts w:ascii="Arial" w:hAnsi="Arial" w:cs="Arial"/>
              </w:rPr>
              <w:t>30</w:t>
            </w:r>
          </w:p>
        </w:tc>
      </w:tr>
      <w:tr w:rsidR="009E0BEE" w:rsidRPr="005F6D28" w14:paraId="164AF36E" w14:textId="77777777" w:rsidTr="009E0BEE">
        <w:tc>
          <w:tcPr>
            <w:tcW w:w="1134" w:type="dxa"/>
          </w:tcPr>
          <w:p w14:paraId="7BABA884" w14:textId="77777777" w:rsidR="009E0BEE" w:rsidRPr="005F6D28" w:rsidRDefault="009E0BEE" w:rsidP="008B61FD">
            <w:pPr>
              <w:rPr>
                <w:rFonts w:ascii="Arial" w:hAnsi="Arial" w:cs="Arial"/>
                <w:b/>
              </w:rPr>
            </w:pPr>
            <w:r w:rsidRPr="005F6D28">
              <w:rPr>
                <w:rFonts w:ascii="Arial" w:hAnsi="Arial" w:cs="Arial"/>
                <w:b/>
              </w:rPr>
              <w:t>Total</w:t>
            </w:r>
          </w:p>
        </w:tc>
        <w:tc>
          <w:tcPr>
            <w:tcW w:w="1361" w:type="dxa"/>
          </w:tcPr>
          <w:p w14:paraId="036CC020" w14:textId="77777777" w:rsidR="009E0BEE" w:rsidRPr="005F6D28" w:rsidRDefault="009E0BEE" w:rsidP="008B61FD">
            <w:pPr>
              <w:jc w:val="center"/>
              <w:rPr>
                <w:rFonts w:ascii="Arial" w:hAnsi="Arial" w:cs="Arial"/>
              </w:rPr>
            </w:pPr>
            <w:r w:rsidRPr="005F6D28">
              <w:rPr>
                <w:rFonts w:ascii="Arial" w:hAnsi="Arial" w:cs="Arial"/>
              </w:rPr>
              <w:t>133</w:t>
            </w:r>
          </w:p>
        </w:tc>
        <w:tc>
          <w:tcPr>
            <w:tcW w:w="1361" w:type="dxa"/>
          </w:tcPr>
          <w:p w14:paraId="7E133BF3" w14:textId="77777777" w:rsidR="009E0BEE" w:rsidRPr="005F6D28" w:rsidRDefault="009E0BEE" w:rsidP="008B61FD">
            <w:pPr>
              <w:jc w:val="center"/>
              <w:rPr>
                <w:rFonts w:ascii="Arial" w:hAnsi="Arial" w:cs="Arial"/>
              </w:rPr>
            </w:pPr>
            <w:r w:rsidRPr="005F6D28">
              <w:rPr>
                <w:rFonts w:ascii="Arial" w:hAnsi="Arial" w:cs="Arial"/>
              </w:rPr>
              <w:t>129</w:t>
            </w:r>
          </w:p>
        </w:tc>
        <w:tc>
          <w:tcPr>
            <w:tcW w:w="1361" w:type="dxa"/>
          </w:tcPr>
          <w:p w14:paraId="42EFDF8D" w14:textId="77777777" w:rsidR="009E0BEE" w:rsidRPr="005F6D28" w:rsidRDefault="009E0BEE" w:rsidP="008B61FD">
            <w:pPr>
              <w:jc w:val="center"/>
              <w:rPr>
                <w:rFonts w:ascii="Arial" w:hAnsi="Arial" w:cs="Arial"/>
              </w:rPr>
            </w:pPr>
            <w:r w:rsidRPr="005F6D28">
              <w:rPr>
                <w:rFonts w:ascii="Arial" w:hAnsi="Arial" w:cs="Arial"/>
              </w:rPr>
              <w:t>85</w:t>
            </w:r>
          </w:p>
        </w:tc>
        <w:tc>
          <w:tcPr>
            <w:tcW w:w="1361" w:type="dxa"/>
          </w:tcPr>
          <w:p w14:paraId="075FEAE2" w14:textId="77777777" w:rsidR="009E0BEE" w:rsidRPr="005F6D28" w:rsidRDefault="009E0BEE" w:rsidP="008B61FD">
            <w:pPr>
              <w:jc w:val="center"/>
              <w:rPr>
                <w:rFonts w:ascii="Arial" w:hAnsi="Arial" w:cs="Arial"/>
              </w:rPr>
            </w:pPr>
            <w:r w:rsidRPr="005F6D28">
              <w:rPr>
                <w:rFonts w:ascii="Arial" w:hAnsi="Arial" w:cs="Arial"/>
              </w:rPr>
              <w:t>116</w:t>
            </w:r>
          </w:p>
        </w:tc>
      </w:tr>
    </w:tbl>
    <w:p w14:paraId="54697E01" w14:textId="77777777" w:rsidR="009E0BEE" w:rsidRDefault="009E0BEE" w:rsidP="009E0BEE">
      <w:pPr>
        <w:rPr>
          <w:rFonts w:ascii="Arial" w:hAnsi="Arial" w:cs="Arial"/>
        </w:rPr>
      </w:pPr>
    </w:p>
    <w:tbl>
      <w:tblPr>
        <w:tblStyle w:val="TableGrid"/>
        <w:tblW w:w="6890" w:type="dxa"/>
        <w:tblLook w:val="04A0" w:firstRow="1" w:lastRow="0" w:firstColumn="1" w:lastColumn="0" w:noHBand="0" w:noVBand="1"/>
      </w:tblPr>
      <w:tblGrid>
        <w:gridCol w:w="3670"/>
        <w:gridCol w:w="719"/>
        <w:gridCol w:w="834"/>
        <w:gridCol w:w="834"/>
        <w:gridCol w:w="833"/>
      </w:tblGrid>
      <w:tr w:rsidR="009E0BEE" w14:paraId="086B01C6" w14:textId="77777777" w:rsidTr="008B61FD">
        <w:tc>
          <w:tcPr>
            <w:tcW w:w="6890" w:type="dxa"/>
            <w:gridSpan w:val="5"/>
          </w:tcPr>
          <w:p w14:paraId="6E13CB4C" w14:textId="77777777" w:rsidR="009E0BEE" w:rsidRDefault="009E0BEE" w:rsidP="008B61FD">
            <w:pPr>
              <w:jc w:val="center"/>
            </w:pPr>
            <w:r>
              <w:t>Number of pupils sent to the Compass Centre - SEND</w:t>
            </w:r>
          </w:p>
        </w:tc>
      </w:tr>
      <w:tr w:rsidR="009E0BEE" w14:paraId="6AAFF054" w14:textId="77777777" w:rsidTr="008B61FD">
        <w:tc>
          <w:tcPr>
            <w:tcW w:w="3670" w:type="dxa"/>
          </w:tcPr>
          <w:p w14:paraId="0C2FB06C" w14:textId="77777777" w:rsidR="009E0BEE" w:rsidRDefault="009E0BEE" w:rsidP="008B61FD">
            <w:pPr>
              <w:tabs>
                <w:tab w:val="left" w:pos="1695"/>
              </w:tabs>
              <w:jc w:val="center"/>
            </w:pPr>
          </w:p>
        </w:tc>
        <w:tc>
          <w:tcPr>
            <w:tcW w:w="719" w:type="dxa"/>
          </w:tcPr>
          <w:p w14:paraId="1C8FC826" w14:textId="77777777" w:rsidR="009E0BEE" w:rsidRDefault="009E0BEE" w:rsidP="008B61FD">
            <w:pPr>
              <w:jc w:val="center"/>
            </w:pPr>
            <w:r>
              <w:t>T1</w:t>
            </w:r>
          </w:p>
        </w:tc>
        <w:tc>
          <w:tcPr>
            <w:tcW w:w="834" w:type="dxa"/>
          </w:tcPr>
          <w:p w14:paraId="52FE1406" w14:textId="77777777" w:rsidR="009E0BEE" w:rsidRDefault="009E0BEE" w:rsidP="008B61FD">
            <w:pPr>
              <w:jc w:val="center"/>
            </w:pPr>
            <w:r>
              <w:t>T2</w:t>
            </w:r>
          </w:p>
        </w:tc>
        <w:tc>
          <w:tcPr>
            <w:tcW w:w="834" w:type="dxa"/>
          </w:tcPr>
          <w:p w14:paraId="78530930" w14:textId="77777777" w:rsidR="009E0BEE" w:rsidRDefault="009E0BEE" w:rsidP="008B61FD">
            <w:pPr>
              <w:jc w:val="center"/>
            </w:pPr>
            <w:r>
              <w:t>T3</w:t>
            </w:r>
          </w:p>
        </w:tc>
        <w:tc>
          <w:tcPr>
            <w:tcW w:w="833" w:type="dxa"/>
          </w:tcPr>
          <w:p w14:paraId="24945C91" w14:textId="77777777" w:rsidR="009E0BEE" w:rsidRDefault="009E0BEE" w:rsidP="008B61FD">
            <w:pPr>
              <w:jc w:val="center"/>
            </w:pPr>
            <w:r>
              <w:t>T4</w:t>
            </w:r>
          </w:p>
        </w:tc>
      </w:tr>
      <w:tr w:rsidR="009E0BEE" w14:paraId="2412EDDE" w14:textId="77777777" w:rsidTr="008B61FD">
        <w:tc>
          <w:tcPr>
            <w:tcW w:w="3670" w:type="dxa"/>
          </w:tcPr>
          <w:p w14:paraId="7AA3B58E" w14:textId="77777777" w:rsidR="009E0BEE" w:rsidRDefault="009E0BEE" w:rsidP="008B61FD">
            <w:pPr>
              <w:tabs>
                <w:tab w:val="left" w:pos="1695"/>
              </w:tabs>
              <w:jc w:val="center"/>
            </w:pPr>
            <w:r>
              <w:t xml:space="preserve">Year 5 </w:t>
            </w:r>
          </w:p>
        </w:tc>
        <w:tc>
          <w:tcPr>
            <w:tcW w:w="719" w:type="dxa"/>
          </w:tcPr>
          <w:p w14:paraId="75791021" w14:textId="77777777" w:rsidR="009E0BEE" w:rsidRDefault="009E0BEE" w:rsidP="008B61FD">
            <w:pPr>
              <w:jc w:val="center"/>
            </w:pPr>
            <w:r>
              <w:t>5</w:t>
            </w:r>
          </w:p>
        </w:tc>
        <w:tc>
          <w:tcPr>
            <w:tcW w:w="834" w:type="dxa"/>
          </w:tcPr>
          <w:p w14:paraId="406CB275" w14:textId="77777777" w:rsidR="009E0BEE" w:rsidRDefault="009E0BEE" w:rsidP="008B61FD">
            <w:pPr>
              <w:jc w:val="center"/>
            </w:pPr>
            <w:r>
              <w:t>11</w:t>
            </w:r>
          </w:p>
        </w:tc>
        <w:tc>
          <w:tcPr>
            <w:tcW w:w="834" w:type="dxa"/>
          </w:tcPr>
          <w:p w14:paraId="2506FEB5" w14:textId="77777777" w:rsidR="009E0BEE" w:rsidRDefault="009E0BEE" w:rsidP="008B61FD">
            <w:pPr>
              <w:jc w:val="center"/>
            </w:pPr>
            <w:r>
              <w:t>4</w:t>
            </w:r>
          </w:p>
        </w:tc>
        <w:tc>
          <w:tcPr>
            <w:tcW w:w="833" w:type="dxa"/>
          </w:tcPr>
          <w:p w14:paraId="1866352E" w14:textId="77777777" w:rsidR="009E0BEE" w:rsidRDefault="009E0BEE" w:rsidP="008B61FD">
            <w:pPr>
              <w:jc w:val="center"/>
            </w:pPr>
            <w:r>
              <w:t>3</w:t>
            </w:r>
          </w:p>
        </w:tc>
      </w:tr>
      <w:tr w:rsidR="009E0BEE" w14:paraId="4A706890" w14:textId="77777777" w:rsidTr="008B61FD">
        <w:tc>
          <w:tcPr>
            <w:tcW w:w="3670" w:type="dxa"/>
            <w:shd w:val="clear" w:color="auto" w:fill="F7CAAC" w:themeFill="accent2" w:themeFillTint="66"/>
          </w:tcPr>
          <w:p w14:paraId="053C346B" w14:textId="77777777" w:rsidR="009E0BEE" w:rsidRDefault="009E0BEE" w:rsidP="008B61FD">
            <w:pPr>
              <w:tabs>
                <w:tab w:val="left" w:pos="1695"/>
              </w:tabs>
              <w:jc w:val="center"/>
            </w:pPr>
            <w:r>
              <w:t>Percentage of all SEND pupils</w:t>
            </w:r>
          </w:p>
        </w:tc>
        <w:tc>
          <w:tcPr>
            <w:tcW w:w="719" w:type="dxa"/>
            <w:shd w:val="clear" w:color="auto" w:fill="F7CAAC" w:themeFill="accent2" w:themeFillTint="66"/>
          </w:tcPr>
          <w:p w14:paraId="71B3AD62" w14:textId="77777777" w:rsidR="009E0BEE" w:rsidRDefault="009E0BEE" w:rsidP="008B61FD">
            <w:pPr>
              <w:jc w:val="center"/>
            </w:pPr>
            <w:r>
              <w:t>13.51</w:t>
            </w:r>
          </w:p>
        </w:tc>
        <w:tc>
          <w:tcPr>
            <w:tcW w:w="834" w:type="dxa"/>
            <w:shd w:val="clear" w:color="auto" w:fill="F7CAAC" w:themeFill="accent2" w:themeFillTint="66"/>
          </w:tcPr>
          <w:p w14:paraId="150F7181" w14:textId="77777777" w:rsidR="009E0BEE" w:rsidRDefault="009E0BEE" w:rsidP="008B61FD">
            <w:pPr>
              <w:jc w:val="center"/>
            </w:pPr>
            <w:r>
              <w:t>28.21</w:t>
            </w:r>
          </w:p>
        </w:tc>
        <w:tc>
          <w:tcPr>
            <w:tcW w:w="834" w:type="dxa"/>
            <w:shd w:val="clear" w:color="auto" w:fill="F7CAAC" w:themeFill="accent2" w:themeFillTint="66"/>
          </w:tcPr>
          <w:p w14:paraId="0C8220BB" w14:textId="77777777" w:rsidR="009E0BEE" w:rsidRDefault="009E0BEE" w:rsidP="008B61FD">
            <w:pPr>
              <w:jc w:val="center"/>
            </w:pPr>
            <w:r>
              <w:t>10.26</w:t>
            </w:r>
          </w:p>
        </w:tc>
        <w:tc>
          <w:tcPr>
            <w:tcW w:w="833" w:type="dxa"/>
            <w:shd w:val="clear" w:color="auto" w:fill="F7CAAC" w:themeFill="accent2" w:themeFillTint="66"/>
          </w:tcPr>
          <w:p w14:paraId="772E689E" w14:textId="77777777" w:rsidR="009E0BEE" w:rsidRDefault="009E0BEE" w:rsidP="008B61FD">
            <w:pPr>
              <w:jc w:val="center"/>
            </w:pPr>
            <w:r>
              <w:t>7.89</w:t>
            </w:r>
          </w:p>
        </w:tc>
      </w:tr>
      <w:tr w:rsidR="009E0BEE" w14:paraId="41AF0C0F" w14:textId="77777777" w:rsidTr="008B61FD">
        <w:tc>
          <w:tcPr>
            <w:tcW w:w="3670" w:type="dxa"/>
          </w:tcPr>
          <w:p w14:paraId="55683D32" w14:textId="77777777" w:rsidR="009E0BEE" w:rsidRDefault="009E0BEE" w:rsidP="008B61FD">
            <w:pPr>
              <w:tabs>
                <w:tab w:val="left" w:pos="1695"/>
              </w:tabs>
              <w:jc w:val="center"/>
            </w:pPr>
            <w:r>
              <w:t>Year 6</w:t>
            </w:r>
          </w:p>
        </w:tc>
        <w:tc>
          <w:tcPr>
            <w:tcW w:w="719" w:type="dxa"/>
          </w:tcPr>
          <w:p w14:paraId="1B007BB0" w14:textId="77777777" w:rsidR="009E0BEE" w:rsidRDefault="009E0BEE" w:rsidP="008B61FD">
            <w:pPr>
              <w:jc w:val="center"/>
            </w:pPr>
            <w:r>
              <w:t>6</w:t>
            </w:r>
          </w:p>
        </w:tc>
        <w:tc>
          <w:tcPr>
            <w:tcW w:w="834" w:type="dxa"/>
          </w:tcPr>
          <w:p w14:paraId="7C95BE37" w14:textId="77777777" w:rsidR="009E0BEE" w:rsidRDefault="009E0BEE" w:rsidP="008B61FD">
            <w:pPr>
              <w:jc w:val="center"/>
            </w:pPr>
            <w:r>
              <w:t>6</w:t>
            </w:r>
          </w:p>
        </w:tc>
        <w:tc>
          <w:tcPr>
            <w:tcW w:w="834" w:type="dxa"/>
          </w:tcPr>
          <w:p w14:paraId="17AF356D" w14:textId="77777777" w:rsidR="009E0BEE" w:rsidRDefault="009E0BEE" w:rsidP="008B61FD">
            <w:pPr>
              <w:jc w:val="center"/>
            </w:pPr>
            <w:r>
              <w:t>7</w:t>
            </w:r>
          </w:p>
        </w:tc>
        <w:tc>
          <w:tcPr>
            <w:tcW w:w="833" w:type="dxa"/>
          </w:tcPr>
          <w:p w14:paraId="37A14A60" w14:textId="77777777" w:rsidR="009E0BEE" w:rsidRDefault="009E0BEE" w:rsidP="008B61FD">
            <w:pPr>
              <w:jc w:val="center"/>
            </w:pPr>
            <w:r>
              <w:t>5</w:t>
            </w:r>
          </w:p>
        </w:tc>
      </w:tr>
      <w:tr w:rsidR="009E0BEE" w14:paraId="5F0C3B8C" w14:textId="77777777" w:rsidTr="008B61FD">
        <w:tc>
          <w:tcPr>
            <w:tcW w:w="3670" w:type="dxa"/>
            <w:shd w:val="clear" w:color="auto" w:fill="F7CAAC" w:themeFill="accent2" w:themeFillTint="66"/>
          </w:tcPr>
          <w:p w14:paraId="736E645A" w14:textId="77777777" w:rsidR="009E0BEE" w:rsidRDefault="009E0BEE" w:rsidP="008B61FD">
            <w:pPr>
              <w:tabs>
                <w:tab w:val="left" w:pos="1695"/>
              </w:tabs>
              <w:jc w:val="center"/>
            </w:pPr>
            <w:r>
              <w:t>Percentage of all SEND pupils</w:t>
            </w:r>
          </w:p>
        </w:tc>
        <w:tc>
          <w:tcPr>
            <w:tcW w:w="719" w:type="dxa"/>
            <w:shd w:val="clear" w:color="auto" w:fill="F7CAAC" w:themeFill="accent2" w:themeFillTint="66"/>
          </w:tcPr>
          <w:p w14:paraId="6D0CC6C8" w14:textId="77777777" w:rsidR="009E0BEE" w:rsidRDefault="009E0BEE" w:rsidP="008B61FD">
            <w:pPr>
              <w:jc w:val="center"/>
            </w:pPr>
            <w:r>
              <w:t>21.43</w:t>
            </w:r>
          </w:p>
        </w:tc>
        <w:tc>
          <w:tcPr>
            <w:tcW w:w="834" w:type="dxa"/>
            <w:shd w:val="clear" w:color="auto" w:fill="F7CAAC" w:themeFill="accent2" w:themeFillTint="66"/>
          </w:tcPr>
          <w:p w14:paraId="1E32CAB0" w14:textId="77777777" w:rsidR="009E0BEE" w:rsidRDefault="009E0BEE" w:rsidP="008B61FD">
            <w:pPr>
              <w:jc w:val="center"/>
            </w:pPr>
            <w:r>
              <w:t>22.22</w:t>
            </w:r>
          </w:p>
        </w:tc>
        <w:tc>
          <w:tcPr>
            <w:tcW w:w="834" w:type="dxa"/>
            <w:shd w:val="clear" w:color="auto" w:fill="F7CAAC" w:themeFill="accent2" w:themeFillTint="66"/>
          </w:tcPr>
          <w:p w14:paraId="1D96884C" w14:textId="77777777" w:rsidR="009E0BEE" w:rsidRDefault="009E0BEE" w:rsidP="008B61FD">
            <w:pPr>
              <w:jc w:val="center"/>
            </w:pPr>
            <w:r>
              <w:t>25.93</w:t>
            </w:r>
          </w:p>
        </w:tc>
        <w:tc>
          <w:tcPr>
            <w:tcW w:w="833" w:type="dxa"/>
            <w:shd w:val="clear" w:color="auto" w:fill="F7CAAC" w:themeFill="accent2" w:themeFillTint="66"/>
          </w:tcPr>
          <w:p w14:paraId="32F79497" w14:textId="77777777" w:rsidR="009E0BEE" w:rsidRDefault="009E0BEE" w:rsidP="008B61FD">
            <w:pPr>
              <w:jc w:val="center"/>
            </w:pPr>
            <w:r>
              <w:t>18.52</w:t>
            </w:r>
          </w:p>
        </w:tc>
      </w:tr>
      <w:tr w:rsidR="009E0BEE" w14:paraId="2354916C" w14:textId="77777777" w:rsidTr="008B61FD">
        <w:tc>
          <w:tcPr>
            <w:tcW w:w="3670" w:type="dxa"/>
          </w:tcPr>
          <w:p w14:paraId="735549C4" w14:textId="77777777" w:rsidR="009E0BEE" w:rsidRDefault="009E0BEE" w:rsidP="008B61FD">
            <w:pPr>
              <w:tabs>
                <w:tab w:val="left" w:pos="1695"/>
              </w:tabs>
              <w:jc w:val="center"/>
            </w:pPr>
            <w:r>
              <w:t>Year 7</w:t>
            </w:r>
          </w:p>
        </w:tc>
        <w:tc>
          <w:tcPr>
            <w:tcW w:w="719" w:type="dxa"/>
          </w:tcPr>
          <w:p w14:paraId="29FBD13A" w14:textId="77777777" w:rsidR="009E0BEE" w:rsidRDefault="009E0BEE" w:rsidP="008B61FD">
            <w:pPr>
              <w:jc w:val="center"/>
            </w:pPr>
            <w:r>
              <w:t>8</w:t>
            </w:r>
          </w:p>
        </w:tc>
        <w:tc>
          <w:tcPr>
            <w:tcW w:w="834" w:type="dxa"/>
          </w:tcPr>
          <w:p w14:paraId="3C965CA3" w14:textId="77777777" w:rsidR="009E0BEE" w:rsidRDefault="009E0BEE" w:rsidP="008B61FD">
            <w:pPr>
              <w:jc w:val="center"/>
            </w:pPr>
            <w:r>
              <w:t>9</w:t>
            </w:r>
          </w:p>
        </w:tc>
        <w:tc>
          <w:tcPr>
            <w:tcW w:w="834" w:type="dxa"/>
          </w:tcPr>
          <w:p w14:paraId="6F6CA663" w14:textId="77777777" w:rsidR="009E0BEE" w:rsidRDefault="009E0BEE" w:rsidP="008B61FD">
            <w:pPr>
              <w:jc w:val="center"/>
            </w:pPr>
            <w:r>
              <w:t>8</w:t>
            </w:r>
          </w:p>
        </w:tc>
        <w:tc>
          <w:tcPr>
            <w:tcW w:w="833" w:type="dxa"/>
          </w:tcPr>
          <w:p w14:paraId="3638279D" w14:textId="77777777" w:rsidR="009E0BEE" w:rsidRDefault="009E0BEE" w:rsidP="008B61FD">
            <w:pPr>
              <w:jc w:val="center"/>
            </w:pPr>
            <w:r>
              <w:t>7</w:t>
            </w:r>
          </w:p>
        </w:tc>
      </w:tr>
      <w:tr w:rsidR="009E0BEE" w14:paraId="13668CC2" w14:textId="77777777" w:rsidTr="008B61FD">
        <w:tc>
          <w:tcPr>
            <w:tcW w:w="3670" w:type="dxa"/>
            <w:shd w:val="clear" w:color="auto" w:fill="F7CAAC" w:themeFill="accent2" w:themeFillTint="66"/>
          </w:tcPr>
          <w:p w14:paraId="7E5B9879" w14:textId="77777777" w:rsidR="009E0BEE" w:rsidRDefault="009E0BEE" w:rsidP="008B61FD">
            <w:pPr>
              <w:tabs>
                <w:tab w:val="left" w:pos="1695"/>
              </w:tabs>
              <w:jc w:val="center"/>
            </w:pPr>
            <w:r>
              <w:t>Percentage of all SEND pupils</w:t>
            </w:r>
          </w:p>
        </w:tc>
        <w:tc>
          <w:tcPr>
            <w:tcW w:w="719" w:type="dxa"/>
            <w:shd w:val="clear" w:color="auto" w:fill="F7CAAC" w:themeFill="accent2" w:themeFillTint="66"/>
          </w:tcPr>
          <w:p w14:paraId="1AF55BA9" w14:textId="77777777" w:rsidR="009E0BEE" w:rsidRDefault="009E0BEE" w:rsidP="008B61FD">
            <w:pPr>
              <w:jc w:val="center"/>
            </w:pPr>
            <w:r>
              <w:t>26.67</w:t>
            </w:r>
          </w:p>
        </w:tc>
        <w:tc>
          <w:tcPr>
            <w:tcW w:w="834" w:type="dxa"/>
            <w:shd w:val="clear" w:color="auto" w:fill="F7CAAC" w:themeFill="accent2" w:themeFillTint="66"/>
          </w:tcPr>
          <w:p w14:paraId="51CA260E" w14:textId="77777777" w:rsidR="009E0BEE" w:rsidRDefault="009E0BEE" w:rsidP="008B61FD">
            <w:pPr>
              <w:jc w:val="center"/>
            </w:pPr>
            <w:r>
              <w:t>30</w:t>
            </w:r>
          </w:p>
        </w:tc>
        <w:tc>
          <w:tcPr>
            <w:tcW w:w="834" w:type="dxa"/>
            <w:shd w:val="clear" w:color="auto" w:fill="F7CAAC" w:themeFill="accent2" w:themeFillTint="66"/>
          </w:tcPr>
          <w:p w14:paraId="5322C1C0" w14:textId="77777777" w:rsidR="009E0BEE" w:rsidRDefault="009E0BEE" w:rsidP="008B61FD">
            <w:pPr>
              <w:jc w:val="center"/>
            </w:pPr>
            <w:r>
              <w:t>24.24</w:t>
            </w:r>
          </w:p>
        </w:tc>
        <w:tc>
          <w:tcPr>
            <w:tcW w:w="833" w:type="dxa"/>
            <w:shd w:val="clear" w:color="auto" w:fill="F7CAAC" w:themeFill="accent2" w:themeFillTint="66"/>
          </w:tcPr>
          <w:p w14:paraId="776FB458" w14:textId="77777777" w:rsidR="009E0BEE" w:rsidRDefault="009E0BEE" w:rsidP="008B61FD">
            <w:pPr>
              <w:jc w:val="center"/>
            </w:pPr>
            <w:r>
              <w:t>21.21</w:t>
            </w:r>
          </w:p>
        </w:tc>
      </w:tr>
      <w:tr w:rsidR="009E0BEE" w14:paraId="5B10F140" w14:textId="77777777" w:rsidTr="008B61FD">
        <w:tc>
          <w:tcPr>
            <w:tcW w:w="3670" w:type="dxa"/>
          </w:tcPr>
          <w:p w14:paraId="60329A75" w14:textId="77777777" w:rsidR="009E0BEE" w:rsidRDefault="009E0BEE" w:rsidP="008B61FD">
            <w:pPr>
              <w:tabs>
                <w:tab w:val="left" w:pos="1695"/>
              </w:tabs>
              <w:jc w:val="center"/>
            </w:pPr>
            <w:r>
              <w:t>Year 8</w:t>
            </w:r>
          </w:p>
        </w:tc>
        <w:tc>
          <w:tcPr>
            <w:tcW w:w="719" w:type="dxa"/>
          </w:tcPr>
          <w:p w14:paraId="105C6C40" w14:textId="77777777" w:rsidR="009E0BEE" w:rsidRDefault="009E0BEE" w:rsidP="008B61FD">
            <w:pPr>
              <w:jc w:val="center"/>
            </w:pPr>
            <w:r>
              <w:t>9</w:t>
            </w:r>
          </w:p>
        </w:tc>
        <w:tc>
          <w:tcPr>
            <w:tcW w:w="834" w:type="dxa"/>
          </w:tcPr>
          <w:p w14:paraId="44B17C63" w14:textId="77777777" w:rsidR="009E0BEE" w:rsidRDefault="009E0BEE" w:rsidP="008B61FD">
            <w:pPr>
              <w:jc w:val="center"/>
            </w:pPr>
            <w:r>
              <w:t>11</w:t>
            </w:r>
          </w:p>
        </w:tc>
        <w:tc>
          <w:tcPr>
            <w:tcW w:w="834" w:type="dxa"/>
          </w:tcPr>
          <w:p w14:paraId="67FDB116" w14:textId="77777777" w:rsidR="009E0BEE" w:rsidRDefault="009E0BEE" w:rsidP="008B61FD">
            <w:pPr>
              <w:jc w:val="center"/>
            </w:pPr>
            <w:r>
              <w:t>6</w:t>
            </w:r>
          </w:p>
        </w:tc>
        <w:tc>
          <w:tcPr>
            <w:tcW w:w="833" w:type="dxa"/>
          </w:tcPr>
          <w:p w14:paraId="0A7F9201" w14:textId="77777777" w:rsidR="009E0BEE" w:rsidRDefault="009E0BEE" w:rsidP="008B61FD">
            <w:pPr>
              <w:jc w:val="center"/>
            </w:pPr>
            <w:r>
              <w:t>3</w:t>
            </w:r>
          </w:p>
        </w:tc>
      </w:tr>
      <w:tr w:rsidR="009E0BEE" w14:paraId="0BD313B6" w14:textId="77777777" w:rsidTr="008B61FD">
        <w:tc>
          <w:tcPr>
            <w:tcW w:w="3670" w:type="dxa"/>
            <w:shd w:val="clear" w:color="auto" w:fill="F7CAAC" w:themeFill="accent2" w:themeFillTint="66"/>
          </w:tcPr>
          <w:p w14:paraId="340409A1" w14:textId="77777777" w:rsidR="009E0BEE" w:rsidRDefault="009E0BEE" w:rsidP="008B61FD">
            <w:pPr>
              <w:tabs>
                <w:tab w:val="left" w:pos="1695"/>
              </w:tabs>
              <w:jc w:val="center"/>
            </w:pPr>
            <w:r>
              <w:t>Percentage of all SEND pupils</w:t>
            </w:r>
          </w:p>
        </w:tc>
        <w:tc>
          <w:tcPr>
            <w:tcW w:w="719" w:type="dxa"/>
            <w:shd w:val="clear" w:color="auto" w:fill="F7CAAC" w:themeFill="accent2" w:themeFillTint="66"/>
          </w:tcPr>
          <w:p w14:paraId="19F2361D" w14:textId="77777777" w:rsidR="009E0BEE" w:rsidRDefault="009E0BEE" w:rsidP="008B61FD">
            <w:pPr>
              <w:jc w:val="center"/>
            </w:pPr>
            <w:r>
              <w:t>34.62</w:t>
            </w:r>
          </w:p>
        </w:tc>
        <w:tc>
          <w:tcPr>
            <w:tcW w:w="834" w:type="dxa"/>
            <w:shd w:val="clear" w:color="auto" w:fill="F7CAAC" w:themeFill="accent2" w:themeFillTint="66"/>
          </w:tcPr>
          <w:p w14:paraId="7C12BB17" w14:textId="77777777" w:rsidR="009E0BEE" w:rsidRDefault="009E0BEE" w:rsidP="008B61FD">
            <w:pPr>
              <w:jc w:val="center"/>
            </w:pPr>
            <w:r>
              <w:t>45.83</w:t>
            </w:r>
          </w:p>
        </w:tc>
        <w:tc>
          <w:tcPr>
            <w:tcW w:w="834" w:type="dxa"/>
            <w:shd w:val="clear" w:color="auto" w:fill="F7CAAC" w:themeFill="accent2" w:themeFillTint="66"/>
          </w:tcPr>
          <w:p w14:paraId="75A06946" w14:textId="77777777" w:rsidR="009E0BEE" w:rsidRDefault="009E0BEE" w:rsidP="008B61FD">
            <w:pPr>
              <w:jc w:val="center"/>
            </w:pPr>
            <w:r>
              <w:t>24</w:t>
            </w:r>
          </w:p>
        </w:tc>
        <w:tc>
          <w:tcPr>
            <w:tcW w:w="833" w:type="dxa"/>
            <w:shd w:val="clear" w:color="auto" w:fill="F7CAAC" w:themeFill="accent2" w:themeFillTint="66"/>
          </w:tcPr>
          <w:p w14:paraId="25F38F74" w14:textId="77777777" w:rsidR="009E0BEE" w:rsidRDefault="009E0BEE" w:rsidP="008B61FD">
            <w:pPr>
              <w:jc w:val="center"/>
            </w:pPr>
            <w:r>
              <w:t>13.64</w:t>
            </w:r>
          </w:p>
        </w:tc>
      </w:tr>
      <w:tr w:rsidR="009E0BEE" w14:paraId="54845689" w14:textId="77777777" w:rsidTr="008B61FD">
        <w:tc>
          <w:tcPr>
            <w:tcW w:w="3670" w:type="dxa"/>
            <w:shd w:val="clear" w:color="auto" w:fill="FFFFFF" w:themeFill="background1"/>
          </w:tcPr>
          <w:p w14:paraId="3BA7D3EE" w14:textId="77777777" w:rsidR="009E0BEE" w:rsidRDefault="009E0BEE" w:rsidP="008B61FD">
            <w:pPr>
              <w:tabs>
                <w:tab w:val="left" w:pos="1695"/>
              </w:tabs>
              <w:jc w:val="center"/>
            </w:pPr>
            <w:r>
              <w:t>Cumulative</w:t>
            </w:r>
          </w:p>
        </w:tc>
        <w:tc>
          <w:tcPr>
            <w:tcW w:w="719" w:type="dxa"/>
            <w:shd w:val="clear" w:color="auto" w:fill="FFFFFF" w:themeFill="background1"/>
          </w:tcPr>
          <w:p w14:paraId="307A2EBF" w14:textId="77777777" w:rsidR="009E0BEE" w:rsidRDefault="009E0BEE" w:rsidP="008B61FD">
            <w:pPr>
              <w:jc w:val="center"/>
            </w:pPr>
            <w:r>
              <w:t>28</w:t>
            </w:r>
          </w:p>
        </w:tc>
        <w:tc>
          <w:tcPr>
            <w:tcW w:w="834" w:type="dxa"/>
            <w:shd w:val="clear" w:color="auto" w:fill="FFFFFF" w:themeFill="background1"/>
          </w:tcPr>
          <w:p w14:paraId="5A6034B2" w14:textId="77777777" w:rsidR="009E0BEE" w:rsidRDefault="009E0BEE" w:rsidP="008B61FD">
            <w:pPr>
              <w:jc w:val="center"/>
            </w:pPr>
            <w:r>
              <w:t>37</w:t>
            </w:r>
          </w:p>
        </w:tc>
        <w:tc>
          <w:tcPr>
            <w:tcW w:w="834" w:type="dxa"/>
            <w:shd w:val="clear" w:color="auto" w:fill="FFFFFF" w:themeFill="background1"/>
          </w:tcPr>
          <w:p w14:paraId="37D26C4D" w14:textId="77777777" w:rsidR="009E0BEE" w:rsidRDefault="009E0BEE" w:rsidP="008B61FD">
            <w:pPr>
              <w:jc w:val="center"/>
            </w:pPr>
            <w:r>
              <w:t>25</w:t>
            </w:r>
          </w:p>
        </w:tc>
        <w:tc>
          <w:tcPr>
            <w:tcW w:w="833" w:type="dxa"/>
            <w:shd w:val="clear" w:color="auto" w:fill="FFFFFF" w:themeFill="background1"/>
          </w:tcPr>
          <w:p w14:paraId="1E91A56F" w14:textId="77777777" w:rsidR="009E0BEE" w:rsidRDefault="009E0BEE" w:rsidP="008B61FD">
            <w:pPr>
              <w:jc w:val="center"/>
            </w:pPr>
            <w:r>
              <w:t>18</w:t>
            </w:r>
          </w:p>
        </w:tc>
      </w:tr>
      <w:tr w:rsidR="009E0BEE" w14:paraId="4C2CC439" w14:textId="77777777" w:rsidTr="008B61FD">
        <w:tc>
          <w:tcPr>
            <w:tcW w:w="3670" w:type="dxa"/>
            <w:shd w:val="clear" w:color="auto" w:fill="F7CAAC" w:themeFill="accent2" w:themeFillTint="66"/>
          </w:tcPr>
          <w:p w14:paraId="73F89CFC" w14:textId="77777777" w:rsidR="009E0BEE" w:rsidRDefault="009E0BEE" w:rsidP="008B61FD">
            <w:pPr>
              <w:tabs>
                <w:tab w:val="left" w:pos="1695"/>
              </w:tabs>
              <w:jc w:val="center"/>
            </w:pPr>
            <w:r>
              <w:t>Cumulative Percentage</w:t>
            </w:r>
          </w:p>
          <w:p w14:paraId="23AB59DF" w14:textId="77777777" w:rsidR="009E0BEE" w:rsidRDefault="009E0BEE" w:rsidP="008B61FD">
            <w:pPr>
              <w:tabs>
                <w:tab w:val="left" w:pos="1695"/>
              </w:tabs>
              <w:jc w:val="center"/>
            </w:pPr>
            <w:r>
              <w:t>All Year Groups</w:t>
            </w:r>
          </w:p>
        </w:tc>
        <w:tc>
          <w:tcPr>
            <w:tcW w:w="719" w:type="dxa"/>
            <w:shd w:val="clear" w:color="auto" w:fill="F7CAAC" w:themeFill="accent2" w:themeFillTint="66"/>
          </w:tcPr>
          <w:p w14:paraId="7FA39042" w14:textId="77777777" w:rsidR="009E0BEE" w:rsidRDefault="009E0BEE" w:rsidP="008B61FD">
            <w:pPr>
              <w:jc w:val="center"/>
            </w:pPr>
            <w:r>
              <w:t>23.14</w:t>
            </w:r>
          </w:p>
        </w:tc>
        <w:tc>
          <w:tcPr>
            <w:tcW w:w="834" w:type="dxa"/>
            <w:shd w:val="clear" w:color="auto" w:fill="F7CAAC" w:themeFill="accent2" w:themeFillTint="66"/>
          </w:tcPr>
          <w:p w14:paraId="40E2226C" w14:textId="77777777" w:rsidR="009E0BEE" w:rsidRDefault="009E0BEE" w:rsidP="008B61FD">
            <w:pPr>
              <w:jc w:val="center"/>
            </w:pPr>
            <w:r>
              <w:t>30.83</w:t>
            </w:r>
          </w:p>
        </w:tc>
        <w:tc>
          <w:tcPr>
            <w:tcW w:w="834" w:type="dxa"/>
            <w:shd w:val="clear" w:color="auto" w:fill="F7CAAC" w:themeFill="accent2" w:themeFillTint="66"/>
          </w:tcPr>
          <w:p w14:paraId="3E4F592F" w14:textId="77777777" w:rsidR="009E0BEE" w:rsidRDefault="009E0BEE" w:rsidP="008B61FD">
            <w:pPr>
              <w:jc w:val="center"/>
            </w:pPr>
            <w:r>
              <w:t>20.16</w:t>
            </w:r>
          </w:p>
        </w:tc>
        <w:tc>
          <w:tcPr>
            <w:tcW w:w="833" w:type="dxa"/>
            <w:shd w:val="clear" w:color="auto" w:fill="F7CAAC" w:themeFill="accent2" w:themeFillTint="66"/>
          </w:tcPr>
          <w:p w14:paraId="051D32A6" w14:textId="77777777" w:rsidR="009E0BEE" w:rsidRDefault="009E0BEE" w:rsidP="008B61FD">
            <w:pPr>
              <w:jc w:val="center"/>
            </w:pPr>
            <w:r>
              <w:t>14.88</w:t>
            </w:r>
          </w:p>
        </w:tc>
      </w:tr>
    </w:tbl>
    <w:p w14:paraId="6C70A834" w14:textId="77777777" w:rsidR="009E0BEE" w:rsidRDefault="009E0BEE" w:rsidP="009E0BEE">
      <w:pPr>
        <w:rPr>
          <w:rFonts w:ascii="Arial" w:hAnsi="Arial" w:cs="Arial"/>
          <w:b/>
        </w:rPr>
      </w:pPr>
    </w:p>
    <w:p w14:paraId="2E2CF9FD" w14:textId="3D7B9581" w:rsidR="009E0BEE" w:rsidRDefault="00285FF6" w:rsidP="001B2220">
      <w:pPr>
        <w:rPr>
          <w:b/>
          <w:u w:val="single"/>
        </w:rPr>
      </w:pPr>
      <w:r w:rsidRPr="00285FF6">
        <w:rPr>
          <w:b/>
          <w:u w:val="single"/>
        </w:rPr>
        <w:t>Attainment</w:t>
      </w:r>
    </w:p>
    <w:p w14:paraId="687697ED" w14:textId="478686C6" w:rsidR="00285FF6" w:rsidRPr="00285FF6" w:rsidRDefault="00285FF6" w:rsidP="001B2220">
      <w:pPr>
        <w:rPr>
          <w:bCs/>
        </w:rPr>
      </w:pPr>
      <w:r w:rsidRPr="00285FF6">
        <w:rPr>
          <w:bCs/>
        </w:rPr>
        <w:t xml:space="preserve">Our SATS results </w:t>
      </w:r>
      <w:r w:rsidR="00042E34">
        <w:rPr>
          <w:bCs/>
        </w:rPr>
        <w:t>in 2022-2023</w:t>
      </w:r>
      <w:r>
        <w:rPr>
          <w:bCs/>
        </w:rPr>
        <w:t xml:space="preserve"> year showed a dip</w:t>
      </w:r>
      <w:r w:rsidR="00DA045E">
        <w:rPr>
          <w:bCs/>
        </w:rPr>
        <w:t xml:space="preserve"> in secure combined outcomes</w:t>
      </w:r>
      <w:r>
        <w:rPr>
          <w:bCs/>
        </w:rPr>
        <w:t xml:space="preserve"> for SEND pupils</w:t>
      </w:r>
      <w:r w:rsidR="00DA045E">
        <w:rPr>
          <w:bCs/>
        </w:rPr>
        <w:t xml:space="preserve"> in Reading, Writing</w:t>
      </w:r>
      <w:r w:rsidR="00187767">
        <w:rPr>
          <w:bCs/>
        </w:rPr>
        <w:t xml:space="preserve"> and Maths</w:t>
      </w:r>
      <w:r>
        <w:rPr>
          <w:bCs/>
        </w:rPr>
        <w:t xml:space="preserve"> compared to </w:t>
      </w:r>
      <w:r w:rsidR="00042E34">
        <w:rPr>
          <w:bCs/>
        </w:rPr>
        <w:t>2021-2022</w:t>
      </w:r>
      <w:r>
        <w:rPr>
          <w:bCs/>
        </w:rPr>
        <w:t>. This</w:t>
      </w:r>
      <w:r w:rsidR="00AE6703">
        <w:rPr>
          <w:bCs/>
        </w:rPr>
        <w:t xml:space="preserve"> is an area to be focussed on thi</w:t>
      </w:r>
      <w:r w:rsidR="00DA045E">
        <w:rPr>
          <w:bCs/>
        </w:rPr>
        <w:t xml:space="preserve">s </w:t>
      </w:r>
      <w:r w:rsidR="00AE6703">
        <w:rPr>
          <w:bCs/>
        </w:rPr>
        <w:t xml:space="preserve">year by using early and targeted </w:t>
      </w:r>
      <w:r w:rsidR="00DA045E">
        <w:rPr>
          <w:bCs/>
        </w:rPr>
        <w:t>interventions</w:t>
      </w:r>
      <w:r w:rsidR="00AE6703">
        <w:rPr>
          <w:bCs/>
        </w:rPr>
        <w:t xml:space="preserve">, having data review </w:t>
      </w:r>
      <w:r w:rsidR="00DA045E">
        <w:rPr>
          <w:bCs/>
        </w:rPr>
        <w:t>meetings</w:t>
      </w:r>
      <w:r w:rsidR="00AE6703">
        <w:rPr>
          <w:bCs/>
        </w:rPr>
        <w:t xml:space="preserve"> with </w:t>
      </w:r>
      <w:r w:rsidR="00DA045E">
        <w:rPr>
          <w:bCs/>
        </w:rPr>
        <w:t>the</w:t>
      </w:r>
      <w:r w:rsidR="00AE6703">
        <w:rPr>
          <w:bCs/>
        </w:rPr>
        <w:t xml:space="preserve"> SENCO, Deputy head</w:t>
      </w:r>
      <w:r w:rsidR="00DA045E">
        <w:rPr>
          <w:bCs/>
        </w:rPr>
        <w:t>,</w:t>
      </w:r>
      <w:r w:rsidR="00AE6703">
        <w:rPr>
          <w:bCs/>
        </w:rPr>
        <w:t xml:space="preserve"> head of year and </w:t>
      </w:r>
      <w:r w:rsidR="00DA045E">
        <w:rPr>
          <w:bCs/>
        </w:rPr>
        <w:t>heads of English and Maths to target key pupils and put strategies in place to help remove their barriers to learning.</w:t>
      </w:r>
    </w:p>
    <w:p w14:paraId="24813460" w14:textId="77777777" w:rsidR="001B2220" w:rsidRPr="00551B4E" w:rsidRDefault="001B2220" w:rsidP="001B2220">
      <w:pPr>
        <w:rPr>
          <w:b/>
          <w:bCs/>
          <w:u w:val="single"/>
        </w:rPr>
      </w:pPr>
      <w:r w:rsidRPr="00551B4E">
        <w:rPr>
          <w:b/>
          <w:bCs/>
          <w:u w:val="single"/>
        </w:rPr>
        <w:t>SEND Budget</w:t>
      </w:r>
    </w:p>
    <w:p w14:paraId="6D072C0D" w14:textId="05C74955" w:rsidR="001B2220" w:rsidRDefault="001B2220" w:rsidP="001B2220">
      <w:r w:rsidRPr="00551B4E">
        <w:rPr>
          <w:b/>
        </w:rPr>
        <w:t xml:space="preserve">High </w:t>
      </w:r>
      <w:r w:rsidR="007A7CF2" w:rsidRPr="00551B4E">
        <w:rPr>
          <w:b/>
        </w:rPr>
        <w:t>Ne</w:t>
      </w:r>
      <w:r w:rsidRPr="00551B4E">
        <w:rPr>
          <w:b/>
        </w:rPr>
        <w:t>eds</w:t>
      </w:r>
      <w:r w:rsidR="007A7CF2" w:rsidRPr="00551B4E">
        <w:rPr>
          <w:b/>
        </w:rPr>
        <w:t xml:space="preserve"> funding</w:t>
      </w:r>
      <w:r w:rsidRPr="00551B4E">
        <w:rPr>
          <w:b/>
        </w:rPr>
        <w:t xml:space="preserve"> </w:t>
      </w:r>
      <w:r w:rsidRPr="00004C3B">
        <w:t>for EHCP sup</w:t>
      </w:r>
      <w:r>
        <w:t xml:space="preserve">port </w:t>
      </w:r>
      <w:r w:rsidRPr="00050596">
        <w:t xml:space="preserve">for </w:t>
      </w:r>
      <w:r w:rsidR="0078593E">
        <w:t xml:space="preserve">the financial year </w:t>
      </w:r>
      <w:r w:rsidRPr="00050596">
        <w:t>20</w:t>
      </w:r>
      <w:r w:rsidR="0078593E">
        <w:t>2</w:t>
      </w:r>
      <w:r w:rsidR="00823EF1">
        <w:t>2</w:t>
      </w:r>
      <w:r w:rsidR="0078593E">
        <w:t>-202</w:t>
      </w:r>
      <w:r w:rsidR="00823EF1">
        <w:t>3</w:t>
      </w:r>
      <w:r w:rsidRPr="00050596">
        <w:t xml:space="preserve"> was £</w:t>
      </w:r>
      <w:r w:rsidR="00823EF1">
        <w:t>101,</w:t>
      </w:r>
      <w:r w:rsidR="00E02F13">
        <w:t>815.</w:t>
      </w:r>
    </w:p>
    <w:p w14:paraId="2FAB42A5" w14:textId="77777777" w:rsidR="001B2220" w:rsidRDefault="001B2220" w:rsidP="001B2220">
      <w:pPr>
        <w:spacing w:after="0"/>
      </w:pPr>
      <w:r w:rsidRPr="00004C3B">
        <w:t>This money is spent on supp</w:t>
      </w:r>
      <w:r>
        <w:t>orting individual pupils with an EHCP</w:t>
      </w:r>
      <w:r w:rsidRPr="00004C3B">
        <w:t xml:space="preserve"> through:  </w:t>
      </w:r>
    </w:p>
    <w:p w14:paraId="1FE2FA8F" w14:textId="77777777" w:rsidR="001B2220" w:rsidRDefault="001B2220" w:rsidP="001B2220">
      <w:pPr>
        <w:pStyle w:val="ListParagraph"/>
        <w:numPr>
          <w:ilvl w:val="0"/>
          <w:numId w:val="1"/>
        </w:numPr>
        <w:spacing w:after="0"/>
      </w:pPr>
      <w:r w:rsidRPr="00004C3B">
        <w:t xml:space="preserve">1:1 TA support  </w:t>
      </w:r>
    </w:p>
    <w:p w14:paraId="66BBAF0E" w14:textId="1E5712CA" w:rsidR="001B2220" w:rsidRDefault="001B2220" w:rsidP="001B2220">
      <w:pPr>
        <w:pStyle w:val="ListParagraph"/>
        <w:numPr>
          <w:ilvl w:val="0"/>
          <w:numId w:val="1"/>
        </w:numPr>
        <w:spacing w:after="0"/>
      </w:pPr>
      <w:r>
        <w:t xml:space="preserve">Alternative provision </w:t>
      </w:r>
    </w:p>
    <w:p w14:paraId="46332528" w14:textId="77777777" w:rsidR="001B2220" w:rsidRDefault="001B2220" w:rsidP="001B2220">
      <w:pPr>
        <w:pStyle w:val="ListParagraph"/>
        <w:numPr>
          <w:ilvl w:val="0"/>
          <w:numId w:val="1"/>
        </w:numPr>
        <w:spacing w:after="0"/>
      </w:pPr>
      <w:r w:rsidRPr="00004C3B">
        <w:t>Specialist resources </w:t>
      </w:r>
      <w:r w:rsidR="00354673">
        <w:t>and sensory equipment (</w:t>
      </w:r>
      <w:r>
        <w:t xml:space="preserve">coloured overlays, </w:t>
      </w:r>
      <w:r w:rsidR="00354673">
        <w:t xml:space="preserve">sensory putty, </w:t>
      </w:r>
      <w:proofErr w:type="spellStart"/>
      <w:r w:rsidR="00354673">
        <w:t>chewables</w:t>
      </w:r>
      <w:proofErr w:type="spellEnd"/>
      <w:r w:rsidR="00354673">
        <w:t xml:space="preserve">, </w:t>
      </w:r>
      <w:r>
        <w:t>etc)</w:t>
      </w:r>
    </w:p>
    <w:p w14:paraId="370FF24C" w14:textId="77777777" w:rsidR="001B2220" w:rsidRDefault="001B2220" w:rsidP="001B2220">
      <w:pPr>
        <w:pStyle w:val="ListParagraph"/>
        <w:numPr>
          <w:ilvl w:val="0"/>
          <w:numId w:val="2"/>
        </w:numPr>
        <w:spacing w:after="0"/>
      </w:pPr>
      <w:r w:rsidRPr="00004C3B">
        <w:lastRenderedPageBreak/>
        <w:t>CPD for TAs supporting individual needs.</w:t>
      </w:r>
      <w:r>
        <w:t xml:space="preserve"> </w:t>
      </w:r>
      <w:r w:rsidR="00354673">
        <w:t>(Mental health first aid, ASD etc</w:t>
      </w:r>
      <w:r>
        <w:t>)</w:t>
      </w:r>
      <w:r w:rsidRPr="00004C3B">
        <w:t xml:space="preserve">    </w:t>
      </w:r>
    </w:p>
    <w:p w14:paraId="6BD18F9B" w14:textId="77777777" w:rsidR="001B2220" w:rsidRDefault="001B2220" w:rsidP="001B2220"/>
    <w:p w14:paraId="6B5B9936" w14:textId="77777777" w:rsidR="001B2220" w:rsidRDefault="001B2220" w:rsidP="001B2220">
      <w:r w:rsidRPr="00551B4E">
        <w:rPr>
          <w:b/>
          <w:bCs/>
        </w:rPr>
        <w:t>The school budget</w:t>
      </w:r>
      <w:r w:rsidRPr="00AD220F">
        <w:t>, received from </w:t>
      </w:r>
      <w:r w:rsidR="00E83A1D" w:rsidRPr="00AD220F">
        <w:t>Somerset</w:t>
      </w:r>
      <w:r w:rsidRPr="00AD220F">
        <w:t>, includes money for supporting </w:t>
      </w:r>
      <w:r w:rsidR="007A7CF2" w:rsidRPr="00AD220F">
        <w:t>pupils</w:t>
      </w:r>
      <w:r w:rsidRPr="00AD220F">
        <w:t> with SEND</w:t>
      </w:r>
      <w:r w:rsidR="001C5690">
        <w:t xml:space="preserve"> </w:t>
      </w:r>
      <w:r w:rsidRPr="00004C3B">
        <w:t xml:space="preserve">This money is spent on:    </w:t>
      </w:r>
    </w:p>
    <w:p w14:paraId="09F2091F" w14:textId="556BEF5F" w:rsidR="001B2220" w:rsidRDefault="001B2220" w:rsidP="001B2220">
      <w:pPr>
        <w:pStyle w:val="ListParagraph"/>
        <w:numPr>
          <w:ilvl w:val="0"/>
          <w:numId w:val="1"/>
        </w:numPr>
      </w:pPr>
      <w:r w:rsidRPr="00004C3B">
        <w:t>TA hours to support pupils with SEND </w:t>
      </w:r>
      <w:r>
        <w:t xml:space="preserve">(In class support, small group and 1:1interventions </w:t>
      </w:r>
      <w:proofErr w:type="spellStart"/>
      <w:r>
        <w:t>eg</w:t>
      </w:r>
      <w:proofErr w:type="spellEnd"/>
      <w:r>
        <w:t xml:space="preserve"> </w:t>
      </w:r>
      <w:r w:rsidR="007A7CF2">
        <w:t>physio, Oasis, ELSA</w:t>
      </w:r>
      <w:r w:rsidR="00EA1FF9">
        <w:t xml:space="preserve"> etc</w:t>
      </w:r>
      <w:r w:rsidR="00EA4F49">
        <w:t>)</w:t>
      </w:r>
    </w:p>
    <w:p w14:paraId="4648DBB3" w14:textId="77777777" w:rsidR="00E83A1D" w:rsidRDefault="001B2220" w:rsidP="001B2220">
      <w:pPr>
        <w:pStyle w:val="ListParagraph"/>
        <w:numPr>
          <w:ilvl w:val="0"/>
          <w:numId w:val="1"/>
        </w:numPr>
      </w:pPr>
      <w:r w:rsidRPr="00004C3B">
        <w:t>CPD for all staff </w:t>
      </w:r>
      <w:r>
        <w:t>(Quality First teaching, SEN Expectations</w:t>
      </w:r>
      <w:r w:rsidR="00E83A1D">
        <w:t>)</w:t>
      </w:r>
      <w:r>
        <w:t xml:space="preserve">, </w:t>
      </w:r>
    </w:p>
    <w:p w14:paraId="3EDAC979" w14:textId="69FC9388" w:rsidR="001B2220" w:rsidRDefault="001B2220" w:rsidP="001B2220">
      <w:pPr>
        <w:pStyle w:val="ListParagraph"/>
        <w:numPr>
          <w:ilvl w:val="0"/>
          <w:numId w:val="1"/>
        </w:numPr>
      </w:pPr>
      <w:r w:rsidRPr="00004C3B">
        <w:t>Resources,</w:t>
      </w:r>
      <w:r>
        <w:t xml:space="preserve"> (for ELSA support,</w:t>
      </w:r>
      <w:r w:rsidR="00EA1FF9">
        <w:t>1:1 rewards</w:t>
      </w:r>
      <w:r>
        <w:t>)</w:t>
      </w:r>
    </w:p>
    <w:p w14:paraId="60E61C48" w14:textId="64170999" w:rsidR="00EA1FF9" w:rsidRDefault="00EA1FF9" w:rsidP="001B2220">
      <w:pPr>
        <w:pStyle w:val="ListParagraph"/>
        <w:numPr>
          <w:ilvl w:val="0"/>
          <w:numId w:val="1"/>
        </w:numPr>
      </w:pPr>
      <w:r>
        <w:t xml:space="preserve">Resourcing the </w:t>
      </w:r>
      <w:r w:rsidR="001B2220" w:rsidRPr="00004C3B">
        <w:t>advice from outside agencies</w:t>
      </w:r>
      <w:r w:rsidR="001B2220">
        <w:t xml:space="preserve"> (</w:t>
      </w:r>
      <w:r>
        <w:t>social communication/</w:t>
      </w:r>
      <w:proofErr w:type="spellStart"/>
      <w:r>
        <w:t>Talkabout</w:t>
      </w:r>
      <w:proofErr w:type="spellEnd"/>
      <w:r>
        <w:t xml:space="preserve"> intervention,</w:t>
      </w:r>
      <w:r w:rsidR="000661E0">
        <w:t xml:space="preserve"> structured conversations, </w:t>
      </w:r>
      <w:r w:rsidR="007962CF">
        <w:t>psychologist time.</w:t>
      </w:r>
      <w:r>
        <w:t>)</w:t>
      </w:r>
    </w:p>
    <w:p w14:paraId="6963D55D" w14:textId="59001214" w:rsidR="001B2220" w:rsidRDefault="00EA1FF9" w:rsidP="001B2220">
      <w:pPr>
        <w:pStyle w:val="ListParagraph"/>
        <w:numPr>
          <w:ilvl w:val="0"/>
          <w:numId w:val="1"/>
        </w:numPr>
      </w:pPr>
      <w:r>
        <w:t>Meet and Greet</w:t>
      </w:r>
      <w:r w:rsidR="001B2220" w:rsidRPr="00004C3B">
        <w:t xml:space="preserve"> </w:t>
      </w:r>
      <w:r>
        <w:t>– TA time</w:t>
      </w:r>
      <w:r w:rsidR="000661E0">
        <w:t xml:space="preserve"> in the mornings.</w:t>
      </w:r>
    </w:p>
    <w:p w14:paraId="5F3A391F" w14:textId="77777777" w:rsidR="00EA1FF9" w:rsidRDefault="00EA1FF9" w:rsidP="001B2220">
      <w:pPr>
        <w:pStyle w:val="ListParagraph"/>
        <w:numPr>
          <w:ilvl w:val="0"/>
          <w:numId w:val="1"/>
        </w:numPr>
      </w:pPr>
      <w:r>
        <w:t>Supervised alternative safe place to go at breaktime and lunchtime.</w:t>
      </w:r>
    </w:p>
    <w:p w14:paraId="5DD39905" w14:textId="2D52424E" w:rsidR="00E02F13" w:rsidRDefault="00E02F13" w:rsidP="001B2220">
      <w:pPr>
        <w:pStyle w:val="ListParagraph"/>
        <w:numPr>
          <w:ilvl w:val="0"/>
          <w:numId w:val="1"/>
        </w:numPr>
      </w:pPr>
      <w:r>
        <w:t>Smaller class sizes</w:t>
      </w:r>
      <w:r w:rsidR="003C2EB0">
        <w:t xml:space="preserve"> and putting most qualified teachers with our most vulnerable learners.</w:t>
      </w:r>
    </w:p>
    <w:p w14:paraId="0F3CABC7" w14:textId="77777777" w:rsidR="001B2220" w:rsidRDefault="001B2220" w:rsidP="00EA1FF9">
      <w:pPr>
        <w:spacing w:after="0"/>
      </w:pPr>
    </w:p>
    <w:p w14:paraId="79F65EDD" w14:textId="77777777" w:rsidR="001B2220" w:rsidRDefault="001B2220" w:rsidP="001B2220">
      <w:pPr>
        <w:spacing w:after="0"/>
        <w:rPr>
          <w:b/>
          <w:bCs/>
        </w:rPr>
      </w:pPr>
      <w:r w:rsidRPr="000F75AD">
        <w:rPr>
          <w:b/>
          <w:bCs/>
        </w:rPr>
        <w:t xml:space="preserve">Meetings with SEND </w:t>
      </w:r>
      <w:r w:rsidR="003D4445">
        <w:rPr>
          <w:b/>
          <w:bCs/>
        </w:rPr>
        <w:t>Trustee</w:t>
      </w:r>
    </w:p>
    <w:p w14:paraId="65F9C3DC" w14:textId="73088C7D" w:rsidR="00C03B7B" w:rsidRDefault="001B2220" w:rsidP="003463BD">
      <w:pPr>
        <w:spacing w:after="0"/>
      </w:pPr>
      <w:r w:rsidRPr="000F75AD">
        <w:t xml:space="preserve">The SENCO  and SEND </w:t>
      </w:r>
      <w:r w:rsidR="003D4445">
        <w:t>Trustee</w:t>
      </w:r>
      <w:r w:rsidRPr="000F75AD">
        <w:t xml:space="preserve"> (</w:t>
      </w:r>
      <w:r w:rsidR="005B5E2F">
        <w:t>La</w:t>
      </w:r>
      <w:r w:rsidR="00C7609B">
        <w:t>ura Su</w:t>
      </w:r>
      <w:r w:rsidRPr="000F75AD">
        <w:t>)</w:t>
      </w:r>
      <w:r>
        <w:t xml:space="preserve"> have maintained meetings to review SEND provision</w:t>
      </w:r>
      <w:r w:rsidR="00C7609B">
        <w:t xml:space="preserve"> and the new SEND trustee Kirstie Kirkwood</w:t>
      </w:r>
      <w:r w:rsidR="0018632D">
        <w:t xml:space="preserve"> were able to meet twice at the end of the year. Meetings include reviews of provision and learning walks. A half termly report is submitted to governors </w:t>
      </w:r>
      <w:r w:rsidR="00BD7EC4">
        <w:t>which includes SEND updates</w:t>
      </w:r>
      <w:r w:rsidR="002E5C35">
        <w:t xml:space="preserve">. The SENDCO has presented at the quality of education meeting and </w:t>
      </w:r>
      <w:r w:rsidR="0022479E">
        <w:t>is accountable to trustees.</w:t>
      </w:r>
    </w:p>
    <w:p w14:paraId="562C75D1" w14:textId="77777777" w:rsidR="00551B4E" w:rsidRDefault="00551B4E" w:rsidP="0022479E">
      <w:pPr>
        <w:spacing w:after="0"/>
      </w:pPr>
    </w:p>
    <w:p w14:paraId="61D66A40" w14:textId="77777777" w:rsidR="007D5411" w:rsidRPr="00CD550F" w:rsidRDefault="007D5411" w:rsidP="00CD550F">
      <w:pPr>
        <w:spacing w:after="0"/>
        <w:rPr>
          <w:b/>
          <w:sz w:val="24"/>
          <w:szCs w:val="24"/>
          <w:u w:val="single"/>
        </w:rPr>
      </w:pPr>
      <w:r w:rsidRPr="00CD550F">
        <w:rPr>
          <w:b/>
          <w:sz w:val="24"/>
          <w:szCs w:val="24"/>
          <w:u w:val="single"/>
        </w:rPr>
        <w:t>Staffing</w:t>
      </w:r>
    </w:p>
    <w:p w14:paraId="2B1608E7" w14:textId="4BA3745F" w:rsidR="007D5411" w:rsidRDefault="007D5411" w:rsidP="00CD550F">
      <w:pPr>
        <w:spacing w:after="0"/>
      </w:pPr>
      <w:r>
        <w:t>The above high needs EHCP pupils took up/demanded a lot of T</w:t>
      </w:r>
      <w:r w:rsidR="0022479E">
        <w:t xml:space="preserve">A </w:t>
      </w:r>
      <w:r>
        <w:t xml:space="preserve">support and time. </w:t>
      </w:r>
    </w:p>
    <w:p w14:paraId="4D61350D" w14:textId="4318E6B8" w:rsidR="007D5411" w:rsidRDefault="007D5411" w:rsidP="00CD550F">
      <w:pPr>
        <w:spacing w:after="0"/>
      </w:pPr>
      <w:r>
        <w:t xml:space="preserve">Staffing was a significant concern throughout the year, with adverts running </w:t>
      </w:r>
      <w:r w:rsidR="006F25AE">
        <w:t>sometimes without any applicants. However  we did successfully appoint Emily Cr</w:t>
      </w:r>
      <w:r w:rsidR="00E06604">
        <w:t>a</w:t>
      </w:r>
      <w:r w:rsidR="006F25AE">
        <w:t>y in April</w:t>
      </w:r>
      <w:r w:rsidR="00E06604">
        <w:t xml:space="preserve"> and Carlia Gibb</w:t>
      </w:r>
      <w:r w:rsidR="00026CDE">
        <w:t xml:space="preserve"> </w:t>
      </w:r>
      <w:r w:rsidR="00E06604">
        <w:t xml:space="preserve">started with us September 2023. We were able to promote </w:t>
      </w:r>
      <w:r w:rsidR="00870E54">
        <w:t xml:space="preserve">Andrea Sheldon to senior TA after her successful interview and Jo Barrett has been completing her ELSA </w:t>
      </w:r>
      <w:r w:rsidR="00830BCE">
        <w:t>practitioner</w:t>
      </w:r>
      <w:r w:rsidR="00870E54">
        <w:t xml:space="preserve"> </w:t>
      </w:r>
      <w:r w:rsidR="00830BCE">
        <w:t>training</w:t>
      </w:r>
      <w:r w:rsidR="00870E54">
        <w:t xml:space="preserve"> after </w:t>
      </w:r>
      <w:r w:rsidR="00830BCE">
        <w:t>her interview.</w:t>
      </w:r>
    </w:p>
    <w:p w14:paraId="7DF4E37C" w14:textId="77777777" w:rsidR="009655E6" w:rsidRPr="009655E6" w:rsidRDefault="009655E6" w:rsidP="009655E6">
      <w:pPr>
        <w:spacing w:after="0"/>
        <w:rPr>
          <w:b/>
          <w:u w:val="single"/>
        </w:rPr>
      </w:pPr>
    </w:p>
    <w:p w14:paraId="1BAA37A1" w14:textId="77777777" w:rsidR="00056957" w:rsidRDefault="00056957" w:rsidP="00056957">
      <w:pPr>
        <w:rPr>
          <w:rFonts w:ascii="Arial" w:hAnsi="Arial" w:cs="Arial"/>
          <w:b/>
          <w:u w:val="single"/>
        </w:rPr>
      </w:pPr>
      <w:r>
        <w:rPr>
          <w:rFonts w:ascii="Arial" w:hAnsi="Arial" w:cs="Arial"/>
          <w:b/>
          <w:u w:val="single"/>
        </w:rPr>
        <w:t>P</w:t>
      </w:r>
      <w:r w:rsidRPr="005F6D28">
        <w:rPr>
          <w:rFonts w:ascii="Arial" w:hAnsi="Arial" w:cs="Arial"/>
          <w:b/>
          <w:u w:val="single"/>
        </w:rPr>
        <w:t>arent</w:t>
      </w:r>
      <w:r>
        <w:rPr>
          <w:rFonts w:ascii="Arial" w:hAnsi="Arial" w:cs="Arial"/>
          <w:b/>
          <w:u w:val="single"/>
        </w:rPr>
        <w:t>al</w:t>
      </w:r>
      <w:r w:rsidRPr="005F6D28">
        <w:rPr>
          <w:rFonts w:ascii="Arial" w:hAnsi="Arial" w:cs="Arial"/>
          <w:b/>
          <w:u w:val="single"/>
        </w:rPr>
        <w:t xml:space="preserve"> Questionnaire</w:t>
      </w:r>
      <w:r>
        <w:rPr>
          <w:rFonts w:ascii="Arial" w:hAnsi="Arial" w:cs="Arial"/>
          <w:b/>
          <w:u w:val="single"/>
        </w:rPr>
        <w:t>s</w:t>
      </w:r>
    </w:p>
    <w:p w14:paraId="6C24CE36" w14:textId="77777777" w:rsidR="00056957" w:rsidRDefault="00056957" w:rsidP="00056957">
      <w:r>
        <w:rPr>
          <w:rFonts w:ascii="Arial" w:hAnsi="Arial" w:cs="Arial"/>
          <w:b/>
          <w:u w:val="single"/>
        </w:rPr>
        <w:t>SEND Parents: Are you happy with the provision your child receives?</w:t>
      </w:r>
    </w:p>
    <w:p w14:paraId="1DC4349E" w14:textId="77777777" w:rsidR="00056957" w:rsidRDefault="00056957" w:rsidP="001B2220">
      <w:pPr>
        <w:spacing w:after="0"/>
        <w:rPr>
          <w:b/>
          <w:u w:val="single"/>
        </w:rPr>
      </w:pPr>
    </w:p>
    <w:tbl>
      <w:tblPr>
        <w:tblStyle w:val="TableGrid"/>
        <w:tblW w:w="0" w:type="auto"/>
        <w:tblInd w:w="-5" w:type="dxa"/>
        <w:tblLook w:val="04A0" w:firstRow="1" w:lastRow="0" w:firstColumn="1" w:lastColumn="0" w:noHBand="0" w:noVBand="1"/>
      </w:tblPr>
      <w:tblGrid>
        <w:gridCol w:w="3952"/>
        <w:gridCol w:w="4128"/>
      </w:tblGrid>
      <w:tr w:rsidR="00244110" w:rsidRPr="007E796D" w14:paraId="0884E4A9" w14:textId="77777777" w:rsidTr="008B61FD">
        <w:trPr>
          <w:trHeight w:val="424"/>
        </w:trPr>
        <w:tc>
          <w:tcPr>
            <w:tcW w:w="3952" w:type="dxa"/>
          </w:tcPr>
          <w:p w14:paraId="49F978AE" w14:textId="77777777" w:rsidR="00244110" w:rsidRPr="007E796D" w:rsidRDefault="00244110" w:rsidP="008B61FD">
            <w:pPr>
              <w:rPr>
                <w:rFonts w:ascii="Arial" w:hAnsi="Arial" w:cs="Arial"/>
                <w:b/>
              </w:rPr>
            </w:pPr>
            <w:r w:rsidRPr="007E796D">
              <w:rPr>
                <w:rFonts w:ascii="Arial" w:hAnsi="Arial" w:cs="Arial"/>
                <w:b/>
              </w:rPr>
              <w:t>Percentage of “Yes” responses</w:t>
            </w:r>
          </w:p>
        </w:tc>
        <w:tc>
          <w:tcPr>
            <w:tcW w:w="4128" w:type="dxa"/>
          </w:tcPr>
          <w:p w14:paraId="02977C36" w14:textId="77777777" w:rsidR="00244110" w:rsidRPr="007E796D" w:rsidRDefault="00244110" w:rsidP="008B61FD">
            <w:pPr>
              <w:rPr>
                <w:rFonts w:ascii="Arial" w:hAnsi="Arial" w:cs="Arial"/>
                <w:b/>
              </w:rPr>
            </w:pPr>
            <w:r w:rsidRPr="007E796D">
              <w:rPr>
                <w:rFonts w:ascii="Arial" w:hAnsi="Arial" w:cs="Arial"/>
                <w:b/>
              </w:rPr>
              <w:t>Date</w:t>
            </w:r>
          </w:p>
        </w:tc>
      </w:tr>
      <w:tr w:rsidR="00244110" w:rsidRPr="00D65173" w14:paraId="31F0AAB2" w14:textId="77777777" w:rsidTr="008B61FD">
        <w:trPr>
          <w:trHeight w:val="274"/>
        </w:trPr>
        <w:tc>
          <w:tcPr>
            <w:tcW w:w="3952" w:type="dxa"/>
            <w:shd w:val="clear" w:color="auto" w:fill="A8D08D" w:themeFill="accent6" w:themeFillTint="99"/>
          </w:tcPr>
          <w:p w14:paraId="6D44CDFC" w14:textId="77777777" w:rsidR="00244110" w:rsidRPr="007E3C73" w:rsidRDefault="00244110" w:rsidP="008B61FD">
            <w:pPr>
              <w:rPr>
                <w:rFonts w:ascii="Arial" w:hAnsi="Arial" w:cs="Arial"/>
                <w:b/>
                <w:u w:val="single"/>
              </w:rPr>
            </w:pPr>
            <w:r>
              <w:rPr>
                <w:rFonts w:ascii="Arial" w:hAnsi="Arial" w:cs="Arial"/>
              </w:rPr>
              <w:t>73% (National 66%)</w:t>
            </w:r>
          </w:p>
        </w:tc>
        <w:tc>
          <w:tcPr>
            <w:tcW w:w="4128" w:type="dxa"/>
            <w:shd w:val="clear" w:color="auto" w:fill="A8D08D" w:themeFill="accent6" w:themeFillTint="99"/>
          </w:tcPr>
          <w:p w14:paraId="039F1BED" w14:textId="77777777" w:rsidR="00244110" w:rsidRDefault="00244110" w:rsidP="008B61FD">
            <w:pPr>
              <w:rPr>
                <w:rFonts w:ascii="Arial" w:hAnsi="Arial" w:cs="Arial"/>
                <w:bCs/>
              </w:rPr>
            </w:pPr>
            <w:r w:rsidRPr="00D65173">
              <w:rPr>
                <w:rFonts w:ascii="Arial" w:hAnsi="Arial" w:cs="Arial"/>
                <w:bCs/>
              </w:rPr>
              <w:t>May 2023</w:t>
            </w:r>
          </w:p>
          <w:p w14:paraId="09FF0022" w14:textId="77777777" w:rsidR="00244110" w:rsidRDefault="00244110" w:rsidP="008B61FD">
            <w:pPr>
              <w:rPr>
                <w:rFonts w:ascii="Arial" w:hAnsi="Arial" w:cs="Arial"/>
                <w:bCs/>
              </w:rPr>
            </w:pPr>
          </w:p>
          <w:p w14:paraId="16B4D233" w14:textId="77777777" w:rsidR="00244110" w:rsidRPr="00D65173" w:rsidRDefault="00244110" w:rsidP="008B61FD">
            <w:pPr>
              <w:rPr>
                <w:rFonts w:ascii="Arial" w:hAnsi="Arial" w:cs="Arial"/>
                <w:bCs/>
              </w:rPr>
            </w:pPr>
          </w:p>
        </w:tc>
      </w:tr>
      <w:tr w:rsidR="00244110" w:rsidRPr="00D65173" w14:paraId="5FD88537" w14:textId="77777777" w:rsidTr="008B61FD">
        <w:trPr>
          <w:trHeight w:val="274"/>
        </w:trPr>
        <w:tc>
          <w:tcPr>
            <w:tcW w:w="3952" w:type="dxa"/>
          </w:tcPr>
          <w:p w14:paraId="78D14308" w14:textId="77777777" w:rsidR="00244110" w:rsidRDefault="00244110" w:rsidP="008B61FD">
            <w:pPr>
              <w:tabs>
                <w:tab w:val="left" w:pos="1695"/>
                <w:tab w:val="center" w:pos="1868"/>
              </w:tabs>
              <w:rPr>
                <w:rFonts w:ascii="Arial" w:hAnsi="Arial" w:cs="Arial"/>
              </w:rPr>
            </w:pPr>
            <w:r>
              <w:rPr>
                <w:rFonts w:ascii="Arial" w:hAnsi="Arial" w:cs="Arial"/>
              </w:rPr>
              <w:t>41</w:t>
            </w:r>
          </w:p>
        </w:tc>
        <w:tc>
          <w:tcPr>
            <w:tcW w:w="4128" w:type="dxa"/>
          </w:tcPr>
          <w:p w14:paraId="0F0577FB" w14:textId="77777777" w:rsidR="00244110" w:rsidRPr="00D65173" w:rsidRDefault="00244110" w:rsidP="008B61FD">
            <w:pPr>
              <w:rPr>
                <w:rFonts w:ascii="Arial" w:hAnsi="Arial" w:cs="Arial"/>
                <w:bCs/>
              </w:rPr>
            </w:pPr>
            <w:r>
              <w:rPr>
                <w:rFonts w:ascii="Arial" w:hAnsi="Arial" w:cs="Arial"/>
                <w:bCs/>
              </w:rPr>
              <w:t>September 2022</w:t>
            </w:r>
          </w:p>
        </w:tc>
      </w:tr>
      <w:tr w:rsidR="00244110" w:rsidRPr="00024884" w14:paraId="4F2C0C76" w14:textId="77777777" w:rsidTr="008B61FD">
        <w:trPr>
          <w:trHeight w:val="278"/>
        </w:trPr>
        <w:tc>
          <w:tcPr>
            <w:tcW w:w="3952" w:type="dxa"/>
          </w:tcPr>
          <w:p w14:paraId="107B6F31" w14:textId="77777777" w:rsidR="00244110" w:rsidRPr="00024884" w:rsidRDefault="00244110" w:rsidP="008B61FD">
            <w:pPr>
              <w:rPr>
                <w:rFonts w:ascii="Arial" w:hAnsi="Arial" w:cs="Arial"/>
                <w:bCs/>
              </w:rPr>
            </w:pPr>
            <w:r w:rsidRPr="00024884">
              <w:rPr>
                <w:rFonts w:ascii="Arial" w:hAnsi="Arial" w:cs="Arial"/>
                <w:bCs/>
              </w:rPr>
              <w:t>31</w:t>
            </w:r>
          </w:p>
        </w:tc>
        <w:tc>
          <w:tcPr>
            <w:tcW w:w="4128" w:type="dxa"/>
          </w:tcPr>
          <w:p w14:paraId="6A6566F7" w14:textId="77777777" w:rsidR="00244110" w:rsidRPr="00024884" w:rsidRDefault="00244110" w:rsidP="008B61FD">
            <w:pPr>
              <w:rPr>
                <w:rFonts w:ascii="Arial" w:hAnsi="Arial" w:cs="Arial"/>
                <w:bCs/>
              </w:rPr>
            </w:pPr>
            <w:r w:rsidRPr="00024884">
              <w:rPr>
                <w:rFonts w:ascii="Arial" w:hAnsi="Arial" w:cs="Arial"/>
                <w:bCs/>
              </w:rPr>
              <w:t>June 2022</w:t>
            </w:r>
          </w:p>
        </w:tc>
      </w:tr>
      <w:tr w:rsidR="00244110" w:rsidRPr="00024884" w14:paraId="5B466E77" w14:textId="77777777" w:rsidTr="008B61FD">
        <w:trPr>
          <w:trHeight w:val="268"/>
        </w:trPr>
        <w:tc>
          <w:tcPr>
            <w:tcW w:w="3952" w:type="dxa"/>
          </w:tcPr>
          <w:p w14:paraId="67E6F8EF" w14:textId="77777777" w:rsidR="00244110" w:rsidRPr="00024884" w:rsidRDefault="00244110" w:rsidP="008B61FD">
            <w:pPr>
              <w:rPr>
                <w:rFonts w:ascii="Arial" w:hAnsi="Arial" w:cs="Arial"/>
                <w:bCs/>
              </w:rPr>
            </w:pPr>
            <w:r w:rsidRPr="00024884">
              <w:rPr>
                <w:rFonts w:ascii="Arial" w:hAnsi="Arial" w:cs="Arial"/>
                <w:bCs/>
              </w:rPr>
              <w:t>38</w:t>
            </w:r>
          </w:p>
        </w:tc>
        <w:tc>
          <w:tcPr>
            <w:tcW w:w="4128" w:type="dxa"/>
          </w:tcPr>
          <w:p w14:paraId="22E8E283" w14:textId="77777777" w:rsidR="00244110" w:rsidRPr="00024884" w:rsidRDefault="00244110" w:rsidP="008B61FD">
            <w:pPr>
              <w:rPr>
                <w:rFonts w:ascii="Arial" w:hAnsi="Arial" w:cs="Arial"/>
                <w:bCs/>
              </w:rPr>
            </w:pPr>
            <w:r w:rsidRPr="00024884">
              <w:rPr>
                <w:rFonts w:ascii="Arial" w:hAnsi="Arial" w:cs="Arial"/>
                <w:bCs/>
              </w:rPr>
              <w:t>Ofsted June 2022</w:t>
            </w:r>
          </w:p>
        </w:tc>
      </w:tr>
    </w:tbl>
    <w:p w14:paraId="3A97E36B" w14:textId="6D58DE12" w:rsidR="00056957" w:rsidRDefault="00244110" w:rsidP="001B2220">
      <w:pPr>
        <w:spacing w:after="0"/>
        <w:rPr>
          <w:bCs/>
        </w:rPr>
      </w:pPr>
      <w:r w:rsidRPr="00244110">
        <w:rPr>
          <w:bCs/>
        </w:rPr>
        <w:t>We were very pleased by the progress in this area by the end of the academic year as shown in the grid.</w:t>
      </w:r>
    </w:p>
    <w:p w14:paraId="5885D5C7" w14:textId="77777777" w:rsidR="00244110" w:rsidRPr="00244110" w:rsidRDefault="00244110" w:rsidP="001B2220">
      <w:pPr>
        <w:spacing w:after="0"/>
        <w:rPr>
          <w:bCs/>
        </w:rPr>
      </w:pPr>
    </w:p>
    <w:p w14:paraId="5220BBB2" w14:textId="744AF531" w:rsidR="002827EC" w:rsidRPr="00423EF8" w:rsidRDefault="00285FF6" w:rsidP="001B2220">
      <w:pPr>
        <w:spacing w:after="0"/>
        <w:rPr>
          <w:b/>
          <w:bCs/>
          <w:u w:val="single"/>
        </w:rPr>
      </w:pPr>
      <w:r w:rsidRPr="00423EF8">
        <w:rPr>
          <w:b/>
          <w:bCs/>
          <w:u w:val="single"/>
        </w:rPr>
        <w:t>David Bartram’s findings</w:t>
      </w:r>
    </w:p>
    <w:p w14:paraId="65D21D67" w14:textId="626BD304" w:rsidR="00285FF6" w:rsidRDefault="00CC2DBA" w:rsidP="001B2220">
      <w:pPr>
        <w:spacing w:after="0"/>
        <w:rPr>
          <w:b/>
          <w:bCs/>
        </w:rPr>
      </w:pPr>
      <w:r>
        <w:rPr>
          <w:b/>
          <w:bCs/>
        </w:rPr>
        <w:t>Overall David was pleased with what he saw. He said:</w:t>
      </w:r>
    </w:p>
    <w:p w14:paraId="0AB298D3" w14:textId="77777777" w:rsidR="005569C2" w:rsidRPr="005569C2" w:rsidRDefault="005569C2" w:rsidP="00CC2DBA">
      <w:pPr>
        <w:pStyle w:val="ListParagraph"/>
        <w:numPr>
          <w:ilvl w:val="0"/>
          <w:numId w:val="7"/>
        </w:numPr>
        <w:spacing w:after="0"/>
        <w:rPr>
          <w:b/>
          <w:bCs/>
        </w:rPr>
      </w:pPr>
      <w:r>
        <w:t>The school has made very good progress with recommendations in the Ofsted report of June 2022.</w:t>
      </w:r>
    </w:p>
    <w:p w14:paraId="39A7549E" w14:textId="77777777" w:rsidR="005569C2" w:rsidRPr="005569C2" w:rsidRDefault="005569C2" w:rsidP="00CC2DBA">
      <w:pPr>
        <w:pStyle w:val="ListParagraph"/>
        <w:numPr>
          <w:ilvl w:val="0"/>
          <w:numId w:val="7"/>
        </w:numPr>
        <w:spacing w:after="0"/>
        <w:rPr>
          <w:b/>
          <w:bCs/>
        </w:rPr>
      </w:pPr>
      <w:r>
        <w:lastRenderedPageBreak/>
        <w:t xml:space="preserve"> Improvements in communicating pupil information has meant staff have a better understanding of pupil need and the strategies required to ensure they succeed. </w:t>
      </w:r>
    </w:p>
    <w:p w14:paraId="403F7598" w14:textId="009D9D47" w:rsidR="00CC2DBA" w:rsidRPr="005569C2" w:rsidRDefault="005569C2" w:rsidP="00CC2DBA">
      <w:pPr>
        <w:pStyle w:val="ListParagraph"/>
        <w:numPr>
          <w:ilvl w:val="0"/>
          <w:numId w:val="7"/>
        </w:numPr>
        <w:spacing w:after="0"/>
        <w:rPr>
          <w:b/>
          <w:bCs/>
        </w:rPr>
      </w:pPr>
      <w:r>
        <w:t>During the review, staff displayed a strong connection and empathy with the challenges that many pupils face, underpinned by respect, high expectations and kindness.</w:t>
      </w:r>
    </w:p>
    <w:p w14:paraId="5D07CD8D" w14:textId="20059A8D" w:rsidR="005569C2" w:rsidRPr="007A2773" w:rsidRDefault="007A2773" w:rsidP="00CC2DBA">
      <w:pPr>
        <w:pStyle w:val="ListParagraph"/>
        <w:numPr>
          <w:ilvl w:val="0"/>
          <w:numId w:val="7"/>
        </w:numPr>
        <w:spacing w:after="0"/>
        <w:rPr>
          <w:b/>
          <w:bCs/>
        </w:rPr>
      </w:pPr>
      <w:r>
        <w:t>Leaders with responsibility for SEND are involved in reviewing and helping teachers improve the quality of teaching for all pupils. For example, the SENCO works closely with the teaching and learning team to quality assure lessons. This includes weekly, timetabled learning walks to observe classroom teaching and evaluate whether teachers are adapting the curriculum effectively.</w:t>
      </w:r>
    </w:p>
    <w:p w14:paraId="697C4BD4" w14:textId="2739F850" w:rsidR="007A2773" w:rsidRPr="004F7959" w:rsidRDefault="005B4995" w:rsidP="00CC2DBA">
      <w:pPr>
        <w:pStyle w:val="ListParagraph"/>
        <w:numPr>
          <w:ilvl w:val="0"/>
          <w:numId w:val="7"/>
        </w:numPr>
        <w:spacing w:after="0"/>
        <w:rPr>
          <w:b/>
          <w:bCs/>
        </w:rPr>
      </w:pPr>
      <w:r>
        <w:t>During this review, pupils with SEND behaved well, demonstrating high levels of self-control and positive attitudes to their education. Transition arrangements for pupils with SEND are effective. High quality communication and information sharing takes place when pupils transition to and from the school.</w:t>
      </w:r>
    </w:p>
    <w:p w14:paraId="205157FC" w14:textId="5288C976" w:rsidR="004F7959" w:rsidRPr="00684D7C" w:rsidRDefault="004F7959" w:rsidP="00CC2DBA">
      <w:pPr>
        <w:pStyle w:val="ListParagraph"/>
        <w:numPr>
          <w:ilvl w:val="0"/>
          <w:numId w:val="7"/>
        </w:numPr>
        <w:spacing w:after="0"/>
        <w:rPr>
          <w:b/>
          <w:bCs/>
        </w:rPr>
      </w:pPr>
      <w:r>
        <w:t>The school has worked effectively to improve communication with parents and carers. Termly coffee mornings offer an opportunity to meet informally and this is helping to develop a culture that welcomes and engages families of pupils with SEND. There are a wide range of opportunities for pupils to become fully involved in the life of the school. Enrichment is a strength of the school. Parents involved in the interviews were positive about the support their children receive from the school: ‘I honestly can’t thank [the school] enough for the patience, kindness, professionalism and understanding [they] have shown A and me…The SEN team have been outstanding.’ Parent</w:t>
      </w:r>
    </w:p>
    <w:p w14:paraId="2E9B5AA7" w14:textId="583D0E80" w:rsidR="00684D7C" w:rsidRPr="00715CCD" w:rsidRDefault="00684D7C" w:rsidP="00CC2DBA">
      <w:pPr>
        <w:pStyle w:val="ListParagraph"/>
        <w:numPr>
          <w:ilvl w:val="0"/>
          <w:numId w:val="7"/>
        </w:numPr>
        <w:spacing w:after="0"/>
        <w:rPr>
          <w:b/>
          <w:bCs/>
        </w:rPr>
      </w:pPr>
      <w:r>
        <w:t>Teaching assistants are well trained. They feel supported by senior leaders and welcome the quality of CPD they have received. Teaching assistants deliver a number of evidence</w:t>
      </w:r>
      <w:r w:rsidR="00715CCD">
        <w:t xml:space="preserve"> </w:t>
      </w:r>
      <w:r>
        <w:t>based interventions. There is some good strategic deployment of TAs across the school.</w:t>
      </w:r>
    </w:p>
    <w:p w14:paraId="7F29AE9D" w14:textId="5C21427C" w:rsidR="00715CCD" w:rsidRPr="00CC2DBA" w:rsidRDefault="00715CCD" w:rsidP="00CC2DBA">
      <w:pPr>
        <w:pStyle w:val="ListParagraph"/>
        <w:numPr>
          <w:ilvl w:val="0"/>
          <w:numId w:val="7"/>
        </w:numPr>
        <w:spacing w:after="0"/>
        <w:rPr>
          <w:b/>
          <w:bCs/>
        </w:rPr>
      </w:pPr>
      <w:r>
        <w:t>The school uses a wide range of data, including behaviour and attendance data, to ensure additional learning needs are not missed. A range of screening and assessment tools are used to ensure that the SEND register is accurate and reviewed regularly. The school uses outside agencies effectively to support accurate identification.</w:t>
      </w:r>
    </w:p>
    <w:p w14:paraId="13CB595B" w14:textId="77777777" w:rsidR="00266369" w:rsidRPr="00D26853" w:rsidRDefault="00266369" w:rsidP="003D4445">
      <w:pPr>
        <w:pStyle w:val="ListParagraph"/>
        <w:spacing w:after="0"/>
        <w:rPr>
          <w:b/>
          <w:bCs/>
        </w:rPr>
      </w:pPr>
    </w:p>
    <w:p w14:paraId="7A4FEF68" w14:textId="46CAFCDF" w:rsidR="001B2220" w:rsidRPr="00423EF8" w:rsidRDefault="001B2220" w:rsidP="001B2220">
      <w:pPr>
        <w:spacing w:after="0"/>
        <w:rPr>
          <w:b/>
          <w:bCs/>
          <w:u w:val="single"/>
        </w:rPr>
      </w:pPr>
      <w:r w:rsidRPr="00423EF8">
        <w:rPr>
          <w:b/>
          <w:bCs/>
          <w:u w:val="single"/>
        </w:rPr>
        <w:t>Key Priorities for 202</w:t>
      </w:r>
      <w:r w:rsidR="00285FF6" w:rsidRPr="00423EF8">
        <w:rPr>
          <w:b/>
          <w:bCs/>
          <w:u w:val="single"/>
        </w:rPr>
        <w:t>3</w:t>
      </w:r>
      <w:r w:rsidRPr="00423EF8">
        <w:rPr>
          <w:b/>
          <w:bCs/>
          <w:u w:val="single"/>
        </w:rPr>
        <w:t>‐202</w:t>
      </w:r>
      <w:r w:rsidR="00285FF6" w:rsidRPr="00423EF8">
        <w:rPr>
          <w:b/>
          <w:bCs/>
          <w:u w:val="single"/>
        </w:rPr>
        <w:t>4</w:t>
      </w:r>
      <w:r w:rsidRPr="00423EF8">
        <w:rPr>
          <w:b/>
          <w:bCs/>
          <w:u w:val="single"/>
        </w:rPr>
        <w:t> </w:t>
      </w:r>
    </w:p>
    <w:p w14:paraId="2FC17F8B" w14:textId="77777777" w:rsidR="004618D6" w:rsidRDefault="004618D6"/>
    <w:p w14:paraId="053575A4" w14:textId="264B6B30" w:rsidR="00715CCD" w:rsidRDefault="00715CCD">
      <w:r>
        <w:t>David had some recommendations including:</w:t>
      </w:r>
    </w:p>
    <w:p w14:paraId="5D4902F4" w14:textId="32F80EA0" w:rsidR="00EC4918" w:rsidRDefault="00EC4918" w:rsidP="00EC4918">
      <w:pPr>
        <w:pStyle w:val="ListParagraph"/>
        <w:numPr>
          <w:ilvl w:val="0"/>
          <w:numId w:val="8"/>
        </w:numPr>
      </w:pPr>
      <w:r>
        <w:t>Use resources such as the SEND Governance Review Guide as a framework to ensure trustees are able to provide both challenge and support. Consider additional training for trustees on SEND policy and practice.</w:t>
      </w:r>
    </w:p>
    <w:p w14:paraId="40B1824A" w14:textId="662B7044" w:rsidR="00EC4918" w:rsidRDefault="000278BE" w:rsidP="00EC4918">
      <w:pPr>
        <w:pStyle w:val="ListParagraph"/>
        <w:numPr>
          <w:ilvl w:val="0"/>
          <w:numId w:val="8"/>
        </w:numPr>
      </w:pPr>
      <w:r>
        <w:t>Continue to embed approaches to improving reading for pupils with SEND.</w:t>
      </w:r>
    </w:p>
    <w:p w14:paraId="4017A939" w14:textId="25D8E2D2" w:rsidR="000278BE" w:rsidRDefault="00EA11E1" w:rsidP="00EC4918">
      <w:pPr>
        <w:pStyle w:val="ListParagraph"/>
        <w:numPr>
          <w:ilvl w:val="0"/>
          <w:numId w:val="8"/>
        </w:numPr>
      </w:pPr>
      <w:r>
        <w:t>Review the structure of the SEND department and create teams. This includes developing roles further, by giving greater responsibility and autonomy to key members of staff so that the SENCO is able to delegate effectively. For example, the school might ensure TAs are linked to a broad area of SEND need; growing expertise and empowering colleagues to take greater responsibility</w:t>
      </w:r>
    </w:p>
    <w:p w14:paraId="70E9C62B" w14:textId="77B29E81" w:rsidR="00CF7783" w:rsidRDefault="00CF7783" w:rsidP="00EC4918">
      <w:pPr>
        <w:pStyle w:val="ListParagraph"/>
        <w:numPr>
          <w:ilvl w:val="0"/>
          <w:numId w:val="8"/>
        </w:numPr>
      </w:pPr>
      <w:r>
        <w:t>Ensure a more forensic approach to evaluating the impact of intervention. This should include re-visiting current exit and entry criteria and adding the following components to the provision mapping process: § Desired impact § Pre-intervention assessment § Post-intervention assessment/evaluation § Average gain.</w:t>
      </w:r>
    </w:p>
    <w:p w14:paraId="2A3AEB01" w14:textId="09B9BA02" w:rsidR="00CF7783" w:rsidRDefault="00C529CB" w:rsidP="00EC4918">
      <w:pPr>
        <w:pStyle w:val="ListParagraph"/>
        <w:numPr>
          <w:ilvl w:val="0"/>
          <w:numId w:val="8"/>
        </w:numPr>
      </w:pPr>
      <w:r>
        <w:lastRenderedPageBreak/>
        <w:t>Review current screening and assessment tools in the area of Communication and Interaction and SEMH in order to support accurate identification of SEND. An example of recommended assessments has been attached to this report. - Introduce a single referral process. Review referral data on a termly basis to inform provision and practice.</w:t>
      </w:r>
    </w:p>
    <w:sectPr w:rsidR="00CF7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1768"/>
    <w:multiLevelType w:val="hybridMultilevel"/>
    <w:tmpl w:val="52A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B0340"/>
    <w:multiLevelType w:val="hybridMultilevel"/>
    <w:tmpl w:val="BF4C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51D08"/>
    <w:multiLevelType w:val="hybridMultilevel"/>
    <w:tmpl w:val="DAE0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76A75"/>
    <w:multiLevelType w:val="hybridMultilevel"/>
    <w:tmpl w:val="8E2E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90F69"/>
    <w:multiLevelType w:val="hybridMultilevel"/>
    <w:tmpl w:val="26B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F4527"/>
    <w:multiLevelType w:val="hybridMultilevel"/>
    <w:tmpl w:val="6CBE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F3173"/>
    <w:multiLevelType w:val="hybridMultilevel"/>
    <w:tmpl w:val="FAD2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56251"/>
    <w:multiLevelType w:val="hybridMultilevel"/>
    <w:tmpl w:val="1974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D6"/>
    <w:rsid w:val="000265B8"/>
    <w:rsid w:val="00026CDE"/>
    <w:rsid w:val="000278BE"/>
    <w:rsid w:val="0003030F"/>
    <w:rsid w:val="00035A52"/>
    <w:rsid w:val="00042E34"/>
    <w:rsid w:val="00056957"/>
    <w:rsid w:val="000661E0"/>
    <w:rsid w:val="000C39B7"/>
    <w:rsid w:val="000F2CE5"/>
    <w:rsid w:val="001214F4"/>
    <w:rsid w:val="001455A2"/>
    <w:rsid w:val="001517E8"/>
    <w:rsid w:val="0018632D"/>
    <w:rsid w:val="00187767"/>
    <w:rsid w:val="001A7899"/>
    <w:rsid w:val="001B2220"/>
    <w:rsid w:val="001C5690"/>
    <w:rsid w:val="001D1D55"/>
    <w:rsid w:val="00201210"/>
    <w:rsid w:val="0020386B"/>
    <w:rsid w:val="0022479E"/>
    <w:rsid w:val="00243ECA"/>
    <w:rsid w:val="00244110"/>
    <w:rsid w:val="002452EE"/>
    <w:rsid w:val="00255027"/>
    <w:rsid w:val="00262F6C"/>
    <w:rsid w:val="00266369"/>
    <w:rsid w:val="002706F4"/>
    <w:rsid w:val="002827EC"/>
    <w:rsid w:val="00285FF6"/>
    <w:rsid w:val="00296C37"/>
    <w:rsid w:val="002C1806"/>
    <w:rsid w:val="002D2F37"/>
    <w:rsid w:val="002E5C35"/>
    <w:rsid w:val="002F6D31"/>
    <w:rsid w:val="00304CEB"/>
    <w:rsid w:val="0031643E"/>
    <w:rsid w:val="003463BD"/>
    <w:rsid w:val="00354673"/>
    <w:rsid w:val="003853F4"/>
    <w:rsid w:val="00392E4C"/>
    <w:rsid w:val="003B4647"/>
    <w:rsid w:val="003B70D7"/>
    <w:rsid w:val="003C18B5"/>
    <w:rsid w:val="003C2EB0"/>
    <w:rsid w:val="003D1022"/>
    <w:rsid w:val="003D4445"/>
    <w:rsid w:val="003E60F2"/>
    <w:rsid w:val="00423EF8"/>
    <w:rsid w:val="00434DB9"/>
    <w:rsid w:val="00441D77"/>
    <w:rsid w:val="00451F71"/>
    <w:rsid w:val="00454226"/>
    <w:rsid w:val="00460748"/>
    <w:rsid w:val="004618D6"/>
    <w:rsid w:val="00467410"/>
    <w:rsid w:val="004837BD"/>
    <w:rsid w:val="004937F6"/>
    <w:rsid w:val="004A242D"/>
    <w:rsid w:val="004B28E8"/>
    <w:rsid w:val="004D4839"/>
    <w:rsid w:val="004F7959"/>
    <w:rsid w:val="0050083C"/>
    <w:rsid w:val="00551B4E"/>
    <w:rsid w:val="005569C2"/>
    <w:rsid w:val="0057520C"/>
    <w:rsid w:val="005A2667"/>
    <w:rsid w:val="005B4995"/>
    <w:rsid w:val="005B5E2F"/>
    <w:rsid w:val="005C7DD5"/>
    <w:rsid w:val="005F5D48"/>
    <w:rsid w:val="0061068A"/>
    <w:rsid w:val="00612B9A"/>
    <w:rsid w:val="0062392C"/>
    <w:rsid w:val="00635909"/>
    <w:rsid w:val="006377DF"/>
    <w:rsid w:val="006604AF"/>
    <w:rsid w:val="00670AA3"/>
    <w:rsid w:val="00680144"/>
    <w:rsid w:val="00684D7C"/>
    <w:rsid w:val="006B5D7B"/>
    <w:rsid w:val="006B6B57"/>
    <w:rsid w:val="006F25AE"/>
    <w:rsid w:val="006F439C"/>
    <w:rsid w:val="00711F02"/>
    <w:rsid w:val="00715CCD"/>
    <w:rsid w:val="00727BE4"/>
    <w:rsid w:val="00740BEE"/>
    <w:rsid w:val="007745AB"/>
    <w:rsid w:val="0078593E"/>
    <w:rsid w:val="00793236"/>
    <w:rsid w:val="007962CF"/>
    <w:rsid w:val="007A2773"/>
    <w:rsid w:val="007A7CF2"/>
    <w:rsid w:val="007D2610"/>
    <w:rsid w:val="007D5411"/>
    <w:rsid w:val="007D725C"/>
    <w:rsid w:val="007E4E3B"/>
    <w:rsid w:val="0080118F"/>
    <w:rsid w:val="00823EF1"/>
    <w:rsid w:val="00830BCE"/>
    <w:rsid w:val="00853713"/>
    <w:rsid w:val="00870E54"/>
    <w:rsid w:val="008A35B4"/>
    <w:rsid w:val="008A7AAB"/>
    <w:rsid w:val="008B2280"/>
    <w:rsid w:val="008F26F3"/>
    <w:rsid w:val="00926D5C"/>
    <w:rsid w:val="0093148F"/>
    <w:rsid w:val="00933C43"/>
    <w:rsid w:val="0096012C"/>
    <w:rsid w:val="009655E6"/>
    <w:rsid w:val="009957F7"/>
    <w:rsid w:val="009D6DED"/>
    <w:rsid w:val="009E0BEE"/>
    <w:rsid w:val="00A77147"/>
    <w:rsid w:val="00A91250"/>
    <w:rsid w:val="00A94DA3"/>
    <w:rsid w:val="00AA6A0C"/>
    <w:rsid w:val="00AD220F"/>
    <w:rsid w:val="00AE6703"/>
    <w:rsid w:val="00B01ECC"/>
    <w:rsid w:val="00B02D1E"/>
    <w:rsid w:val="00B10571"/>
    <w:rsid w:val="00B50BEF"/>
    <w:rsid w:val="00B852AB"/>
    <w:rsid w:val="00B97E6D"/>
    <w:rsid w:val="00BD5875"/>
    <w:rsid w:val="00BD7EC4"/>
    <w:rsid w:val="00C00617"/>
    <w:rsid w:val="00C03B7B"/>
    <w:rsid w:val="00C251EC"/>
    <w:rsid w:val="00C35FD5"/>
    <w:rsid w:val="00C529CB"/>
    <w:rsid w:val="00C7609B"/>
    <w:rsid w:val="00C80D50"/>
    <w:rsid w:val="00C96BEF"/>
    <w:rsid w:val="00CA4138"/>
    <w:rsid w:val="00CB0522"/>
    <w:rsid w:val="00CC2DBA"/>
    <w:rsid w:val="00CC2E95"/>
    <w:rsid w:val="00CD550F"/>
    <w:rsid w:val="00CD7602"/>
    <w:rsid w:val="00CF7783"/>
    <w:rsid w:val="00D049B3"/>
    <w:rsid w:val="00D26853"/>
    <w:rsid w:val="00D30CFE"/>
    <w:rsid w:val="00D47401"/>
    <w:rsid w:val="00D74107"/>
    <w:rsid w:val="00DA045E"/>
    <w:rsid w:val="00DA3ACF"/>
    <w:rsid w:val="00DC3349"/>
    <w:rsid w:val="00DC46AD"/>
    <w:rsid w:val="00DE57BF"/>
    <w:rsid w:val="00E02F13"/>
    <w:rsid w:val="00E06604"/>
    <w:rsid w:val="00E11D97"/>
    <w:rsid w:val="00E27346"/>
    <w:rsid w:val="00E30725"/>
    <w:rsid w:val="00E43C89"/>
    <w:rsid w:val="00E56DE1"/>
    <w:rsid w:val="00E70D58"/>
    <w:rsid w:val="00E83A1D"/>
    <w:rsid w:val="00E918E2"/>
    <w:rsid w:val="00EA11E1"/>
    <w:rsid w:val="00EA1FF9"/>
    <w:rsid w:val="00EA4F49"/>
    <w:rsid w:val="00EC4918"/>
    <w:rsid w:val="00EC78C4"/>
    <w:rsid w:val="00EE110D"/>
    <w:rsid w:val="00EF5066"/>
    <w:rsid w:val="00EF6DD9"/>
    <w:rsid w:val="00EF7577"/>
    <w:rsid w:val="00F15876"/>
    <w:rsid w:val="00F667C2"/>
    <w:rsid w:val="00F86152"/>
    <w:rsid w:val="00FC1998"/>
    <w:rsid w:val="2E11C744"/>
    <w:rsid w:val="401956B8"/>
    <w:rsid w:val="4C0E1724"/>
    <w:rsid w:val="5138D902"/>
    <w:rsid w:val="545A8A57"/>
    <w:rsid w:val="588A0A2F"/>
    <w:rsid w:val="70E0D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2C3"/>
  <w15:chartTrackingRefBased/>
  <w15:docId w15:val="{01D67D40-EF02-49BC-B471-A07382F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Cook</dc:creator>
  <cp:keywords/>
  <dc:description/>
  <cp:lastModifiedBy>Emma Hardy</cp:lastModifiedBy>
  <cp:revision>3</cp:revision>
  <dcterms:created xsi:type="dcterms:W3CDTF">2023-12-06T15:48:00Z</dcterms:created>
  <dcterms:modified xsi:type="dcterms:W3CDTF">2024-01-12T11:26:00Z</dcterms:modified>
</cp:coreProperties>
</file>