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98CD" w14:textId="2389C82C" w:rsidR="5138D902" w:rsidRPr="00E651DD" w:rsidRDefault="2E11C744" w:rsidP="5138D902">
      <w:pPr>
        <w:rPr>
          <w:rFonts w:cstheme="minorHAnsi"/>
        </w:rPr>
      </w:pPr>
      <w:r w:rsidRPr="00E651DD">
        <w:rPr>
          <w:rFonts w:cstheme="minorHAnsi"/>
          <w:noProof/>
        </w:rPr>
        <w:drawing>
          <wp:inline distT="0" distB="0" distL="0" distR="0" wp14:anchorId="642F8BEF" wp14:editId="29B7497E">
            <wp:extent cx="5857875" cy="2324100"/>
            <wp:effectExtent l="0" t="0" r="0" b="0"/>
            <wp:docPr id="802799350" name="Picture 80279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57875" cy="2324100"/>
                    </a:xfrm>
                    <a:prstGeom prst="rect">
                      <a:avLst/>
                    </a:prstGeom>
                  </pic:spPr>
                </pic:pic>
              </a:graphicData>
            </a:graphic>
          </wp:inline>
        </w:drawing>
      </w:r>
    </w:p>
    <w:p w14:paraId="3497A5F4" w14:textId="5367C3C1" w:rsidR="004618D6" w:rsidRPr="00E651DD" w:rsidRDefault="004618D6">
      <w:pPr>
        <w:rPr>
          <w:rFonts w:cstheme="minorHAnsi"/>
        </w:rPr>
      </w:pPr>
      <w:r w:rsidRPr="00E651DD">
        <w:rPr>
          <w:rFonts w:cstheme="minorHAnsi"/>
        </w:rPr>
        <w:t>Annual SEND Report 202</w:t>
      </w:r>
      <w:r w:rsidR="006861AA" w:rsidRPr="00E651DD">
        <w:rPr>
          <w:rFonts w:cstheme="minorHAnsi"/>
        </w:rPr>
        <w:t>3</w:t>
      </w:r>
      <w:r w:rsidRPr="00E651DD">
        <w:rPr>
          <w:rFonts w:cstheme="minorHAnsi"/>
        </w:rPr>
        <w:t xml:space="preserve"> – 202</w:t>
      </w:r>
      <w:r w:rsidR="006861AA" w:rsidRPr="00E651DD">
        <w:rPr>
          <w:rFonts w:cstheme="minorHAnsi"/>
        </w:rPr>
        <w:t>4</w:t>
      </w:r>
    </w:p>
    <w:p w14:paraId="23EBB41C" w14:textId="5A9D3CB0" w:rsidR="004618D6" w:rsidRPr="00E651DD" w:rsidRDefault="004618D6" w:rsidP="004618D6">
      <w:pPr>
        <w:rPr>
          <w:rFonts w:cstheme="minorHAnsi"/>
        </w:rPr>
      </w:pPr>
      <w:r w:rsidRPr="00E651DD">
        <w:rPr>
          <w:rFonts w:cstheme="minorHAnsi"/>
        </w:rPr>
        <w:t>At Selwood, we</w:t>
      </w:r>
      <w:r w:rsidR="00454226" w:rsidRPr="00E651DD">
        <w:rPr>
          <w:rFonts w:cstheme="minorHAnsi"/>
          <w:shd w:val="clear" w:color="auto" w:fill="FFFFFF"/>
        </w:rPr>
        <w:t xml:space="preserve"> are committed to creating a safe, happy and enriching environment where we all aspire to thrive, achieve and celebrate success together.</w:t>
      </w:r>
      <w:r w:rsidRPr="00E651DD">
        <w:rPr>
          <w:rFonts w:cstheme="minorHAnsi"/>
        </w:rPr>
        <w:t xml:space="preserve"> </w:t>
      </w:r>
      <w:r w:rsidR="00454226" w:rsidRPr="00E651DD">
        <w:rPr>
          <w:rFonts w:cstheme="minorHAnsi"/>
        </w:rPr>
        <w:t xml:space="preserve">We </w:t>
      </w:r>
      <w:r w:rsidRPr="00E651DD">
        <w:rPr>
          <w:rFonts w:cstheme="minorHAnsi"/>
        </w:rPr>
        <w:t>believe that it is essential to provide a well-balanced, challenging curriculum for all pupils</w:t>
      </w:r>
      <w:r w:rsidR="00454226" w:rsidRPr="00E651DD">
        <w:rPr>
          <w:rFonts w:cstheme="minorHAnsi"/>
        </w:rPr>
        <w:t>, allowing our whole community to ‘let your light shine before others.’</w:t>
      </w:r>
      <w:r w:rsidRPr="00E651DD">
        <w:rPr>
          <w:rFonts w:cstheme="minorHAnsi"/>
        </w:rPr>
        <w:t xml:space="preserve"> We are committed to ensuring that all pupils, including those with special educational needs and disabilities (SEND), receive their right to a high quality, accessible and balanced curriculum. </w:t>
      </w:r>
    </w:p>
    <w:p w14:paraId="196866F1" w14:textId="6E0B921D" w:rsidR="004618D6" w:rsidRPr="00E651DD" w:rsidRDefault="004618D6" w:rsidP="004618D6">
      <w:pPr>
        <w:rPr>
          <w:rFonts w:cstheme="minorHAnsi"/>
        </w:rPr>
      </w:pPr>
      <w:r w:rsidRPr="00E651DD">
        <w:rPr>
          <w:rFonts w:cstheme="minorHAnsi"/>
        </w:rPr>
        <w:t>Our aim is</w:t>
      </w:r>
      <w:r w:rsidR="00454226" w:rsidRPr="00E651DD">
        <w:rPr>
          <w:rFonts w:cstheme="minorHAnsi"/>
          <w:shd w:val="clear" w:color="auto" w:fill="FFFFFF"/>
        </w:rPr>
        <w:t xml:space="preserve"> to promote the dignity and well-being of every </w:t>
      </w:r>
      <w:r w:rsidR="00CD550F" w:rsidRPr="00E651DD">
        <w:rPr>
          <w:rFonts w:cstheme="minorHAnsi"/>
          <w:shd w:val="clear" w:color="auto" w:fill="FFFFFF"/>
        </w:rPr>
        <w:t>pupil</w:t>
      </w:r>
      <w:r w:rsidR="00454226" w:rsidRPr="00E651DD">
        <w:rPr>
          <w:rFonts w:cstheme="minorHAnsi"/>
          <w:shd w:val="clear" w:color="auto" w:fill="FFFFFF"/>
        </w:rPr>
        <w:t xml:space="preserve"> and staff member and ensure they flourish in the course of their journey with us and </w:t>
      </w:r>
      <w:r w:rsidRPr="00E651DD">
        <w:rPr>
          <w:rFonts w:cstheme="minorHAnsi"/>
        </w:rPr>
        <w:t xml:space="preserve">to provide all </w:t>
      </w:r>
      <w:r w:rsidR="007A7CF2" w:rsidRPr="00E651DD">
        <w:rPr>
          <w:rFonts w:cstheme="minorHAnsi"/>
        </w:rPr>
        <w:t>pupils</w:t>
      </w:r>
      <w:r w:rsidRPr="00E651DD">
        <w:rPr>
          <w:rFonts w:cstheme="minorHAnsi"/>
        </w:rPr>
        <w:t xml:space="preserve"> with the best possible outcomes in preparation for life-long learning. We believe it is important that </w:t>
      </w:r>
      <w:r w:rsidR="007A7CF2" w:rsidRPr="00E651DD">
        <w:rPr>
          <w:rFonts w:cstheme="minorHAnsi"/>
        </w:rPr>
        <w:t>pupils</w:t>
      </w:r>
      <w:r w:rsidRPr="00E651DD">
        <w:rPr>
          <w:rFonts w:cstheme="minorHAnsi"/>
        </w:rPr>
        <w:t xml:space="preserve"> acquire skills, knowledge and confidence that can be applied to all future learning experiences, including social, physical and spiritual development. We endeavour to raise aspirations and expectations for all pupils, </w:t>
      </w:r>
      <w:r w:rsidR="00434DB9" w:rsidRPr="00E651DD">
        <w:rPr>
          <w:rFonts w:cstheme="minorHAnsi"/>
        </w:rPr>
        <w:t>especially</w:t>
      </w:r>
      <w:r w:rsidRPr="00E651DD">
        <w:rPr>
          <w:rFonts w:cstheme="minorHAnsi"/>
        </w:rPr>
        <w:t xml:space="preserve"> those pupils with SEND by working in partnership with parents/</w:t>
      </w:r>
      <w:r w:rsidR="00551B4E" w:rsidRPr="00E651DD">
        <w:rPr>
          <w:rFonts w:cstheme="minorHAnsi"/>
        </w:rPr>
        <w:t xml:space="preserve">carers and </w:t>
      </w:r>
      <w:r w:rsidR="00D47401" w:rsidRPr="00E651DD">
        <w:rPr>
          <w:rFonts w:cstheme="minorHAnsi"/>
        </w:rPr>
        <w:t>hearing every pupil’s voice.</w:t>
      </w:r>
    </w:p>
    <w:p w14:paraId="4CF165CF" w14:textId="77777777" w:rsidR="003068D5" w:rsidRPr="00E651DD" w:rsidRDefault="003068D5" w:rsidP="004618D6">
      <w:pPr>
        <w:rPr>
          <w:rFonts w:cstheme="minorHAnsi"/>
        </w:rPr>
      </w:pPr>
    </w:p>
    <w:p w14:paraId="4FF8C2DF" w14:textId="77777777" w:rsidR="004618D6" w:rsidRPr="00E651DD" w:rsidRDefault="004618D6" w:rsidP="004618D6">
      <w:pPr>
        <w:rPr>
          <w:rFonts w:cstheme="minorHAnsi"/>
          <w:b/>
          <w:bCs/>
          <w:u w:val="single"/>
        </w:rPr>
      </w:pPr>
      <w:r w:rsidRPr="00E651DD">
        <w:rPr>
          <w:rFonts w:cstheme="minorHAnsi"/>
          <w:b/>
          <w:bCs/>
          <w:u w:val="single"/>
        </w:rPr>
        <w:t>SEND School Profile</w:t>
      </w:r>
    </w:p>
    <w:p w14:paraId="71DE6389" w14:textId="6C847B0F" w:rsidR="002F6D31" w:rsidRPr="00E651DD" w:rsidRDefault="004618D6" w:rsidP="004618D6">
      <w:pPr>
        <w:rPr>
          <w:rFonts w:cstheme="minorHAnsi"/>
          <w:bCs/>
        </w:rPr>
      </w:pPr>
      <w:r w:rsidRPr="00E651DD">
        <w:rPr>
          <w:rFonts w:cstheme="minorHAnsi"/>
          <w:bCs/>
        </w:rPr>
        <w:t xml:space="preserve">SEND pupils </w:t>
      </w:r>
      <w:r w:rsidR="006F439C" w:rsidRPr="00E651DD">
        <w:rPr>
          <w:rFonts w:cstheme="minorHAnsi"/>
          <w:bCs/>
        </w:rPr>
        <w:t xml:space="preserve">make up </w:t>
      </w:r>
      <w:r w:rsidR="007A6741" w:rsidRPr="00E651DD">
        <w:rPr>
          <w:rFonts w:cstheme="minorHAnsi"/>
          <w:bCs/>
        </w:rPr>
        <w:t>just over one fifth</w:t>
      </w:r>
      <w:r w:rsidR="006F439C" w:rsidRPr="00E651DD">
        <w:rPr>
          <w:rFonts w:cstheme="minorHAnsi"/>
          <w:bCs/>
        </w:rPr>
        <w:t xml:space="preserve"> of the school’s </w:t>
      </w:r>
      <w:r w:rsidR="009B3D18" w:rsidRPr="00E651DD">
        <w:rPr>
          <w:rFonts w:cstheme="minorHAnsi"/>
          <w:bCs/>
        </w:rPr>
        <w:t>roll.</w:t>
      </w:r>
      <w:r w:rsidR="006F439C" w:rsidRPr="00E651DD">
        <w:rPr>
          <w:rFonts w:cstheme="minorHAnsi"/>
          <w:bCs/>
        </w:rPr>
        <w:t xml:space="preserve"> </w:t>
      </w:r>
    </w:p>
    <w:p w14:paraId="7A8A91C8" w14:textId="77777777" w:rsidR="003068D5" w:rsidRPr="00E651DD" w:rsidRDefault="003068D5" w:rsidP="004618D6">
      <w:pPr>
        <w:rPr>
          <w:rFonts w:cstheme="minorHAnsi"/>
          <w:b/>
          <w:bCs/>
        </w:rPr>
      </w:pPr>
    </w:p>
    <w:p w14:paraId="420F5597" w14:textId="68967711" w:rsidR="004618D6" w:rsidRPr="00E651DD" w:rsidRDefault="004618D6" w:rsidP="004618D6">
      <w:pPr>
        <w:rPr>
          <w:rFonts w:cstheme="minorHAnsi"/>
          <w:b/>
          <w:bCs/>
          <w:u w:val="single"/>
        </w:rPr>
      </w:pPr>
      <w:r w:rsidRPr="00E651DD">
        <w:rPr>
          <w:rFonts w:cstheme="minorHAnsi"/>
          <w:b/>
          <w:bCs/>
          <w:u w:val="single"/>
        </w:rPr>
        <w:t xml:space="preserve">Profile of pupils at Selwood with SEND </w:t>
      </w:r>
    </w:p>
    <w:tbl>
      <w:tblPr>
        <w:tblStyle w:val="TableGrid"/>
        <w:tblW w:w="10207" w:type="dxa"/>
        <w:tblInd w:w="-592" w:type="dxa"/>
        <w:tblLook w:val="04A0" w:firstRow="1" w:lastRow="0" w:firstColumn="1" w:lastColumn="0" w:noHBand="0" w:noVBand="1"/>
      </w:tblPr>
      <w:tblGrid>
        <w:gridCol w:w="3402"/>
        <w:gridCol w:w="1361"/>
        <w:gridCol w:w="1361"/>
        <w:gridCol w:w="1361"/>
        <w:gridCol w:w="1361"/>
        <w:gridCol w:w="1361"/>
      </w:tblGrid>
      <w:tr w:rsidR="006558CC" w:rsidRPr="00E651DD" w14:paraId="13A8A118" w14:textId="77777777" w:rsidTr="00536425">
        <w:tc>
          <w:tcPr>
            <w:tcW w:w="3402" w:type="dxa"/>
          </w:tcPr>
          <w:p w14:paraId="1A2E5C35" w14:textId="77777777" w:rsidR="006558CC" w:rsidRPr="00E651DD" w:rsidRDefault="006558CC" w:rsidP="00D0776F">
            <w:pPr>
              <w:jc w:val="center"/>
              <w:rPr>
                <w:rFonts w:cstheme="minorHAnsi"/>
              </w:rPr>
            </w:pPr>
          </w:p>
        </w:tc>
        <w:tc>
          <w:tcPr>
            <w:tcW w:w="1361" w:type="dxa"/>
          </w:tcPr>
          <w:p w14:paraId="7F9417C5" w14:textId="77777777" w:rsidR="006558CC" w:rsidRPr="00E651DD" w:rsidRDefault="006558CC" w:rsidP="00D0776F">
            <w:pPr>
              <w:jc w:val="center"/>
              <w:rPr>
                <w:rFonts w:cstheme="minorHAnsi"/>
              </w:rPr>
            </w:pPr>
            <w:r w:rsidRPr="00E651DD">
              <w:rPr>
                <w:rFonts w:cstheme="minorHAnsi"/>
              </w:rPr>
              <w:t>Year 5</w:t>
            </w:r>
          </w:p>
        </w:tc>
        <w:tc>
          <w:tcPr>
            <w:tcW w:w="1361" w:type="dxa"/>
          </w:tcPr>
          <w:p w14:paraId="6F60DB72" w14:textId="77777777" w:rsidR="006558CC" w:rsidRPr="00E651DD" w:rsidRDefault="006558CC" w:rsidP="00D0776F">
            <w:pPr>
              <w:jc w:val="center"/>
              <w:rPr>
                <w:rFonts w:cstheme="minorHAnsi"/>
              </w:rPr>
            </w:pPr>
            <w:r w:rsidRPr="00E651DD">
              <w:rPr>
                <w:rFonts w:cstheme="minorHAnsi"/>
              </w:rPr>
              <w:t>Year 6</w:t>
            </w:r>
          </w:p>
        </w:tc>
        <w:tc>
          <w:tcPr>
            <w:tcW w:w="1361" w:type="dxa"/>
          </w:tcPr>
          <w:p w14:paraId="71CFA06B" w14:textId="77777777" w:rsidR="006558CC" w:rsidRPr="00E651DD" w:rsidRDefault="006558CC" w:rsidP="00D0776F">
            <w:pPr>
              <w:jc w:val="center"/>
              <w:rPr>
                <w:rFonts w:cstheme="minorHAnsi"/>
              </w:rPr>
            </w:pPr>
            <w:r w:rsidRPr="00E651DD">
              <w:rPr>
                <w:rFonts w:cstheme="minorHAnsi"/>
              </w:rPr>
              <w:t>Year 7</w:t>
            </w:r>
          </w:p>
        </w:tc>
        <w:tc>
          <w:tcPr>
            <w:tcW w:w="1361" w:type="dxa"/>
          </w:tcPr>
          <w:p w14:paraId="454A1A63" w14:textId="77777777" w:rsidR="006558CC" w:rsidRPr="00E651DD" w:rsidRDefault="006558CC" w:rsidP="00D0776F">
            <w:pPr>
              <w:jc w:val="center"/>
              <w:rPr>
                <w:rFonts w:cstheme="minorHAnsi"/>
              </w:rPr>
            </w:pPr>
            <w:r w:rsidRPr="00E651DD">
              <w:rPr>
                <w:rFonts w:cstheme="minorHAnsi"/>
              </w:rPr>
              <w:t>Year 8</w:t>
            </w:r>
          </w:p>
        </w:tc>
        <w:tc>
          <w:tcPr>
            <w:tcW w:w="1361" w:type="dxa"/>
          </w:tcPr>
          <w:p w14:paraId="46E328FF" w14:textId="77777777" w:rsidR="006558CC" w:rsidRPr="00E651DD" w:rsidRDefault="006558CC" w:rsidP="00D0776F">
            <w:pPr>
              <w:jc w:val="center"/>
              <w:rPr>
                <w:rFonts w:cstheme="minorHAnsi"/>
              </w:rPr>
            </w:pPr>
            <w:r w:rsidRPr="00E651DD">
              <w:rPr>
                <w:rFonts w:cstheme="minorHAnsi"/>
              </w:rPr>
              <w:t>Total</w:t>
            </w:r>
          </w:p>
        </w:tc>
      </w:tr>
      <w:tr w:rsidR="006558CC" w:rsidRPr="00E651DD" w14:paraId="002953C8" w14:textId="77777777" w:rsidTr="00536425">
        <w:tc>
          <w:tcPr>
            <w:tcW w:w="3402" w:type="dxa"/>
          </w:tcPr>
          <w:p w14:paraId="4738E31F" w14:textId="77777777" w:rsidR="006558CC" w:rsidRPr="00E651DD" w:rsidRDefault="006558CC" w:rsidP="00D0776F">
            <w:pPr>
              <w:rPr>
                <w:rFonts w:cstheme="minorHAnsi"/>
              </w:rPr>
            </w:pPr>
            <w:r w:rsidRPr="00E651DD">
              <w:rPr>
                <w:rFonts w:cstheme="minorHAnsi"/>
              </w:rPr>
              <w:t>No. of pupils on register</w:t>
            </w:r>
          </w:p>
        </w:tc>
        <w:tc>
          <w:tcPr>
            <w:tcW w:w="1361" w:type="dxa"/>
          </w:tcPr>
          <w:p w14:paraId="6C6DE816" w14:textId="77777777" w:rsidR="006558CC" w:rsidRPr="00E651DD" w:rsidRDefault="006558CC" w:rsidP="00D0776F">
            <w:pPr>
              <w:jc w:val="center"/>
              <w:rPr>
                <w:rFonts w:cstheme="minorHAnsi"/>
              </w:rPr>
            </w:pPr>
            <w:r w:rsidRPr="00E651DD">
              <w:rPr>
                <w:rFonts w:cstheme="minorHAnsi"/>
              </w:rPr>
              <w:t>31</w:t>
            </w:r>
          </w:p>
        </w:tc>
        <w:tc>
          <w:tcPr>
            <w:tcW w:w="1361" w:type="dxa"/>
          </w:tcPr>
          <w:p w14:paraId="4F6D8D4D" w14:textId="77777777" w:rsidR="006558CC" w:rsidRPr="00E651DD" w:rsidRDefault="006558CC" w:rsidP="00D0776F">
            <w:pPr>
              <w:jc w:val="center"/>
              <w:rPr>
                <w:rFonts w:cstheme="minorHAnsi"/>
              </w:rPr>
            </w:pPr>
            <w:r w:rsidRPr="00E651DD">
              <w:rPr>
                <w:rFonts w:cstheme="minorHAnsi"/>
              </w:rPr>
              <w:t>34</w:t>
            </w:r>
          </w:p>
        </w:tc>
        <w:tc>
          <w:tcPr>
            <w:tcW w:w="1361" w:type="dxa"/>
          </w:tcPr>
          <w:p w14:paraId="38D29FCF" w14:textId="77777777" w:rsidR="006558CC" w:rsidRPr="00E651DD" w:rsidRDefault="006558CC" w:rsidP="00D0776F">
            <w:pPr>
              <w:jc w:val="center"/>
              <w:rPr>
                <w:rFonts w:cstheme="minorHAnsi"/>
              </w:rPr>
            </w:pPr>
            <w:r w:rsidRPr="00E651DD">
              <w:rPr>
                <w:rFonts w:cstheme="minorHAnsi"/>
              </w:rPr>
              <w:t>22</w:t>
            </w:r>
          </w:p>
        </w:tc>
        <w:tc>
          <w:tcPr>
            <w:tcW w:w="1361" w:type="dxa"/>
          </w:tcPr>
          <w:p w14:paraId="0349A411" w14:textId="77777777" w:rsidR="006558CC" w:rsidRPr="00E651DD" w:rsidRDefault="006558CC" w:rsidP="00D0776F">
            <w:pPr>
              <w:jc w:val="center"/>
              <w:rPr>
                <w:rFonts w:cstheme="minorHAnsi"/>
              </w:rPr>
            </w:pPr>
            <w:r w:rsidRPr="00E651DD">
              <w:rPr>
                <w:rFonts w:cstheme="minorHAnsi"/>
              </w:rPr>
              <w:t>38</w:t>
            </w:r>
          </w:p>
        </w:tc>
        <w:tc>
          <w:tcPr>
            <w:tcW w:w="1361" w:type="dxa"/>
          </w:tcPr>
          <w:p w14:paraId="3B27C7D0" w14:textId="77777777" w:rsidR="006558CC" w:rsidRPr="00E651DD" w:rsidRDefault="006558CC" w:rsidP="00D0776F">
            <w:pPr>
              <w:jc w:val="center"/>
              <w:rPr>
                <w:rFonts w:cstheme="minorHAnsi"/>
              </w:rPr>
            </w:pPr>
            <w:r w:rsidRPr="00E651DD">
              <w:rPr>
                <w:rFonts w:cstheme="minorHAnsi"/>
              </w:rPr>
              <w:t>125</w:t>
            </w:r>
          </w:p>
        </w:tc>
      </w:tr>
      <w:tr w:rsidR="006558CC" w:rsidRPr="00E651DD" w14:paraId="13E8EAAA" w14:textId="77777777" w:rsidTr="00536425">
        <w:tc>
          <w:tcPr>
            <w:tcW w:w="3402" w:type="dxa"/>
          </w:tcPr>
          <w:p w14:paraId="4C7FC246" w14:textId="77777777" w:rsidR="006558CC" w:rsidRPr="00E651DD" w:rsidRDefault="006558CC" w:rsidP="00D0776F">
            <w:pPr>
              <w:rPr>
                <w:rFonts w:cstheme="minorHAnsi"/>
              </w:rPr>
            </w:pPr>
            <w:r w:rsidRPr="00E651DD">
              <w:rPr>
                <w:rFonts w:cstheme="minorHAnsi"/>
              </w:rPr>
              <w:t>No. of pupils with SEND support</w:t>
            </w:r>
          </w:p>
        </w:tc>
        <w:tc>
          <w:tcPr>
            <w:tcW w:w="1361" w:type="dxa"/>
          </w:tcPr>
          <w:p w14:paraId="5C4CCE1F" w14:textId="77777777" w:rsidR="006558CC" w:rsidRPr="00E651DD" w:rsidRDefault="006558CC" w:rsidP="00D0776F">
            <w:pPr>
              <w:jc w:val="center"/>
              <w:rPr>
                <w:rFonts w:cstheme="minorHAnsi"/>
              </w:rPr>
            </w:pPr>
            <w:r w:rsidRPr="00E651DD">
              <w:rPr>
                <w:rFonts w:cstheme="minorHAnsi"/>
              </w:rPr>
              <w:t>31</w:t>
            </w:r>
          </w:p>
        </w:tc>
        <w:tc>
          <w:tcPr>
            <w:tcW w:w="1361" w:type="dxa"/>
          </w:tcPr>
          <w:p w14:paraId="098C698F" w14:textId="77777777" w:rsidR="006558CC" w:rsidRPr="00E651DD" w:rsidRDefault="006558CC" w:rsidP="00D0776F">
            <w:pPr>
              <w:jc w:val="center"/>
              <w:rPr>
                <w:rFonts w:cstheme="minorHAnsi"/>
              </w:rPr>
            </w:pPr>
            <w:r w:rsidRPr="00E651DD">
              <w:rPr>
                <w:rFonts w:cstheme="minorHAnsi"/>
              </w:rPr>
              <w:t>26</w:t>
            </w:r>
          </w:p>
        </w:tc>
        <w:tc>
          <w:tcPr>
            <w:tcW w:w="1361" w:type="dxa"/>
          </w:tcPr>
          <w:p w14:paraId="6ABA54CF" w14:textId="77777777" w:rsidR="006558CC" w:rsidRPr="00E651DD" w:rsidRDefault="006558CC" w:rsidP="00D0776F">
            <w:pPr>
              <w:jc w:val="center"/>
              <w:rPr>
                <w:rFonts w:cstheme="minorHAnsi"/>
              </w:rPr>
            </w:pPr>
            <w:r w:rsidRPr="00E651DD">
              <w:rPr>
                <w:rFonts w:cstheme="minorHAnsi"/>
              </w:rPr>
              <w:t>17</w:t>
            </w:r>
          </w:p>
        </w:tc>
        <w:tc>
          <w:tcPr>
            <w:tcW w:w="1361" w:type="dxa"/>
          </w:tcPr>
          <w:p w14:paraId="09547C71" w14:textId="77777777" w:rsidR="006558CC" w:rsidRPr="00E651DD" w:rsidRDefault="006558CC" w:rsidP="00D0776F">
            <w:pPr>
              <w:jc w:val="center"/>
              <w:rPr>
                <w:rFonts w:cstheme="minorHAnsi"/>
              </w:rPr>
            </w:pPr>
            <w:r w:rsidRPr="00E651DD">
              <w:rPr>
                <w:rFonts w:cstheme="minorHAnsi"/>
              </w:rPr>
              <w:t>32</w:t>
            </w:r>
          </w:p>
        </w:tc>
        <w:tc>
          <w:tcPr>
            <w:tcW w:w="1361" w:type="dxa"/>
          </w:tcPr>
          <w:p w14:paraId="0936BC78" w14:textId="77777777" w:rsidR="006558CC" w:rsidRPr="00E651DD" w:rsidRDefault="006558CC" w:rsidP="00D0776F">
            <w:pPr>
              <w:jc w:val="center"/>
              <w:rPr>
                <w:rFonts w:cstheme="minorHAnsi"/>
              </w:rPr>
            </w:pPr>
            <w:r w:rsidRPr="00E651DD">
              <w:rPr>
                <w:rFonts w:cstheme="minorHAnsi"/>
              </w:rPr>
              <w:t>106</w:t>
            </w:r>
          </w:p>
        </w:tc>
      </w:tr>
      <w:tr w:rsidR="006558CC" w:rsidRPr="00E651DD" w14:paraId="161E65BA" w14:textId="77777777" w:rsidTr="00536425">
        <w:tc>
          <w:tcPr>
            <w:tcW w:w="3402" w:type="dxa"/>
          </w:tcPr>
          <w:p w14:paraId="697F2F88" w14:textId="77777777" w:rsidR="006558CC" w:rsidRPr="00E651DD" w:rsidRDefault="006558CC" w:rsidP="00D0776F">
            <w:pPr>
              <w:rPr>
                <w:rFonts w:cstheme="minorHAnsi"/>
              </w:rPr>
            </w:pPr>
            <w:r w:rsidRPr="00E651DD">
              <w:rPr>
                <w:rFonts w:cstheme="minorHAnsi"/>
              </w:rPr>
              <w:t>No. of pupils with EHCP</w:t>
            </w:r>
          </w:p>
        </w:tc>
        <w:tc>
          <w:tcPr>
            <w:tcW w:w="1361" w:type="dxa"/>
          </w:tcPr>
          <w:p w14:paraId="4F4F61F3" w14:textId="77777777" w:rsidR="006558CC" w:rsidRPr="00E651DD" w:rsidRDefault="006558CC" w:rsidP="00D0776F">
            <w:pPr>
              <w:jc w:val="center"/>
              <w:rPr>
                <w:rFonts w:cstheme="minorHAnsi"/>
              </w:rPr>
            </w:pPr>
            <w:r w:rsidRPr="00E651DD">
              <w:rPr>
                <w:rFonts w:cstheme="minorHAnsi"/>
              </w:rPr>
              <w:t>0</w:t>
            </w:r>
          </w:p>
        </w:tc>
        <w:tc>
          <w:tcPr>
            <w:tcW w:w="1361" w:type="dxa"/>
          </w:tcPr>
          <w:p w14:paraId="336D968C" w14:textId="77777777" w:rsidR="006558CC" w:rsidRPr="00E651DD" w:rsidRDefault="006558CC" w:rsidP="00D0776F">
            <w:pPr>
              <w:jc w:val="center"/>
              <w:rPr>
                <w:rFonts w:cstheme="minorHAnsi"/>
              </w:rPr>
            </w:pPr>
            <w:r w:rsidRPr="00E651DD">
              <w:rPr>
                <w:rFonts w:cstheme="minorHAnsi"/>
              </w:rPr>
              <w:t>8</w:t>
            </w:r>
          </w:p>
        </w:tc>
        <w:tc>
          <w:tcPr>
            <w:tcW w:w="1361" w:type="dxa"/>
          </w:tcPr>
          <w:p w14:paraId="0E354896" w14:textId="77777777" w:rsidR="006558CC" w:rsidRPr="00E651DD" w:rsidRDefault="006558CC" w:rsidP="00D0776F">
            <w:pPr>
              <w:jc w:val="center"/>
              <w:rPr>
                <w:rFonts w:cstheme="minorHAnsi"/>
              </w:rPr>
            </w:pPr>
            <w:r w:rsidRPr="00E651DD">
              <w:rPr>
                <w:rFonts w:cstheme="minorHAnsi"/>
              </w:rPr>
              <w:t>6</w:t>
            </w:r>
          </w:p>
        </w:tc>
        <w:tc>
          <w:tcPr>
            <w:tcW w:w="1361" w:type="dxa"/>
          </w:tcPr>
          <w:p w14:paraId="2D2E6029" w14:textId="77777777" w:rsidR="006558CC" w:rsidRPr="00E651DD" w:rsidRDefault="006558CC" w:rsidP="00D0776F">
            <w:pPr>
              <w:jc w:val="center"/>
              <w:rPr>
                <w:rFonts w:cstheme="minorHAnsi"/>
              </w:rPr>
            </w:pPr>
            <w:r w:rsidRPr="00E651DD">
              <w:rPr>
                <w:rFonts w:cstheme="minorHAnsi"/>
              </w:rPr>
              <w:t>5</w:t>
            </w:r>
          </w:p>
        </w:tc>
        <w:tc>
          <w:tcPr>
            <w:tcW w:w="1361" w:type="dxa"/>
          </w:tcPr>
          <w:p w14:paraId="672BCB2D" w14:textId="77777777" w:rsidR="006558CC" w:rsidRPr="00E651DD" w:rsidRDefault="006558CC" w:rsidP="00D0776F">
            <w:pPr>
              <w:jc w:val="center"/>
              <w:rPr>
                <w:rFonts w:cstheme="minorHAnsi"/>
              </w:rPr>
            </w:pPr>
            <w:r w:rsidRPr="00E651DD">
              <w:rPr>
                <w:rFonts w:cstheme="minorHAnsi"/>
              </w:rPr>
              <w:t>19</w:t>
            </w:r>
          </w:p>
        </w:tc>
      </w:tr>
    </w:tbl>
    <w:p w14:paraId="0C8FBA1A" w14:textId="77777777" w:rsidR="00B3673C" w:rsidRPr="00E651DD" w:rsidRDefault="00B3673C" w:rsidP="004618D6">
      <w:pPr>
        <w:rPr>
          <w:rFonts w:cstheme="minorHAnsi"/>
          <w:b/>
          <w:bCs/>
          <w:u w:val="single"/>
        </w:rPr>
      </w:pPr>
    </w:p>
    <w:p w14:paraId="53964CE8" w14:textId="77777777" w:rsidR="004618D6" w:rsidRPr="00E651DD" w:rsidRDefault="004618D6" w:rsidP="004618D6">
      <w:pPr>
        <w:rPr>
          <w:rFonts w:cstheme="minorHAnsi"/>
          <w:b/>
          <w:bCs/>
          <w:u w:val="single"/>
        </w:rPr>
      </w:pPr>
      <w:r w:rsidRPr="00E651DD">
        <w:rPr>
          <w:rFonts w:cstheme="minorHAnsi"/>
          <w:b/>
          <w:bCs/>
          <w:u w:val="single"/>
        </w:rPr>
        <w:t xml:space="preserve">Identifying Special Educational Needs  </w:t>
      </w:r>
    </w:p>
    <w:p w14:paraId="0E5F13C2" w14:textId="5B031895" w:rsidR="00DE60CD" w:rsidRPr="00E651DD" w:rsidRDefault="007A7CF2" w:rsidP="00B01ECC">
      <w:pPr>
        <w:spacing w:after="0" w:line="240" w:lineRule="auto"/>
        <w:rPr>
          <w:rFonts w:cstheme="minorHAnsi"/>
        </w:rPr>
      </w:pPr>
      <w:r w:rsidRPr="00E651DD">
        <w:rPr>
          <w:rFonts w:cstheme="minorHAnsi"/>
        </w:rPr>
        <w:t>Pupil</w:t>
      </w:r>
      <w:r w:rsidR="004618D6" w:rsidRPr="00E651DD">
        <w:rPr>
          <w:rFonts w:cstheme="minorHAnsi"/>
        </w:rPr>
        <w:t>’s needs </w:t>
      </w:r>
      <w:r w:rsidR="00476810" w:rsidRPr="00E651DD">
        <w:rPr>
          <w:rFonts w:cstheme="minorHAnsi"/>
        </w:rPr>
        <w:t>are</w:t>
      </w:r>
      <w:r w:rsidR="00C251EC" w:rsidRPr="00E651DD">
        <w:rPr>
          <w:rFonts w:cstheme="minorHAnsi"/>
        </w:rPr>
        <w:t> categorised into four broad</w:t>
      </w:r>
      <w:r w:rsidR="004618D6" w:rsidRPr="00E651DD">
        <w:rPr>
          <w:rFonts w:cstheme="minorHAnsi"/>
        </w:rPr>
        <w:t> areas, these </w:t>
      </w:r>
      <w:r w:rsidR="003068D5" w:rsidRPr="00E651DD">
        <w:rPr>
          <w:rFonts w:cstheme="minorHAnsi"/>
        </w:rPr>
        <w:t>are</w:t>
      </w:r>
      <w:r w:rsidR="004618D6" w:rsidRPr="00E651DD">
        <w:rPr>
          <w:rFonts w:cstheme="minorHAnsi"/>
        </w:rPr>
        <w:t xml:space="preserve">: </w:t>
      </w:r>
    </w:p>
    <w:p w14:paraId="5290E697" w14:textId="77777777" w:rsidR="00DE60CD" w:rsidRPr="00E651DD" w:rsidRDefault="00DE60CD" w:rsidP="00B01ECC">
      <w:pPr>
        <w:spacing w:after="0" w:line="240" w:lineRule="auto"/>
        <w:rPr>
          <w:rFonts w:cstheme="minorHAnsi"/>
        </w:rPr>
      </w:pPr>
    </w:p>
    <w:p w14:paraId="2B4149D5" w14:textId="02BA4128" w:rsidR="00DE60CD" w:rsidRPr="00E651DD" w:rsidRDefault="00DE60CD" w:rsidP="00DE60CD">
      <w:pPr>
        <w:pStyle w:val="ListParagraph"/>
        <w:numPr>
          <w:ilvl w:val="0"/>
          <w:numId w:val="9"/>
        </w:numPr>
        <w:spacing w:after="0" w:line="240" w:lineRule="auto"/>
        <w:rPr>
          <w:rFonts w:cstheme="minorHAnsi"/>
        </w:rPr>
      </w:pPr>
      <w:r w:rsidRPr="00E651DD">
        <w:rPr>
          <w:rFonts w:cstheme="minorHAnsi"/>
        </w:rPr>
        <w:t>Communication and Interaction</w:t>
      </w:r>
    </w:p>
    <w:p w14:paraId="02B73986" w14:textId="77777777" w:rsidR="00DE60CD" w:rsidRPr="00E651DD" w:rsidRDefault="00DE60CD" w:rsidP="00DE60CD">
      <w:pPr>
        <w:pStyle w:val="ListParagraph"/>
        <w:numPr>
          <w:ilvl w:val="0"/>
          <w:numId w:val="9"/>
        </w:numPr>
        <w:spacing w:after="0" w:line="240" w:lineRule="auto"/>
        <w:rPr>
          <w:rFonts w:cstheme="minorHAnsi"/>
        </w:rPr>
      </w:pPr>
      <w:r w:rsidRPr="00E651DD">
        <w:rPr>
          <w:rFonts w:cstheme="minorHAnsi"/>
        </w:rPr>
        <w:t>Cognition and Learning</w:t>
      </w:r>
    </w:p>
    <w:p w14:paraId="7FF9A223" w14:textId="77777777" w:rsidR="00DE60CD" w:rsidRPr="00E651DD" w:rsidRDefault="00DE60CD" w:rsidP="00DE60CD">
      <w:pPr>
        <w:pStyle w:val="ListParagraph"/>
        <w:numPr>
          <w:ilvl w:val="0"/>
          <w:numId w:val="9"/>
        </w:numPr>
        <w:spacing w:after="0" w:line="240" w:lineRule="auto"/>
        <w:rPr>
          <w:rFonts w:cstheme="minorHAnsi"/>
        </w:rPr>
      </w:pPr>
      <w:r w:rsidRPr="00E651DD">
        <w:rPr>
          <w:rFonts w:cstheme="minorHAnsi"/>
        </w:rPr>
        <w:lastRenderedPageBreak/>
        <w:t>Social, Emotional and Mental Health</w:t>
      </w:r>
    </w:p>
    <w:p w14:paraId="6C225243" w14:textId="1F17FDF7" w:rsidR="004618D6" w:rsidRPr="00E651DD" w:rsidRDefault="00DE60CD" w:rsidP="00DE60CD">
      <w:pPr>
        <w:pStyle w:val="ListParagraph"/>
        <w:numPr>
          <w:ilvl w:val="0"/>
          <w:numId w:val="9"/>
        </w:numPr>
        <w:spacing w:after="0" w:line="240" w:lineRule="auto"/>
        <w:rPr>
          <w:rFonts w:cstheme="minorHAnsi"/>
        </w:rPr>
      </w:pPr>
      <w:r w:rsidRPr="00E651DD">
        <w:rPr>
          <w:rFonts w:cstheme="minorHAnsi"/>
        </w:rPr>
        <w:t>Sensory and/or Physical</w:t>
      </w:r>
    </w:p>
    <w:p w14:paraId="44EAFD9C" w14:textId="77777777" w:rsidR="00B01ECC" w:rsidRPr="00E651DD" w:rsidRDefault="00B01ECC" w:rsidP="00B01ECC">
      <w:pPr>
        <w:spacing w:after="0" w:line="240" w:lineRule="auto"/>
        <w:rPr>
          <w:rFonts w:cstheme="minorHAnsi"/>
        </w:rPr>
      </w:pPr>
    </w:p>
    <w:p w14:paraId="4D79FBCA" w14:textId="77777777" w:rsidR="003147D0" w:rsidRPr="00E651DD" w:rsidRDefault="003147D0" w:rsidP="001B2220">
      <w:pPr>
        <w:spacing w:after="0"/>
        <w:rPr>
          <w:rFonts w:cstheme="minorHAnsi"/>
          <w:b/>
          <w:bCs/>
          <w:u w:val="single"/>
        </w:rPr>
      </w:pPr>
    </w:p>
    <w:p w14:paraId="7D80DE55" w14:textId="5BBD5976" w:rsidR="001B2220" w:rsidRPr="00E651DD" w:rsidRDefault="001B2220" w:rsidP="001B2220">
      <w:pPr>
        <w:spacing w:after="0"/>
        <w:rPr>
          <w:rFonts w:cstheme="minorHAnsi"/>
          <w:b/>
          <w:bCs/>
        </w:rPr>
      </w:pPr>
      <w:r w:rsidRPr="00E651DD">
        <w:rPr>
          <w:rFonts w:cstheme="minorHAnsi"/>
          <w:b/>
          <w:bCs/>
        </w:rPr>
        <w:t>Early identification</w:t>
      </w:r>
    </w:p>
    <w:p w14:paraId="0A1DDEFC" w14:textId="77777777" w:rsidR="003147D0" w:rsidRPr="00E651DD" w:rsidRDefault="003147D0" w:rsidP="001B2220">
      <w:pPr>
        <w:spacing w:after="0"/>
        <w:rPr>
          <w:rFonts w:cstheme="minorHAnsi"/>
          <w:b/>
          <w:bCs/>
          <w:u w:val="single"/>
        </w:rPr>
      </w:pPr>
    </w:p>
    <w:p w14:paraId="2429F0A9" w14:textId="0409A9C5" w:rsidR="00B01ECC" w:rsidRPr="00E651DD" w:rsidRDefault="001B2220" w:rsidP="001B2220">
      <w:pPr>
        <w:spacing w:after="0"/>
        <w:rPr>
          <w:rFonts w:cstheme="minorHAnsi"/>
        </w:rPr>
      </w:pPr>
      <w:r w:rsidRPr="00E651DD">
        <w:rPr>
          <w:rFonts w:cstheme="minorHAnsi"/>
        </w:rPr>
        <w:t>We believe that early identification of special educational needs, whether it is social, emotional, </w:t>
      </w:r>
      <w:r w:rsidR="00B01ECC" w:rsidRPr="00E651DD">
        <w:rPr>
          <w:rFonts w:cstheme="minorHAnsi"/>
        </w:rPr>
        <w:t xml:space="preserve">  </w:t>
      </w:r>
    </w:p>
    <w:p w14:paraId="1F617225" w14:textId="44450B20" w:rsidR="001B2220" w:rsidRPr="00E651DD" w:rsidRDefault="007A7CF2" w:rsidP="001B2220">
      <w:pPr>
        <w:spacing w:after="0"/>
        <w:rPr>
          <w:rFonts w:cstheme="minorHAnsi"/>
        </w:rPr>
      </w:pPr>
      <w:r w:rsidRPr="00E651DD">
        <w:rPr>
          <w:rFonts w:cstheme="minorHAnsi"/>
        </w:rPr>
        <w:t>p</w:t>
      </w:r>
      <w:r w:rsidR="00B01ECC" w:rsidRPr="00E651DD">
        <w:rPr>
          <w:rFonts w:cstheme="minorHAnsi"/>
        </w:rPr>
        <w:t>hysical, communication or a specific learning difficulty, is cru</w:t>
      </w:r>
      <w:r w:rsidR="00635909" w:rsidRPr="00E651DD">
        <w:rPr>
          <w:rFonts w:cstheme="minorHAnsi"/>
        </w:rPr>
        <w:t>c</w:t>
      </w:r>
      <w:r w:rsidR="00B01ECC" w:rsidRPr="00E651DD">
        <w:rPr>
          <w:rFonts w:cstheme="minorHAnsi"/>
        </w:rPr>
        <w:t>ial to the wellbeing of all of our pupils.</w:t>
      </w:r>
      <w:r w:rsidR="001B2220" w:rsidRPr="00E651DD">
        <w:rPr>
          <w:rFonts w:cstheme="minorHAnsi"/>
        </w:rPr>
        <w:t> </w:t>
      </w:r>
    </w:p>
    <w:p w14:paraId="049F31CB" w14:textId="77777777" w:rsidR="001B2220" w:rsidRPr="00E651DD" w:rsidRDefault="001B2220" w:rsidP="001B2220">
      <w:pPr>
        <w:spacing w:after="0"/>
        <w:rPr>
          <w:rFonts w:cstheme="minorHAnsi"/>
        </w:rPr>
      </w:pPr>
    </w:p>
    <w:p w14:paraId="6767F916" w14:textId="77777777" w:rsidR="001B2220" w:rsidRPr="00E651DD" w:rsidRDefault="001B2220" w:rsidP="001B2220">
      <w:pPr>
        <w:spacing w:after="0"/>
        <w:rPr>
          <w:rFonts w:cstheme="minorHAnsi"/>
        </w:rPr>
      </w:pPr>
      <w:r w:rsidRPr="00E651DD">
        <w:rPr>
          <w:rFonts w:cstheme="minorHAnsi"/>
        </w:rPr>
        <w:t>To support us in our early intervention we:  </w:t>
      </w:r>
    </w:p>
    <w:p w14:paraId="4BFD2139" w14:textId="0E4D3F54" w:rsidR="001B2220" w:rsidRPr="00E651DD" w:rsidRDefault="001B2220" w:rsidP="001B2220">
      <w:pPr>
        <w:spacing w:after="0"/>
        <w:rPr>
          <w:rFonts w:cstheme="minorHAnsi"/>
        </w:rPr>
      </w:pPr>
      <w:r w:rsidRPr="00E651DD">
        <w:rPr>
          <w:rFonts w:cstheme="minorHAnsi"/>
        </w:rPr>
        <w:t xml:space="preserve">1. Contact the </w:t>
      </w:r>
      <w:r w:rsidR="00B01ECC" w:rsidRPr="00E651DD">
        <w:rPr>
          <w:rFonts w:cstheme="minorHAnsi"/>
        </w:rPr>
        <w:t>first schools</w:t>
      </w:r>
      <w:r w:rsidRPr="00E651DD">
        <w:rPr>
          <w:rFonts w:cstheme="minorHAnsi"/>
        </w:rPr>
        <w:t xml:space="preserve"> and have professional dialogue for all </w:t>
      </w:r>
      <w:r w:rsidR="00B01ECC" w:rsidRPr="00E651DD">
        <w:rPr>
          <w:rFonts w:cstheme="minorHAnsi"/>
        </w:rPr>
        <w:t>Y</w:t>
      </w:r>
      <w:r w:rsidR="003760B7" w:rsidRPr="00E651DD">
        <w:rPr>
          <w:rFonts w:cstheme="minorHAnsi"/>
        </w:rPr>
        <w:t>4</w:t>
      </w:r>
      <w:r w:rsidR="00B01ECC" w:rsidRPr="00E651DD">
        <w:rPr>
          <w:rFonts w:cstheme="minorHAnsi"/>
        </w:rPr>
        <w:t xml:space="preserve"> </w:t>
      </w:r>
      <w:r w:rsidRPr="00E651DD">
        <w:rPr>
          <w:rFonts w:cstheme="minorHAnsi"/>
        </w:rPr>
        <w:t>pupils</w:t>
      </w:r>
      <w:r w:rsidR="003760B7" w:rsidRPr="00E651DD">
        <w:rPr>
          <w:rFonts w:cstheme="minorHAnsi"/>
        </w:rPr>
        <w:t xml:space="preserve"> progressing into Y5</w:t>
      </w:r>
      <w:r w:rsidR="00476810" w:rsidRPr="00E651DD">
        <w:rPr>
          <w:rFonts w:cstheme="minorHAnsi"/>
        </w:rPr>
        <w:t xml:space="preserve">. </w:t>
      </w:r>
    </w:p>
    <w:p w14:paraId="0017E5C6" w14:textId="78255526" w:rsidR="001B2220" w:rsidRPr="00E651DD" w:rsidRDefault="0063467E" w:rsidP="001B2220">
      <w:pPr>
        <w:spacing w:after="0"/>
        <w:rPr>
          <w:rFonts w:cstheme="minorHAnsi"/>
        </w:rPr>
      </w:pPr>
      <w:r w:rsidRPr="00E651DD">
        <w:rPr>
          <w:rFonts w:cstheme="minorHAnsi"/>
        </w:rPr>
        <w:t>2</w:t>
      </w:r>
      <w:r w:rsidR="001B2220" w:rsidRPr="00E651DD">
        <w:rPr>
          <w:rFonts w:cstheme="minorHAnsi"/>
        </w:rPr>
        <w:t>. Attend </w:t>
      </w:r>
      <w:r w:rsidR="007A7CF2" w:rsidRPr="00E651DD">
        <w:rPr>
          <w:rFonts w:cstheme="minorHAnsi"/>
        </w:rPr>
        <w:t xml:space="preserve">where possible, </w:t>
      </w:r>
      <w:r w:rsidR="001B2220" w:rsidRPr="00E651DD">
        <w:rPr>
          <w:rFonts w:cstheme="minorHAnsi"/>
        </w:rPr>
        <w:t>transfer reviews for pupils with </w:t>
      </w:r>
      <w:r w:rsidR="003843E7" w:rsidRPr="00E651DD">
        <w:rPr>
          <w:rFonts w:cstheme="minorHAnsi"/>
        </w:rPr>
        <w:t>EHCPs</w:t>
      </w:r>
      <w:r w:rsidR="001B2220" w:rsidRPr="00E651DD">
        <w:rPr>
          <w:rFonts w:cstheme="minorHAnsi"/>
        </w:rPr>
        <w:t> transferring to us</w:t>
      </w:r>
      <w:r w:rsidR="007A7CF2" w:rsidRPr="00E651DD">
        <w:rPr>
          <w:rFonts w:cstheme="minorHAnsi"/>
        </w:rPr>
        <w:t>.</w:t>
      </w:r>
    </w:p>
    <w:p w14:paraId="793829ED" w14:textId="0582DA6E" w:rsidR="001B2220" w:rsidRPr="00E651DD" w:rsidRDefault="0063467E" w:rsidP="001B2220">
      <w:pPr>
        <w:spacing w:after="0"/>
        <w:rPr>
          <w:rFonts w:cstheme="minorHAnsi"/>
        </w:rPr>
      </w:pPr>
      <w:r w:rsidRPr="00E651DD">
        <w:rPr>
          <w:rFonts w:cstheme="minorHAnsi"/>
        </w:rPr>
        <w:t>3</w:t>
      </w:r>
      <w:r w:rsidR="001B2220" w:rsidRPr="00E651DD">
        <w:rPr>
          <w:rFonts w:cstheme="minorHAnsi"/>
        </w:rPr>
        <w:t>. Encourage open communication, between school and home.</w:t>
      </w:r>
    </w:p>
    <w:p w14:paraId="62486C05" w14:textId="5BEB53AE" w:rsidR="007D725C" w:rsidRPr="00E651DD" w:rsidRDefault="0063467E" w:rsidP="004B28E8">
      <w:pPr>
        <w:spacing w:after="0"/>
        <w:rPr>
          <w:rFonts w:cstheme="minorHAnsi"/>
        </w:rPr>
      </w:pPr>
      <w:r w:rsidRPr="00E651DD">
        <w:rPr>
          <w:rFonts w:cstheme="minorHAnsi"/>
        </w:rPr>
        <w:t>4</w:t>
      </w:r>
      <w:r w:rsidR="001B2220" w:rsidRPr="00E651DD">
        <w:rPr>
          <w:rFonts w:cstheme="minorHAnsi"/>
        </w:rPr>
        <w:t>. Provide </w:t>
      </w:r>
      <w:r w:rsidR="00F17981" w:rsidRPr="00E651DD">
        <w:rPr>
          <w:rFonts w:cstheme="minorHAnsi"/>
        </w:rPr>
        <w:t xml:space="preserve">a specific </w:t>
      </w:r>
      <w:r w:rsidR="001B2220" w:rsidRPr="00E651DD">
        <w:rPr>
          <w:rFonts w:cstheme="minorHAnsi"/>
        </w:rPr>
        <w:t>intervention, eg, </w:t>
      </w:r>
      <w:r w:rsidR="00B01ECC" w:rsidRPr="00E651DD">
        <w:rPr>
          <w:rFonts w:cstheme="minorHAnsi"/>
        </w:rPr>
        <w:t>Oasis (small group support) provided by a TA for pupils as appropriate.</w:t>
      </w:r>
    </w:p>
    <w:p w14:paraId="7A314BC7" w14:textId="17600662" w:rsidR="004B28E8" w:rsidRPr="00E651DD" w:rsidRDefault="0063467E" w:rsidP="004B28E8">
      <w:pPr>
        <w:spacing w:after="0"/>
        <w:rPr>
          <w:rFonts w:cstheme="minorHAnsi"/>
        </w:rPr>
      </w:pPr>
      <w:r w:rsidRPr="00E651DD">
        <w:rPr>
          <w:rFonts w:cstheme="minorHAnsi"/>
        </w:rPr>
        <w:t>5</w:t>
      </w:r>
      <w:r w:rsidR="004B28E8" w:rsidRPr="00E651DD">
        <w:rPr>
          <w:rFonts w:cstheme="minorHAnsi"/>
        </w:rPr>
        <w:t xml:space="preserve">. </w:t>
      </w:r>
      <w:r w:rsidR="00296C37" w:rsidRPr="00E651DD">
        <w:rPr>
          <w:rFonts w:cstheme="minorHAnsi"/>
        </w:rPr>
        <w:t xml:space="preserve">Have a graduated approach to monitor then move pupils needing above the core offer to SEND Support on the </w:t>
      </w:r>
      <w:r w:rsidR="007D1477" w:rsidRPr="00E651DD">
        <w:rPr>
          <w:rFonts w:cstheme="minorHAnsi"/>
        </w:rPr>
        <w:t xml:space="preserve">SEND </w:t>
      </w:r>
      <w:r w:rsidR="00296C37" w:rsidRPr="00E651DD">
        <w:rPr>
          <w:rFonts w:cstheme="minorHAnsi"/>
        </w:rPr>
        <w:t>Register</w:t>
      </w:r>
      <w:r w:rsidR="007D1477" w:rsidRPr="00E651DD">
        <w:rPr>
          <w:rFonts w:cstheme="minorHAnsi"/>
        </w:rPr>
        <w:t>.</w:t>
      </w:r>
    </w:p>
    <w:p w14:paraId="29D6B04F" w14:textId="17D706B6" w:rsidR="007D725C" w:rsidRPr="00E651DD" w:rsidRDefault="007D725C" w:rsidP="007D725C">
      <w:pPr>
        <w:spacing w:after="0" w:line="240" w:lineRule="auto"/>
        <w:rPr>
          <w:rFonts w:cstheme="minorHAnsi"/>
          <w:b/>
          <w:bCs/>
          <w:u w:val="single"/>
        </w:rPr>
      </w:pPr>
    </w:p>
    <w:p w14:paraId="67EE4AF0" w14:textId="21F66026" w:rsidR="00B01ECC" w:rsidRPr="00E651DD" w:rsidRDefault="007D725C" w:rsidP="001B2220">
      <w:pPr>
        <w:spacing w:after="0"/>
        <w:rPr>
          <w:rFonts w:cstheme="minorHAnsi"/>
        </w:rPr>
      </w:pPr>
      <w:r w:rsidRPr="00E651DD">
        <w:rPr>
          <w:rFonts w:cstheme="minorHAnsi"/>
        </w:rPr>
        <w:t>Assessment of our pupils continues throughout their time with us.</w:t>
      </w:r>
      <w:r w:rsidR="00753FED" w:rsidRPr="00E651DD">
        <w:rPr>
          <w:rFonts w:cstheme="minorHAnsi"/>
        </w:rPr>
        <w:t xml:space="preserve"> </w:t>
      </w:r>
      <w:r w:rsidR="00B01ECC" w:rsidRPr="00E651DD">
        <w:rPr>
          <w:rFonts w:cstheme="minorHAnsi"/>
        </w:rPr>
        <w:t>In school</w:t>
      </w:r>
      <w:r w:rsidRPr="00E651DD">
        <w:rPr>
          <w:rFonts w:cstheme="minorHAnsi"/>
        </w:rPr>
        <w:t xml:space="preserve">, </w:t>
      </w:r>
      <w:r w:rsidR="00B01ECC" w:rsidRPr="00E651DD">
        <w:rPr>
          <w:rFonts w:cstheme="minorHAnsi"/>
        </w:rPr>
        <w:t xml:space="preserve">all members of staff are able to identify pupils who they believe might have SEND, but their needs have not yet been identified. These pupils will be discussed in </w:t>
      </w:r>
      <w:r w:rsidR="00887B5D" w:rsidRPr="00E651DD">
        <w:rPr>
          <w:rFonts w:cstheme="minorHAnsi"/>
        </w:rPr>
        <w:t>subject m</w:t>
      </w:r>
      <w:r w:rsidR="00B01ECC" w:rsidRPr="00E651DD">
        <w:rPr>
          <w:rFonts w:cstheme="minorHAnsi"/>
        </w:rPr>
        <w:t>eeting</w:t>
      </w:r>
      <w:r w:rsidR="00887B5D" w:rsidRPr="00E651DD">
        <w:rPr>
          <w:rFonts w:cstheme="minorHAnsi"/>
        </w:rPr>
        <w:t>s, curriculum meetings</w:t>
      </w:r>
      <w:r w:rsidR="00B01ECC" w:rsidRPr="00E651DD">
        <w:rPr>
          <w:rFonts w:cstheme="minorHAnsi"/>
        </w:rPr>
        <w:t xml:space="preserve"> and </w:t>
      </w:r>
      <w:r w:rsidR="00887B5D" w:rsidRPr="00E651DD">
        <w:rPr>
          <w:rFonts w:cstheme="minorHAnsi"/>
        </w:rPr>
        <w:t>p</w:t>
      </w:r>
      <w:r w:rsidR="00B01ECC" w:rsidRPr="00E651DD">
        <w:rPr>
          <w:rFonts w:cstheme="minorHAnsi"/>
        </w:rPr>
        <w:t xml:space="preserve">astoral </w:t>
      </w:r>
      <w:r w:rsidR="00887B5D" w:rsidRPr="00E651DD">
        <w:rPr>
          <w:rFonts w:cstheme="minorHAnsi"/>
        </w:rPr>
        <w:t>meetings</w:t>
      </w:r>
      <w:r w:rsidR="00B01ECC" w:rsidRPr="00E651DD">
        <w:rPr>
          <w:rFonts w:cstheme="minorHAnsi"/>
        </w:rPr>
        <w:t xml:space="preserve"> and then referred to the SENDCo for further advice and possible assessment</w:t>
      </w:r>
      <w:r w:rsidR="002E4006" w:rsidRPr="00E651DD">
        <w:rPr>
          <w:rFonts w:cstheme="minorHAnsi"/>
        </w:rPr>
        <w:t>s.</w:t>
      </w:r>
      <w:r w:rsidR="00EE3581" w:rsidRPr="00E651DD">
        <w:rPr>
          <w:rFonts w:cstheme="minorHAnsi"/>
        </w:rPr>
        <w:t xml:space="preserve"> A referral for external support is made where necessary following discussions with parents/carers.</w:t>
      </w:r>
    </w:p>
    <w:p w14:paraId="5A2B5504" w14:textId="6BB4B539" w:rsidR="00BD2D6B" w:rsidRPr="00E651DD" w:rsidRDefault="00BD2D6B" w:rsidP="001B2220">
      <w:pPr>
        <w:spacing w:after="0"/>
        <w:rPr>
          <w:rFonts w:cstheme="minorHAnsi"/>
        </w:rPr>
      </w:pPr>
    </w:p>
    <w:p w14:paraId="0E992E9E" w14:textId="170EBA69" w:rsidR="00D96BB9" w:rsidRPr="00E651DD" w:rsidRDefault="00D96BB9" w:rsidP="001B2220">
      <w:pPr>
        <w:spacing w:after="0"/>
        <w:rPr>
          <w:rFonts w:cstheme="minorHAnsi"/>
          <w:b/>
          <w:bCs/>
          <w:u w:val="single"/>
        </w:rPr>
      </w:pPr>
      <w:r w:rsidRPr="00E651DD">
        <w:rPr>
          <w:rFonts w:cstheme="minorHAnsi"/>
          <w:b/>
          <w:bCs/>
          <w:u w:val="single"/>
        </w:rPr>
        <w:t>Provision for pupils with SEND</w:t>
      </w:r>
    </w:p>
    <w:p w14:paraId="47E0785A" w14:textId="0975EDF0" w:rsidR="00D96BB9" w:rsidRPr="00E651DD" w:rsidRDefault="00D96BB9" w:rsidP="001B2220">
      <w:pPr>
        <w:spacing w:after="0"/>
        <w:rPr>
          <w:rFonts w:cstheme="minorHAnsi"/>
        </w:rPr>
      </w:pPr>
    </w:p>
    <w:p w14:paraId="078BAC52" w14:textId="617C6F28" w:rsidR="00D96BB9" w:rsidRPr="00E651DD" w:rsidRDefault="00D96BB9" w:rsidP="00D96BB9">
      <w:pPr>
        <w:autoSpaceDE w:val="0"/>
        <w:autoSpaceDN w:val="0"/>
        <w:adjustRightInd w:val="0"/>
        <w:rPr>
          <w:rFonts w:cstheme="minorHAnsi"/>
          <w:bCs/>
        </w:rPr>
      </w:pPr>
      <w:r w:rsidRPr="00E651DD">
        <w:rPr>
          <w:rFonts w:cstheme="minorHAnsi"/>
          <w:bCs/>
        </w:rPr>
        <w:t xml:space="preserve">Information on pupils who have been identified as having a special educational need is shared with staff and is regularly updated. </w:t>
      </w:r>
      <w:r w:rsidR="00011372" w:rsidRPr="00E651DD">
        <w:rPr>
          <w:rFonts w:cstheme="minorHAnsi"/>
          <w:bCs/>
        </w:rPr>
        <w:t>We ensure that reasonable adjustments are made to both the academic and pastoral needs of the pupils with SEND.</w:t>
      </w:r>
    </w:p>
    <w:p w14:paraId="314C2149" w14:textId="227DD268" w:rsidR="00D96BB9" w:rsidRPr="00E651DD" w:rsidRDefault="00D96BB9" w:rsidP="00D96BB9">
      <w:pPr>
        <w:autoSpaceDE w:val="0"/>
        <w:autoSpaceDN w:val="0"/>
        <w:adjustRightInd w:val="0"/>
        <w:rPr>
          <w:rFonts w:cstheme="minorHAnsi"/>
          <w:bCs/>
        </w:rPr>
      </w:pPr>
      <w:r w:rsidRPr="00E651DD">
        <w:rPr>
          <w:rFonts w:cstheme="minorHAnsi"/>
          <w:bCs/>
        </w:rPr>
        <w:t>All pupils on the SEND register have their needs</w:t>
      </w:r>
      <w:r w:rsidR="003E164E" w:rsidRPr="00E651DD">
        <w:rPr>
          <w:rFonts w:cstheme="minorHAnsi"/>
          <w:bCs/>
        </w:rPr>
        <w:t>,</w:t>
      </w:r>
      <w:r w:rsidRPr="00E651DD">
        <w:rPr>
          <w:rFonts w:cstheme="minorHAnsi"/>
          <w:bCs/>
        </w:rPr>
        <w:t xml:space="preserve"> and how best to support them</w:t>
      </w:r>
      <w:r w:rsidR="003E164E" w:rsidRPr="00E651DD">
        <w:rPr>
          <w:rFonts w:cstheme="minorHAnsi"/>
          <w:bCs/>
        </w:rPr>
        <w:t>,</w:t>
      </w:r>
      <w:r w:rsidRPr="00E651DD">
        <w:rPr>
          <w:rFonts w:cstheme="minorHAnsi"/>
          <w:bCs/>
        </w:rPr>
        <w:t xml:space="preserve"> recorded on Class Charts which is a program teachers have access to at all times to update and circulate information. Pupils at SEND Support also have a Learning Plan on Provision Map which is reviewed up to 3 times a year and fed back to parents/carers.</w:t>
      </w:r>
    </w:p>
    <w:p w14:paraId="0ACF8DD9" w14:textId="5458A5BA" w:rsidR="00D96BB9" w:rsidRPr="00E651DD" w:rsidRDefault="00D96BB9" w:rsidP="00D96BB9">
      <w:pPr>
        <w:autoSpaceDE w:val="0"/>
        <w:autoSpaceDN w:val="0"/>
        <w:adjustRightInd w:val="0"/>
        <w:rPr>
          <w:rFonts w:cstheme="minorHAnsi"/>
          <w:bCs/>
        </w:rPr>
      </w:pPr>
      <w:r w:rsidRPr="00E651DD">
        <w:rPr>
          <w:rFonts w:cstheme="minorHAnsi"/>
          <w:bCs/>
        </w:rPr>
        <w:t>All pupils identified on the SEND register receive additional support either by having TA support in class, attending small group or 1:1 sessions or by the subject teacher making specific adaptations to the learning in the classroom, through quality first teaching</w:t>
      </w:r>
      <w:r w:rsidR="004808C8" w:rsidRPr="00E651DD">
        <w:rPr>
          <w:rFonts w:cstheme="minorHAnsi"/>
          <w:bCs/>
        </w:rPr>
        <w:t xml:space="preserve">. Lessons are adapted </w:t>
      </w:r>
      <w:r w:rsidR="005161E0" w:rsidRPr="00E651DD">
        <w:rPr>
          <w:rFonts w:cstheme="minorHAnsi"/>
          <w:bCs/>
        </w:rPr>
        <w:t xml:space="preserve">in </w:t>
      </w:r>
      <w:r w:rsidR="004808C8" w:rsidRPr="00E651DD">
        <w:rPr>
          <w:rFonts w:cstheme="minorHAnsi"/>
          <w:bCs/>
        </w:rPr>
        <w:t>many ways in</w:t>
      </w:r>
      <w:r w:rsidR="005161E0" w:rsidRPr="00E651DD">
        <w:rPr>
          <w:rFonts w:cstheme="minorHAnsi"/>
          <w:bCs/>
        </w:rPr>
        <w:t xml:space="preserve">. </w:t>
      </w:r>
      <w:r w:rsidR="004808C8" w:rsidRPr="00E651DD">
        <w:rPr>
          <w:rFonts w:cstheme="minorHAnsi"/>
          <w:bCs/>
        </w:rPr>
        <w:t>For example: through scaffolded tasks, alternative methods of recording, adaptation of questioning or the use of additional and/or different resources.</w:t>
      </w:r>
    </w:p>
    <w:p w14:paraId="28B84F6E" w14:textId="00F6BA38" w:rsidR="00B2432C" w:rsidRPr="00E651DD" w:rsidRDefault="00D96BB9" w:rsidP="00B2432C">
      <w:pPr>
        <w:autoSpaceDE w:val="0"/>
        <w:autoSpaceDN w:val="0"/>
        <w:adjustRightInd w:val="0"/>
        <w:rPr>
          <w:rFonts w:cstheme="minorHAnsi"/>
          <w:bCs/>
        </w:rPr>
      </w:pPr>
      <w:r w:rsidRPr="00E651DD">
        <w:rPr>
          <w:rFonts w:cstheme="minorHAnsi"/>
          <w:bCs/>
        </w:rPr>
        <w:t>Parents/Carers meet with tutors</w:t>
      </w:r>
      <w:r w:rsidR="00410C06" w:rsidRPr="00E651DD">
        <w:rPr>
          <w:rFonts w:cstheme="minorHAnsi"/>
          <w:bCs/>
        </w:rPr>
        <w:t xml:space="preserve"> and </w:t>
      </w:r>
      <w:r w:rsidRPr="00E651DD">
        <w:rPr>
          <w:rFonts w:cstheme="minorHAnsi"/>
          <w:bCs/>
        </w:rPr>
        <w:t>subject teachers to review their pupil’s learning and celebrate their successes as part of their SEND Support Review and Assess, Plan, Do, Review (APDR) cycle. Pupil and parent views are gathered. There is also opportunity to meet with the SENDCo or Deputy SENDCo if an additional meeting thought to be appropriate. This year the SENDCo and Deputy SENDCo held a SEND review meeting for all pupils on the SEND Register. The school will exceed its statutory obligations where necessary, to offer multiple reviews for certain pupils to support further attainment or provide additional support.</w:t>
      </w:r>
    </w:p>
    <w:p w14:paraId="71BFC4D2" w14:textId="5525A7D0" w:rsidR="00BD2D6B" w:rsidRPr="00E651DD" w:rsidRDefault="00BD2D6B" w:rsidP="001B2220">
      <w:pPr>
        <w:spacing w:after="0"/>
        <w:rPr>
          <w:rFonts w:cstheme="minorHAnsi"/>
        </w:rPr>
      </w:pPr>
      <w:r w:rsidRPr="00E651DD">
        <w:rPr>
          <w:rFonts w:cstheme="minorHAnsi"/>
        </w:rPr>
        <w:lastRenderedPageBreak/>
        <w:t xml:space="preserve">We evaluate the effectiveness of its provision for pupils with SEND </w:t>
      </w:r>
      <w:r w:rsidR="00B2432C" w:rsidRPr="00E651DD">
        <w:rPr>
          <w:rFonts w:cstheme="minorHAnsi"/>
        </w:rPr>
        <w:t>through</w:t>
      </w:r>
      <w:r w:rsidRPr="00E651DD">
        <w:rPr>
          <w:rFonts w:cstheme="minorHAnsi"/>
        </w:rPr>
        <w:t>:</w:t>
      </w:r>
    </w:p>
    <w:p w14:paraId="328E5C84" w14:textId="77777777" w:rsidR="00BD2D6B" w:rsidRPr="00E651DD" w:rsidRDefault="00BD2D6B" w:rsidP="001B2220">
      <w:pPr>
        <w:spacing w:after="0"/>
        <w:rPr>
          <w:rFonts w:cstheme="minorHAnsi"/>
        </w:rPr>
      </w:pPr>
    </w:p>
    <w:p w14:paraId="37ED0E09" w14:textId="3169BB48" w:rsidR="001B2220" w:rsidRPr="00E651DD" w:rsidRDefault="001B2220" w:rsidP="001B2220">
      <w:pPr>
        <w:spacing w:after="0" w:line="240" w:lineRule="auto"/>
        <w:rPr>
          <w:rFonts w:cstheme="minorHAnsi"/>
          <w:color w:val="000000" w:themeColor="text1"/>
        </w:rPr>
      </w:pPr>
      <w:r w:rsidRPr="00E651DD">
        <w:rPr>
          <w:rFonts w:cstheme="minorHAnsi"/>
          <w:color w:val="000000" w:themeColor="text1"/>
        </w:rPr>
        <w:t>1. Analys</w:t>
      </w:r>
      <w:r w:rsidR="007D725C" w:rsidRPr="00E651DD">
        <w:rPr>
          <w:rFonts w:cstheme="minorHAnsi"/>
          <w:color w:val="000000" w:themeColor="text1"/>
        </w:rPr>
        <w:t>e</w:t>
      </w:r>
      <w:r w:rsidRPr="00E651DD">
        <w:rPr>
          <w:rFonts w:cstheme="minorHAnsi"/>
          <w:color w:val="000000" w:themeColor="text1"/>
        </w:rPr>
        <w:t> assessment data </w:t>
      </w:r>
      <w:r w:rsidR="007D725C" w:rsidRPr="00E651DD">
        <w:rPr>
          <w:rFonts w:cstheme="minorHAnsi"/>
          <w:color w:val="000000" w:themeColor="text1"/>
        </w:rPr>
        <w:t xml:space="preserve">after each data drop, </w:t>
      </w:r>
      <w:r w:rsidRPr="00E651DD">
        <w:rPr>
          <w:rFonts w:cstheme="minorHAnsi"/>
          <w:color w:val="000000" w:themeColor="text1"/>
        </w:rPr>
        <w:t>to </w:t>
      </w:r>
      <w:r w:rsidR="00BD2D6B" w:rsidRPr="00E651DD">
        <w:rPr>
          <w:rFonts w:cstheme="minorHAnsi"/>
          <w:color w:val="000000" w:themeColor="text1"/>
        </w:rPr>
        <w:t xml:space="preserve">track progress and </w:t>
      </w:r>
      <w:r w:rsidRPr="00E651DD">
        <w:rPr>
          <w:rFonts w:cstheme="minorHAnsi"/>
          <w:color w:val="000000" w:themeColor="text1"/>
        </w:rPr>
        <w:t>identify </w:t>
      </w:r>
      <w:r w:rsidR="007D725C" w:rsidRPr="00E651DD">
        <w:rPr>
          <w:rFonts w:cstheme="minorHAnsi"/>
          <w:color w:val="000000" w:themeColor="text1"/>
        </w:rPr>
        <w:t>pupils</w:t>
      </w:r>
      <w:r w:rsidR="00392E4C" w:rsidRPr="00E651DD">
        <w:rPr>
          <w:rFonts w:cstheme="minorHAnsi"/>
          <w:color w:val="000000" w:themeColor="text1"/>
        </w:rPr>
        <w:t xml:space="preserve"> </w:t>
      </w:r>
      <w:r w:rsidRPr="00E651DD">
        <w:rPr>
          <w:rFonts w:cstheme="minorHAnsi"/>
          <w:color w:val="000000" w:themeColor="text1"/>
        </w:rPr>
        <w:t>who are not meeting age related expectations</w:t>
      </w:r>
      <w:r w:rsidR="000E5755" w:rsidRPr="00E651DD">
        <w:rPr>
          <w:rFonts w:cstheme="minorHAnsi"/>
          <w:color w:val="000000" w:themeColor="text1"/>
        </w:rPr>
        <w:t>.</w:t>
      </w:r>
    </w:p>
    <w:p w14:paraId="2A3D10DB" w14:textId="75DF4A0E" w:rsidR="000E5755" w:rsidRPr="00E651DD" w:rsidRDefault="00832A51" w:rsidP="001B2220">
      <w:pPr>
        <w:spacing w:after="0" w:line="240" w:lineRule="auto"/>
        <w:rPr>
          <w:rFonts w:cstheme="minorHAnsi"/>
        </w:rPr>
      </w:pPr>
      <w:r w:rsidRPr="00E651DD">
        <w:rPr>
          <w:rFonts w:cstheme="minorHAnsi"/>
        </w:rPr>
        <w:t>2. Monitor teaching</w:t>
      </w:r>
      <w:r w:rsidR="00753FED" w:rsidRPr="00E651DD">
        <w:rPr>
          <w:rFonts w:cstheme="minorHAnsi"/>
        </w:rPr>
        <w:t xml:space="preserve"> of, and</w:t>
      </w:r>
      <w:r w:rsidRPr="00E651DD">
        <w:rPr>
          <w:rFonts w:cstheme="minorHAnsi"/>
        </w:rPr>
        <w:t xml:space="preserve"> support and provision for</w:t>
      </w:r>
      <w:r w:rsidR="000B433B" w:rsidRPr="00E651DD">
        <w:rPr>
          <w:rFonts w:cstheme="minorHAnsi"/>
        </w:rPr>
        <w:t>,</w:t>
      </w:r>
      <w:r w:rsidRPr="00E651DD">
        <w:rPr>
          <w:rFonts w:cstheme="minorHAnsi"/>
        </w:rPr>
        <w:t xml:space="preserve"> pupils with SEND through the Quality Assurance </w:t>
      </w:r>
      <w:r w:rsidR="008167E8" w:rsidRPr="00E651DD">
        <w:rPr>
          <w:rFonts w:cstheme="minorHAnsi"/>
        </w:rPr>
        <w:t xml:space="preserve">(QA) </w:t>
      </w:r>
      <w:r w:rsidRPr="00E651DD">
        <w:rPr>
          <w:rFonts w:cstheme="minorHAnsi"/>
        </w:rPr>
        <w:t xml:space="preserve">process. </w:t>
      </w:r>
    </w:p>
    <w:p w14:paraId="32433486" w14:textId="630BED22" w:rsidR="004F072C" w:rsidRPr="00E651DD" w:rsidRDefault="004F072C" w:rsidP="001B2220">
      <w:pPr>
        <w:spacing w:after="0" w:line="240" w:lineRule="auto"/>
        <w:rPr>
          <w:rFonts w:cstheme="minorHAnsi"/>
        </w:rPr>
      </w:pPr>
      <w:r w:rsidRPr="00E651DD">
        <w:rPr>
          <w:rFonts w:cstheme="minorHAnsi"/>
        </w:rPr>
        <w:t>3. Measure the impact of interventions</w:t>
      </w:r>
      <w:r w:rsidR="00D45F0E" w:rsidRPr="00E651DD">
        <w:rPr>
          <w:rFonts w:cstheme="minorHAnsi"/>
        </w:rPr>
        <w:t>.</w:t>
      </w:r>
      <w:r w:rsidR="008167E8" w:rsidRPr="00E651DD">
        <w:rPr>
          <w:rFonts w:cstheme="minorHAnsi"/>
        </w:rPr>
        <w:t xml:space="preserve"> </w:t>
      </w:r>
    </w:p>
    <w:p w14:paraId="191F9B83" w14:textId="2D57E833" w:rsidR="001B2220" w:rsidRPr="00E651DD" w:rsidRDefault="004F072C" w:rsidP="001B2220">
      <w:pPr>
        <w:spacing w:after="0" w:line="240" w:lineRule="auto"/>
        <w:rPr>
          <w:rFonts w:cstheme="minorHAnsi"/>
        </w:rPr>
      </w:pPr>
      <w:r w:rsidRPr="00E651DD">
        <w:rPr>
          <w:rFonts w:cstheme="minorHAnsi"/>
        </w:rPr>
        <w:t>4</w:t>
      </w:r>
      <w:r w:rsidR="001B2220" w:rsidRPr="00E651DD">
        <w:rPr>
          <w:rFonts w:cstheme="minorHAnsi"/>
        </w:rPr>
        <w:t>. </w:t>
      </w:r>
      <w:r w:rsidR="007D725C" w:rsidRPr="00E651DD">
        <w:rPr>
          <w:rFonts w:cstheme="minorHAnsi"/>
        </w:rPr>
        <w:t>Subject</w:t>
      </w:r>
      <w:r w:rsidR="001B2220" w:rsidRPr="00E651DD">
        <w:rPr>
          <w:rFonts w:cstheme="minorHAnsi"/>
        </w:rPr>
        <w:t> teachers continually monitor the </w:t>
      </w:r>
      <w:r w:rsidR="007A7CF2" w:rsidRPr="00E651DD">
        <w:rPr>
          <w:rFonts w:cstheme="minorHAnsi"/>
        </w:rPr>
        <w:t>pupils</w:t>
      </w:r>
      <w:r w:rsidR="001B2220" w:rsidRPr="00E651DD">
        <w:rPr>
          <w:rFonts w:cstheme="minorHAnsi"/>
        </w:rPr>
        <w:t> in their </w:t>
      </w:r>
      <w:r w:rsidR="007D725C" w:rsidRPr="00E651DD">
        <w:rPr>
          <w:rFonts w:cstheme="minorHAnsi"/>
        </w:rPr>
        <w:t>department</w:t>
      </w:r>
      <w:r w:rsidR="001B2220" w:rsidRPr="00E651DD">
        <w:rPr>
          <w:rFonts w:cstheme="minorHAnsi"/>
        </w:rPr>
        <w:t> through </w:t>
      </w:r>
      <w:r w:rsidR="007D725C" w:rsidRPr="00E651DD">
        <w:rPr>
          <w:rFonts w:cstheme="minorHAnsi"/>
        </w:rPr>
        <w:t>departmental meetings</w:t>
      </w:r>
      <w:r w:rsidR="001B2220" w:rsidRPr="00E651DD">
        <w:rPr>
          <w:rFonts w:cstheme="minorHAnsi"/>
        </w:rPr>
        <w:t xml:space="preserve">, discussions, marking and written feedback.  </w:t>
      </w:r>
    </w:p>
    <w:p w14:paraId="5D1B975F" w14:textId="4B0F9612" w:rsidR="001B2220" w:rsidRPr="00E651DD" w:rsidRDefault="004F072C" w:rsidP="001B2220">
      <w:pPr>
        <w:spacing w:after="0" w:line="240" w:lineRule="auto"/>
        <w:rPr>
          <w:rFonts w:cstheme="minorHAnsi"/>
        </w:rPr>
      </w:pPr>
      <w:r w:rsidRPr="00E651DD">
        <w:rPr>
          <w:rFonts w:cstheme="minorHAnsi"/>
        </w:rPr>
        <w:t>5</w:t>
      </w:r>
      <w:r w:rsidR="001B2220" w:rsidRPr="00E651DD">
        <w:rPr>
          <w:rFonts w:cstheme="minorHAnsi"/>
        </w:rPr>
        <w:t>. Provid</w:t>
      </w:r>
      <w:r w:rsidR="00AE21E2" w:rsidRPr="00E651DD">
        <w:rPr>
          <w:rFonts w:cstheme="minorHAnsi"/>
        </w:rPr>
        <w:t>e</w:t>
      </w:r>
      <w:r w:rsidR="001B2220" w:rsidRPr="00E651DD">
        <w:rPr>
          <w:rFonts w:cstheme="minorHAnsi"/>
        </w:rPr>
        <w:t> </w:t>
      </w:r>
      <w:r w:rsidR="002706F4" w:rsidRPr="00E651DD">
        <w:rPr>
          <w:rFonts w:cstheme="minorHAnsi"/>
        </w:rPr>
        <w:t>carers/parents</w:t>
      </w:r>
      <w:r w:rsidR="001B2220" w:rsidRPr="00E651DD">
        <w:rPr>
          <w:rFonts w:cstheme="minorHAnsi"/>
        </w:rPr>
        <w:t> with the opportunity to discuss concerns at any time</w:t>
      </w:r>
      <w:r w:rsidR="00AE21E2" w:rsidRPr="00E651DD">
        <w:rPr>
          <w:rFonts w:cstheme="minorHAnsi"/>
        </w:rPr>
        <w:t xml:space="preserve"> with the SENDCo or Deputy SENDCo.</w:t>
      </w:r>
      <w:r w:rsidR="001B2220" w:rsidRPr="00E651DD">
        <w:rPr>
          <w:rFonts w:cstheme="minorHAnsi"/>
        </w:rPr>
        <w:t> </w:t>
      </w:r>
      <w:r w:rsidR="0088250A" w:rsidRPr="00E651DD">
        <w:rPr>
          <w:rFonts w:cstheme="minorHAnsi"/>
        </w:rPr>
        <w:t>Parent views are also gathered through parental questionnaires and during</w:t>
      </w:r>
      <w:r w:rsidR="00AA691E" w:rsidRPr="00E651DD">
        <w:rPr>
          <w:rFonts w:cstheme="minorHAnsi"/>
        </w:rPr>
        <w:t xml:space="preserve"> learning plan reviews. </w:t>
      </w:r>
      <w:r w:rsidR="001B2220" w:rsidRPr="00E651DD">
        <w:rPr>
          <w:rFonts w:cstheme="minorHAnsi"/>
        </w:rPr>
        <w:t xml:space="preserve"> </w:t>
      </w:r>
    </w:p>
    <w:p w14:paraId="5935A70B" w14:textId="2E15C091" w:rsidR="00AE21E2" w:rsidRPr="00E651DD" w:rsidRDefault="004F072C" w:rsidP="00E27346">
      <w:pPr>
        <w:spacing w:after="0" w:line="240" w:lineRule="auto"/>
        <w:rPr>
          <w:rFonts w:cstheme="minorHAnsi"/>
        </w:rPr>
      </w:pPr>
      <w:r w:rsidRPr="00E651DD">
        <w:rPr>
          <w:rFonts w:cstheme="minorHAnsi"/>
        </w:rPr>
        <w:t>6</w:t>
      </w:r>
      <w:r w:rsidR="001B2220" w:rsidRPr="00E651DD">
        <w:rPr>
          <w:rFonts w:cstheme="minorHAnsi"/>
        </w:rPr>
        <w:t>. Liaising with </w:t>
      </w:r>
      <w:r w:rsidR="002706F4" w:rsidRPr="00E651DD">
        <w:rPr>
          <w:rFonts w:cstheme="minorHAnsi"/>
        </w:rPr>
        <w:t>staff members</w:t>
      </w:r>
      <w:r w:rsidR="00BD2D6B" w:rsidRPr="00E651DD">
        <w:rPr>
          <w:rFonts w:cstheme="minorHAnsi"/>
        </w:rPr>
        <w:t>, and provide additional support,</w:t>
      </w:r>
      <w:r w:rsidR="002706F4" w:rsidRPr="00E651DD">
        <w:rPr>
          <w:rFonts w:cstheme="minorHAnsi"/>
        </w:rPr>
        <w:t xml:space="preserve"> where they have concerns about pupils</w:t>
      </w:r>
      <w:r w:rsidR="000E5755" w:rsidRPr="00E651DD">
        <w:rPr>
          <w:rFonts w:cstheme="minorHAnsi"/>
        </w:rPr>
        <w:t>.</w:t>
      </w:r>
    </w:p>
    <w:p w14:paraId="13893739" w14:textId="12183032" w:rsidR="003B1541" w:rsidRPr="00E651DD" w:rsidRDefault="003B1541" w:rsidP="00E27346">
      <w:pPr>
        <w:spacing w:after="0" w:line="240" w:lineRule="auto"/>
        <w:rPr>
          <w:rFonts w:cstheme="minorHAnsi"/>
        </w:rPr>
      </w:pPr>
    </w:p>
    <w:p w14:paraId="02977F50" w14:textId="08FBD1E5" w:rsidR="003B1541" w:rsidRPr="00E651DD" w:rsidRDefault="003B1541" w:rsidP="003B1541">
      <w:pPr>
        <w:spacing w:after="0" w:line="240" w:lineRule="auto"/>
        <w:rPr>
          <w:rFonts w:cstheme="minorHAnsi"/>
        </w:rPr>
      </w:pPr>
      <w:r w:rsidRPr="00E651DD">
        <w:rPr>
          <w:rFonts w:cstheme="minorHAnsi"/>
        </w:rPr>
        <w:t xml:space="preserve">Support for developing the emotional and social needs of pupils/students with SEND is offered through: </w:t>
      </w:r>
    </w:p>
    <w:p w14:paraId="6AC47B22" w14:textId="1AC40365" w:rsidR="003B1541" w:rsidRPr="00E651DD" w:rsidRDefault="003B1541" w:rsidP="003B1541">
      <w:pPr>
        <w:spacing w:after="0" w:line="240" w:lineRule="auto"/>
        <w:rPr>
          <w:rFonts w:cstheme="minorHAnsi"/>
        </w:rPr>
      </w:pPr>
      <w:r w:rsidRPr="00E651DD">
        <w:rPr>
          <w:rFonts w:cstheme="minorHAnsi"/>
        </w:rPr>
        <w:t>•</w:t>
      </w:r>
      <w:r w:rsidRPr="00E651DD">
        <w:rPr>
          <w:rFonts w:cstheme="minorHAnsi"/>
        </w:rPr>
        <w:tab/>
      </w:r>
      <w:r w:rsidR="00C846B1" w:rsidRPr="00E651DD">
        <w:rPr>
          <w:rFonts w:cstheme="minorHAnsi"/>
        </w:rPr>
        <w:t>Mentoring</w:t>
      </w:r>
      <w:r w:rsidRPr="00E651DD">
        <w:rPr>
          <w:rFonts w:cstheme="minorHAnsi"/>
        </w:rPr>
        <w:t xml:space="preserve"> from tutors, Heads of Year and the pastoral and learning support teams</w:t>
      </w:r>
    </w:p>
    <w:p w14:paraId="0EB4B9C5" w14:textId="38CA450B" w:rsidR="003B1541" w:rsidRPr="00E651DD" w:rsidRDefault="003B1541" w:rsidP="003B1541">
      <w:pPr>
        <w:spacing w:after="0" w:line="240" w:lineRule="auto"/>
        <w:rPr>
          <w:rFonts w:cstheme="minorHAnsi"/>
        </w:rPr>
      </w:pPr>
      <w:r w:rsidRPr="00E651DD">
        <w:rPr>
          <w:rFonts w:cstheme="minorHAnsi"/>
        </w:rPr>
        <w:t>•</w:t>
      </w:r>
      <w:r w:rsidRPr="00E651DD">
        <w:rPr>
          <w:rFonts w:cstheme="minorHAnsi"/>
        </w:rPr>
        <w:tab/>
        <w:t>Place2</w:t>
      </w:r>
      <w:r w:rsidR="00A85CC8" w:rsidRPr="00E651DD">
        <w:rPr>
          <w:rFonts w:cstheme="minorHAnsi"/>
        </w:rPr>
        <w:t>B</w:t>
      </w:r>
      <w:r w:rsidRPr="00E651DD">
        <w:rPr>
          <w:rFonts w:cstheme="minorHAnsi"/>
        </w:rPr>
        <w:t>e sessions</w:t>
      </w:r>
    </w:p>
    <w:p w14:paraId="3F71D55B" w14:textId="6C545368" w:rsidR="003B1541" w:rsidRPr="00E651DD" w:rsidRDefault="003B1541" w:rsidP="003B1541">
      <w:pPr>
        <w:spacing w:after="0" w:line="240" w:lineRule="auto"/>
        <w:rPr>
          <w:rFonts w:cstheme="minorHAnsi"/>
        </w:rPr>
      </w:pPr>
      <w:r w:rsidRPr="00E651DD">
        <w:rPr>
          <w:rFonts w:cstheme="minorHAnsi"/>
        </w:rPr>
        <w:t xml:space="preserve">• </w:t>
      </w:r>
      <w:r w:rsidRPr="00E651DD">
        <w:rPr>
          <w:rFonts w:cstheme="minorHAnsi"/>
        </w:rPr>
        <w:tab/>
        <w:t>Mental health first aid check ins</w:t>
      </w:r>
    </w:p>
    <w:p w14:paraId="7B812A69" w14:textId="03B24BA3" w:rsidR="00E055BF" w:rsidRPr="00E651DD" w:rsidRDefault="003B1541" w:rsidP="00E27346">
      <w:pPr>
        <w:spacing w:after="0" w:line="240" w:lineRule="auto"/>
        <w:rPr>
          <w:rFonts w:cstheme="minorHAnsi"/>
        </w:rPr>
      </w:pPr>
      <w:r w:rsidRPr="00E651DD">
        <w:rPr>
          <w:rFonts w:cstheme="minorHAnsi"/>
        </w:rPr>
        <w:t>•</w:t>
      </w:r>
      <w:r w:rsidRPr="00E651DD">
        <w:rPr>
          <w:rFonts w:cstheme="minorHAnsi"/>
        </w:rPr>
        <w:tab/>
        <w:t>Intervention programmes such as Emotional Literacy Support (ELSA)</w:t>
      </w:r>
    </w:p>
    <w:p w14:paraId="1E9B9874" w14:textId="77777777" w:rsidR="000200ED" w:rsidRPr="00E651DD" w:rsidRDefault="000200ED" w:rsidP="001B2220">
      <w:pPr>
        <w:rPr>
          <w:rFonts w:cstheme="minorHAnsi"/>
          <w:b/>
          <w:u w:val="single"/>
        </w:rPr>
      </w:pPr>
    </w:p>
    <w:p w14:paraId="72B7C70C" w14:textId="6A0C4C82" w:rsidR="008F26F3" w:rsidRPr="00E651DD" w:rsidRDefault="002452EE" w:rsidP="001B2220">
      <w:pPr>
        <w:rPr>
          <w:rFonts w:cstheme="minorHAnsi"/>
          <w:b/>
          <w:u w:val="single"/>
        </w:rPr>
      </w:pPr>
      <w:r w:rsidRPr="00E651DD">
        <w:rPr>
          <w:rFonts w:cstheme="minorHAnsi"/>
          <w:b/>
          <w:u w:val="single"/>
        </w:rPr>
        <w:t>Att</w:t>
      </w:r>
      <w:r w:rsidR="00B852AB" w:rsidRPr="00E651DD">
        <w:rPr>
          <w:rFonts w:cstheme="minorHAnsi"/>
          <w:b/>
          <w:u w:val="single"/>
        </w:rPr>
        <w:t>endance</w:t>
      </w:r>
      <w:r w:rsidRPr="00E651DD">
        <w:rPr>
          <w:rFonts w:cstheme="minorHAnsi"/>
          <w:b/>
          <w:u w:val="single"/>
        </w:rPr>
        <w:t xml:space="preserve"> </w:t>
      </w:r>
      <w:r w:rsidR="007101EB" w:rsidRPr="00E651DD">
        <w:rPr>
          <w:rFonts w:cstheme="minorHAnsi"/>
          <w:b/>
          <w:u w:val="single"/>
        </w:rPr>
        <w:t>(</w:t>
      </w:r>
      <w:r w:rsidR="001178FF" w:rsidRPr="00E651DD">
        <w:rPr>
          <w:rFonts w:cstheme="minorHAnsi"/>
          <w:b/>
          <w:u w:val="single"/>
        </w:rPr>
        <w:t>%</w:t>
      </w:r>
      <w:r w:rsidR="007101EB" w:rsidRPr="00E651DD">
        <w:rPr>
          <w:rFonts w:cstheme="minorHAnsi"/>
          <w:b/>
          <w:u w:val="single"/>
        </w:rPr>
        <w:t>)</w:t>
      </w:r>
      <w:r w:rsidR="001178FF" w:rsidRPr="00E651DD">
        <w:rPr>
          <w:rFonts w:cstheme="minorHAnsi"/>
          <w:b/>
          <w:u w:val="single"/>
        </w:rPr>
        <w:t xml:space="preserve"> </w:t>
      </w:r>
      <w:r w:rsidRPr="00E651DD">
        <w:rPr>
          <w:rFonts w:cstheme="minorHAnsi"/>
          <w:b/>
          <w:u w:val="single"/>
        </w:rPr>
        <w:t>of SEND Pupils</w:t>
      </w:r>
    </w:p>
    <w:tbl>
      <w:tblPr>
        <w:tblW w:w="9503" w:type="dxa"/>
        <w:tblInd w:w="-436" w:type="dxa"/>
        <w:shd w:val="clear" w:color="auto" w:fill="FFFFFF"/>
        <w:tblCellMar>
          <w:left w:w="0" w:type="dxa"/>
          <w:right w:w="0" w:type="dxa"/>
        </w:tblCellMar>
        <w:tblLook w:val="04A0" w:firstRow="1" w:lastRow="0" w:firstColumn="1" w:lastColumn="0" w:noHBand="0" w:noVBand="1"/>
      </w:tblPr>
      <w:tblGrid>
        <w:gridCol w:w="3408"/>
        <w:gridCol w:w="992"/>
        <w:gridCol w:w="993"/>
        <w:gridCol w:w="992"/>
        <w:gridCol w:w="850"/>
        <w:gridCol w:w="1129"/>
        <w:gridCol w:w="1139"/>
      </w:tblGrid>
      <w:tr w:rsidR="00F57C94" w:rsidRPr="00E651DD" w14:paraId="580A36C8" w14:textId="77777777" w:rsidTr="00F57C94">
        <w:trPr>
          <w:trHeight w:val="315"/>
        </w:trPr>
        <w:tc>
          <w:tcPr>
            <w:tcW w:w="9503"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80A36B" w14:textId="006C9FC1" w:rsidR="00F57C94" w:rsidRPr="00E651DD" w:rsidRDefault="00F57C94" w:rsidP="00F57C94">
            <w:pPr>
              <w:spacing w:after="0" w:line="240" w:lineRule="auto"/>
              <w:jc w:val="center"/>
              <w:textAlignment w:val="baseline"/>
              <w:rPr>
                <w:rFonts w:eastAsia="Times New Roman" w:cstheme="minorHAnsi"/>
                <w:color w:val="242424"/>
                <w:lang w:eastAsia="en-GB"/>
              </w:rPr>
            </w:pPr>
            <w:r w:rsidRPr="00E651DD">
              <w:rPr>
                <w:rFonts w:eastAsia="Times New Roman" w:cstheme="minorHAnsi"/>
                <w:b/>
                <w:bCs/>
                <w:color w:val="242424"/>
                <w:lang w:eastAsia="en-GB"/>
              </w:rPr>
              <w:t xml:space="preserve">Attendance </w:t>
            </w:r>
            <w:r w:rsidR="005E6B3A" w:rsidRPr="00E651DD">
              <w:rPr>
                <w:rFonts w:eastAsia="Times New Roman" w:cstheme="minorHAnsi"/>
                <w:b/>
                <w:bCs/>
                <w:color w:val="242424"/>
                <w:lang w:eastAsia="en-GB"/>
              </w:rPr>
              <w:t>data</w:t>
            </w:r>
            <w:r w:rsidRPr="00E651DD">
              <w:rPr>
                <w:rFonts w:eastAsia="Times New Roman" w:cstheme="minorHAnsi"/>
                <w:b/>
                <w:bCs/>
                <w:color w:val="242424"/>
                <w:lang w:eastAsia="en-GB"/>
              </w:rPr>
              <w:t> 2023 – 2024</w:t>
            </w:r>
          </w:p>
        </w:tc>
      </w:tr>
      <w:tr w:rsidR="00933272" w:rsidRPr="00E651DD" w14:paraId="525D142D" w14:textId="77777777" w:rsidTr="00F57C94">
        <w:trPr>
          <w:trHeight w:val="915"/>
        </w:trPr>
        <w:tc>
          <w:tcPr>
            <w:tcW w:w="340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47AB0"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 </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A437838" w14:textId="6036A642" w:rsidR="00933272" w:rsidRPr="00E651DD" w:rsidRDefault="009C4EE5"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1</w:t>
            </w:r>
            <w:r w:rsidR="00933272" w:rsidRPr="00E651DD">
              <w:rPr>
                <w:rFonts w:eastAsia="Times New Roman" w:cstheme="minorHAnsi"/>
                <w:color w:val="242424"/>
                <w:lang w:eastAsia="en-GB"/>
              </w:rPr>
              <w:t>8-19</w:t>
            </w:r>
          </w:p>
          <w:p w14:paraId="1967E4B9"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w:t>
            </w:r>
          </w:p>
        </w:tc>
        <w:tc>
          <w:tcPr>
            <w:tcW w:w="9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1BE41A8" w14:textId="11F5AB74"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19-20</w:t>
            </w:r>
          </w:p>
          <w:p w14:paraId="3AE9A991"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11AE9DB" w14:textId="78F0D2F9"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20-21</w:t>
            </w:r>
          </w:p>
          <w:p w14:paraId="708A49A7"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w:t>
            </w:r>
          </w:p>
        </w:tc>
        <w:tc>
          <w:tcPr>
            <w:tcW w:w="85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438765F"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21-22</w:t>
            </w:r>
          </w:p>
          <w:p w14:paraId="0521C0CE"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w:t>
            </w:r>
          </w:p>
        </w:tc>
        <w:tc>
          <w:tcPr>
            <w:tcW w:w="112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AEE4B57"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22-23</w:t>
            </w:r>
          </w:p>
          <w:p w14:paraId="22CD44C4"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w:t>
            </w:r>
          </w:p>
        </w:tc>
        <w:tc>
          <w:tcPr>
            <w:tcW w:w="113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4250DD3"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23-24</w:t>
            </w:r>
          </w:p>
          <w:p w14:paraId="37D3C5EE" w14:textId="346C5D18" w:rsidR="009C4EE5" w:rsidRPr="00E651DD" w:rsidRDefault="009C4EE5"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w:t>
            </w:r>
          </w:p>
        </w:tc>
      </w:tr>
      <w:tr w:rsidR="00933272" w:rsidRPr="00E651DD" w14:paraId="002814C7" w14:textId="77777777" w:rsidTr="00F57C94">
        <w:trPr>
          <w:trHeight w:val="315"/>
        </w:trPr>
        <w:tc>
          <w:tcPr>
            <w:tcW w:w="340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DBDE95"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Whole school</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8F6EAF9"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95.20</w:t>
            </w:r>
          </w:p>
        </w:tc>
        <w:tc>
          <w:tcPr>
            <w:tcW w:w="9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3A11B11"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90.1</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80F06"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95.6</w:t>
            </w:r>
          </w:p>
        </w:tc>
        <w:tc>
          <w:tcPr>
            <w:tcW w:w="85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2854DB1"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92.25</w:t>
            </w:r>
          </w:p>
        </w:tc>
        <w:tc>
          <w:tcPr>
            <w:tcW w:w="112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F026A87"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92.66</w:t>
            </w:r>
          </w:p>
        </w:tc>
        <w:tc>
          <w:tcPr>
            <w:tcW w:w="113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BD6DBE"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92.35</w:t>
            </w:r>
          </w:p>
        </w:tc>
      </w:tr>
      <w:tr w:rsidR="00933272" w:rsidRPr="00E651DD" w14:paraId="49138CCD" w14:textId="77777777" w:rsidTr="00F57C94">
        <w:trPr>
          <w:trHeight w:val="315"/>
        </w:trPr>
        <w:tc>
          <w:tcPr>
            <w:tcW w:w="340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B1C859"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PP</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B5FBEB2"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93.40</w:t>
            </w:r>
          </w:p>
        </w:tc>
        <w:tc>
          <w:tcPr>
            <w:tcW w:w="9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39C03"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88.8</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82507EB"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88.8</w:t>
            </w:r>
          </w:p>
        </w:tc>
        <w:tc>
          <w:tcPr>
            <w:tcW w:w="85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AD7A44"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89.86</w:t>
            </w:r>
          </w:p>
        </w:tc>
        <w:tc>
          <w:tcPr>
            <w:tcW w:w="112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D386FE0"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89.16</w:t>
            </w:r>
          </w:p>
        </w:tc>
        <w:tc>
          <w:tcPr>
            <w:tcW w:w="113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928B0CE"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88.29</w:t>
            </w:r>
          </w:p>
        </w:tc>
      </w:tr>
      <w:tr w:rsidR="00933272" w:rsidRPr="00E651DD" w14:paraId="2D2D34B6" w14:textId="77777777" w:rsidTr="00F57C94">
        <w:trPr>
          <w:trHeight w:val="315"/>
        </w:trPr>
        <w:tc>
          <w:tcPr>
            <w:tcW w:w="340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0D76A2"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SEN</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CD661"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91.2</w:t>
            </w:r>
          </w:p>
        </w:tc>
        <w:tc>
          <w:tcPr>
            <w:tcW w:w="9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709238C"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87.5</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4A5A9AC"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87.5</w:t>
            </w:r>
          </w:p>
        </w:tc>
        <w:tc>
          <w:tcPr>
            <w:tcW w:w="85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26AF00B"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89.36</w:t>
            </w:r>
          </w:p>
        </w:tc>
        <w:tc>
          <w:tcPr>
            <w:tcW w:w="112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B87B78D"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89.90</w:t>
            </w:r>
          </w:p>
        </w:tc>
        <w:tc>
          <w:tcPr>
            <w:tcW w:w="113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0998918"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87</w:t>
            </w:r>
          </w:p>
        </w:tc>
      </w:tr>
      <w:tr w:rsidR="00933272" w:rsidRPr="00E651DD" w14:paraId="0248410B" w14:textId="77777777" w:rsidTr="00531776">
        <w:trPr>
          <w:trHeight w:val="345"/>
        </w:trPr>
        <w:tc>
          <w:tcPr>
            <w:tcW w:w="340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4BFF89"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National Average - Primary</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097074F"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96.3</w:t>
            </w:r>
          </w:p>
        </w:tc>
        <w:tc>
          <w:tcPr>
            <w:tcW w:w="9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D0021B1"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95.7</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9193B6C"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96.3</w:t>
            </w:r>
          </w:p>
        </w:tc>
        <w:tc>
          <w:tcPr>
            <w:tcW w:w="85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80979F3"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93.7</w:t>
            </w:r>
          </w:p>
        </w:tc>
        <w:tc>
          <w:tcPr>
            <w:tcW w:w="112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E981F57"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94.1</w:t>
            </w:r>
          </w:p>
        </w:tc>
        <w:tc>
          <w:tcPr>
            <w:tcW w:w="113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CF73210"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92.8</w:t>
            </w:r>
          </w:p>
        </w:tc>
      </w:tr>
      <w:tr w:rsidR="00933272" w:rsidRPr="00E651DD" w14:paraId="28BCD44F" w14:textId="77777777" w:rsidTr="00531776">
        <w:trPr>
          <w:trHeight w:val="283"/>
        </w:trPr>
        <w:tc>
          <w:tcPr>
            <w:tcW w:w="340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F40370"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National Average – Secondary</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4349B42"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95.21</w:t>
            </w:r>
          </w:p>
        </w:tc>
        <w:tc>
          <w:tcPr>
            <w:tcW w:w="9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1350CF7"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94.4</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B3F3F57"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94.3</w:t>
            </w:r>
          </w:p>
        </w:tc>
        <w:tc>
          <w:tcPr>
            <w:tcW w:w="85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46DBDC0"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91</w:t>
            </w:r>
          </w:p>
        </w:tc>
        <w:tc>
          <w:tcPr>
            <w:tcW w:w="112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1156417"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91</w:t>
            </w:r>
          </w:p>
        </w:tc>
        <w:tc>
          <w:tcPr>
            <w:tcW w:w="113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CAD8B10"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86.2</w:t>
            </w:r>
          </w:p>
        </w:tc>
      </w:tr>
      <w:tr w:rsidR="00933272" w:rsidRPr="00E651DD" w14:paraId="605684D6" w14:textId="77777777" w:rsidTr="00F57C94">
        <w:trPr>
          <w:trHeight w:val="315"/>
        </w:trPr>
        <w:tc>
          <w:tcPr>
            <w:tcW w:w="340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998F6"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All Schools Average</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DE1366"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95.7</w:t>
            </w:r>
          </w:p>
        </w:tc>
        <w:tc>
          <w:tcPr>
            <w:tcW w:w="993"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79AF79C"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95.1</w:t>
            </w:r>
          </w:p>
        </w:tc>
        <w:tc>
          <w:tcPr>
            <w:tcW w:w="99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F1A076C"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95.3</w:t>
            </w:r>
          </w:p>
        </w:tc>
        <w:tc>
          <w:tcPr>
            <w:tcW w:w="85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49B755A"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92.4</w:t>
            </w:r>
          </w:p>
        </w:tc>
        <w:tc>
          <w:tcPr>
            <w:tcW w:w="112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AF1E39A"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92.6</w:t>
            </w:r>
          </w:p>
        </w:tc>
        <w:tc>
          <w:tcPr>
            <w:tcW w:w="1139"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CB53F9F" w14:textId="77777777" w:rsidR="00933272" w:rsidRPr="00E651DD" w:rsidRDefault="00933272" w:rsidP="00933272">
            <w:pPr>
              <w:spacing w:after="0" w:line="240" w:lineRule="auto"/>
              <w:textAlignment w:val="baseline"/>
              <w:rPr>
                <w:rFonts w:eastAsia="Times New Roman" w:cstheme="minorHAnsi"/>
                <w:color w:val="242424"/>
                <w:lang w:eastAsia="en-GB"/>
              </w:rPr>
            </w:pPr>
            <w:r w:rsidRPr="00E651DD">
              <w:rPr>
                <w:rFonts w:eastAsia="Times New Roman" w:cstheme="minorHAnsi"/>
                <w:color w:val="242424"/>
                <w:lang w:eastAsia="en-GB"/>
              </w:rPr>
              <w:t>92.8</w:t>
            </w:r>
          </w:p>
        </w:tc>
      </w:tr>
    </w:tbl>
    <w:p w14:paraId="7671A7B4" w14:textId="77777777" w:rsidR="005B3782" w:rsidRPr="00E651DD" w:rsidRDefault="005B3782" w:rsidP="009E0BEE">
      <w:pPr>
        <w:rPr>
          <w:rFonts w:cstheme="minorHAnsi"/>
          <w:b/>
          <w:u w:val="single"/>
        </w:rPr>
      </w:pPr>
    </w:p>
    <w:p w14:paraId="0E7F348E" w14:textId="4FD677D6" w:rsidR="009E0BEE" w:rsidRPr="00E651DD" w:rsidRDefault="009E0BEE" w:rsidP="009E0BEE">
      <w:pPr>
        <w:rPr>
          <w:rFonts w:cstheme="minorHAnsi"/>
          <w:b/>
          <w:u w:val="single"/>
        </w:rPr>
      </w:pPr>
      <w:r w:rsidRPr="00E651DD">
        <w:rPr>
          <w:rFonts w:cstheme="minorHAnsi"/>
          <w:b/>
          <w:u w:val="single"/>
        </w:rPr>
        <w:t>Behaviour</w:t>
      </w:r>
    </w:p>
    <w:tbl>
      <w:tblPr>
        <w:tblStyle w:val="TableGrid"/>
        <w:tblW w:w="0" w:type="auto"/>
        <w:tblLook w:val="04A0" w:firstRow="1" w:lastRow="0" w:firstColumn="1" w:lastColumn="0" w:noHBand="0" w:noVBand="1"/>
      </w:tblPr>
      <w:tblGrid>
        <w:gridCol w:w="4207"/>
        <w:gridCol w:w="1134"/>
        <w:gridCol w:w="1134"/>
        <w:gridCol w:w="1134"/>
        <w:gridCol w:w="1134"/>
      </w:tblGrid>
      <w:tr w:rsidR="009C4EE5" w:rsidRPr="00E651DD" w14:paraId="03918A5A" w14:textId="65E87E9C" w:rsidTr="00880394">
        <w:trPr>
          <w:trHeight w:val="212"/>
        </w:trPr>
        <w:tc>
          <w:tcPr>
            <w:tcW w:w="4207" w:type="dxa"/>
          </w:tcPr>
          <w:p w14:paraId="1C76B1C0" w14:textId="77777777" w:rsidR="009C4EE5" w:rsidRPr="00E651DD" w:rsidRDefault="009C4EE5" w:rsidP="008B61FD">
            <w:pPr>
              <w:rPr>
                <w:rFonts w:eastAsia="Calibri" w:cstheme="minorHAnsi"/>
                <w:b/>
                <w:bCs/>
                <w:lang w:eastAsia="en-GB"/>
              </w:rPr>
            </w:pPr>
            <w:r w:rsidRPr="00E651DD">
              <w:rPr>
                <w:rFonts w:eastAsia="Calibri" w:cstheme="minorHAnsi"/>
                <w:b/>
                <w:bCs/>
                <w:lang w:eastAsia="en-GB"/>
              </w:rPr>
              <w:t>Year</w:t>
            </w:r>
          </w:p>
        </w:tc>
        <w:tc>
          <w:tcPr>
            <w:tcW w:w="1134" w:type="dxa"/>
          </w:tcPr>
          <w:p w14:paraId="108DCC00" w14:textId="77777777" w:rsidR="009C4EE5" w:rsidRPr="00E651DD" w:rsidRDefault="009C4EE5" w:rsidP="008B61FD">
            <w:pPr>
              <w:jc w:val="center"/>
              <w:rPr>
                <w:rFonts w:cstheme="minorHAnsi"/>
                <w:b/>
              </w:rPr>
            </w:pPr>
            <w:r w:rsidRPr="00E651DD">
              <w:rPr>
                <w:rFonts w:cstheme="minorHAnsi"/>
                <w:b/>
              </w:rPr>
              <w:t>20/21*</w:t>
            </w:r>
          </w:p>
        </w:tc>
        <w:tc>
          <w:tcPr>
            <w:tcW w:w="1134" w:type="dxa"/>
          </w:tcPr>
          <w:p w14:paraId="2AD7C6C9" w14:textId="77777777" w:rsidR="009C4EE5" w:rsidRPr="00E651DD" w:rsidRDefault="009C4EE5" w:rsidP="008B61FD">
            <w:pPr>
              <w:jc w:val="center"/>
              <w:rPr>
                <w:rFonts w:cstheme="minorHAnsi"/>
                <w:b/>
              </w:rPr>
            </w:pPr>
            <w:r w:rsidRPr="00E651DD">
              <w:rPr>
                <w:rFonts w:cstheme="minorHAnsi"/>
                <w:b/>
              </w:rPr>
              <w:t>21/22</w:t>
            </w:r>
          </w:p>
        </w:tc>
        <w:tc>
          <w:tcPr>
            <w:tcW w:w="1134" w:type="dxa"/>
          </w:tcPr>
          <w:p w14:paraId="32F1DBFF" w14:textId="77777777" w:rsidR="009C4EE5" w:rsidRPr="00E651DD" w:rsidRDefault="009C4EE5" w:rsidP="008B61FD">
            <w:pPr>
              <w:jc w:val="center"/>
              <w:rPr>
                <w:rFonts w:cstheme="minorHAnsi"/>
                <w:b/>
              </w:rPr>
            </w:pPr>
            <w:r w:rsidRPr="00E651DD">
              <w:rPr>
                <w:rFonts w:cstheme="minorHAnsi"/>
                <w:b/>
              </w:rPr>
              <w:t>22/23</w:t>
            </w:r>
          </w:p>
        </w:tc>
        <w:tc>
          <w:tcPr>
            <w:tcW w:w="1134" w:type="dxa"/>
          </w:tcPr>
          <w:p w14:paraId="234E0EC0" w14:textId="0E7E6392" w:rsidR="009C4EE5" w:rsidRPr="00E651DD" w:rsidRDefault="009C4EE5" w:rsidP="008B61FD">
            <w:pPr>
              <w:jc w:val="center"/>
              <w:rPr>
                <w:rFonts w:cstheme="minorHAnsi"/>
                <w:b/>
              </w:rPr>
            </w:pPr>
            <w:r w:rsidRPr="00E651DD">
              <w:rPr>
                <w:rFonts w:cstheme="minorHAnsi"/>
                <w:b/>
              </w:rPr>
              <w:t>23/24</w:t>
            </w:r>
          </w:p>
        </w:tc>
      </w:tr>
      <w:tr w:rsidR="009C4EE5" w:rsidRPr="00E651DD" w14:paraId="15E0198A" w14:textId="79B61CAE" w:rsidTr="00880394">
        <w:tc>
          <w:tcPr>
            <w:tcW w:w="4207" w:type="dxa"/>
          </w:tcPr>
          <w:p w14:paraId="735D8DDB" w14:textId="77777777" w:rsidR="009C4EE5" w:rsidRPr="00E651DD" w:rsidRDefault="009C4EE5" w:rsidP="008B61FD">
            <w:pPr>
              <w:rPr>
                <w:rFonts w:eastAsia="Calibri" w:cstheme="minorHAnsi"/>
                <w:b/>
                <w:bCs/>
                <w:lang w:eastAsia="en-GB"/>
              </w:rPr>
            </w:pPr>
            <w:r w:rsidRPr="00E651DD">
              <w:rPr>
                <w:rFonts w:eastAsia="Calibri" w:cstheme="minorHAnsi"/>
                <w:b/>
                <w:bCs/>
                <w:lang w:eastAsia="en-GB"/>
              </w:rPr>
              <w:t>Sessions lost to suspension (SEND)</w:t>
            </w:r>
          </w:p>
        </w:tc>
        <w:tc>
          <w:tcPr>
            <w:tcW w:w="1134" w:type="dxa"/>
          </w:tcPr>
          <w:p w14:paraId="6717F328" w14:textId="77777777" w:rsidR="009C4EE5" w:rsidRPr="00E651DD" w:rsidRDefault="009C4EE5" w:rsidP="008B61FD">
            <w:pPr>
              <w:jc w:val="center"/>
              <w:rPr>
                <w:rFonts w:cstheme="minorHAnsi"/>
              </w:rPr>
            </w:pPr>
            <w:r w:rsidRPr="00E651DD">
              <w:rPr>
                <w:rFonts w:cstheme="minorHAnsi"/>
              </w:rPr>
              <w:t>109</w:t>
            </w:r>
          </w:p>
        </w:tc>
        <w:tc>
          <w:tcPr>
            <w:tcW w:w="1134" w:type="dxa"/>
          </w:tcPr>
          <w:p w14:paraId="1CD83540" w14:textId="77777777" w:rsidR="009C4EE5" w:rsidRPr="00E651DD" w:rsidRDefault="009C4EE5" w:rsidP="008B61FD">
            <w:pPr>
              <w:jc w:val="center"/>
              <w:rPr>
                <w:rFonts w:cstheme="minorHAnsi"/>
              </w:rPr>
            </w:pPr>
            <w:r w:rsidRPr="00E651DD">
              <w:rPr>
                <w:rFonts w:cstheme="minorHAnsi"/>
              </w:rPr>
              <w:t>103</w:t>
            </w:r>
          </w:p>
        </w:tc>
        <w:tc>
          <w:tcPr>
            <w:tcW w:w="1134" w:type="dxa"/>
          </w:tcPr>
          <w:p w14:paraId="2D7FAB6C" w14:textId="77777777" w:rsidR="009C4EE5" w:rsidRPr="00E651DD" w:rsidRDefault="009C4EE5" w:rsidP="008B61FD">
            <w:pPr>
              <w:jc w:val="center"/>
              <w:rPr>
                <w:rFonts w:cstheme="minorHAnsi"/>
              </w:rPr>
            </w:pPr>
            <w:r w:rsidRPr="00E651DD">
              <w:rPr>
                <w:rFonts w:cstheme="minorHAnsi"/>
              </w:rPr>
              <w:t>100</w:t>
            </w:r>
          </w:p>
        </w:tc>
        <w:tc>
          <w:tcPr>
            <w:tcW w:w="1134" w:type="dxa"/>
          </w:tcPr>
          <w:p w14:paraId="5A7746E8" w14:textId="639429E5" w:rsidR="009C4EE5" w:rsidRPr="00E651DD" w:rsidRDefault="009C4EE5" w:rsidP="008B61FD">
            <w:pPr>
              <w:jc w:val="center"/>
              <w:rPr>
                <w:rFonts w:cstheme="minorHAnsi"/>
              </w:rPr>
            </w:pPr>
            <w:r w:rsidRPr="00E651DD">
              <w:rPr>
                <w:rFonts w:cstheme="minorHAnsi"/>
              </w:rPr>
              <w:t>98</w:t>
            </w:r>
          </w:p>
        </w:tc>
      </w:tr>
      <w:tr w:rsidR="009C4EE5" w:rsidRPr="00E651DD" w14:paraId="6DBA4EBE" w14:textId="2CE80A53" w:rsidTr="00880394">
        <w:tc>
          <w:tcPr>
            <w:tcW w:w="4207" w:type="dxa"/>
          </w:tcPr>
          <w:p w14:paraId="51408BAA" w14:textId="77777777" w:rsidR="009C4EE5" w:rsidRPr="00E651DD" w:rsidRDefault="009C4EE5" w:rsidP="008B61FD">
            <w:pPr>
              <w:rPr>
                <w:rFonts w:eastAsia="Calibri" w:cstheme="minorHAnsi"/>
                <w:b/>
                <w:bCs/>
                <w:lang w:eastAsia="en-GB"/>
              </w:rPr>
            </w:pPr>
            <w:r w:rsidRPr="00E651DD">
              <w:rPr>
                <w:rFonts w:eastAsia="Calibri" w:cstheme="minorHAnsi"/>
                <w:b/>
                <w:bCs/>
                <w:lang w:eastAsia="en-GB"/>
              </w:rPr>
              <w:t>Permanent exclusions</w:t>
            </w:r>
          </w:p>
        </w:tc>
        <w:tc>
          <w:tcPr>
            <w:tcW w:w="1134" w:type="dxa"/>
          </w:tcPr>
          <w:p w14:paraId="343ACC01" w14:textId="77777777" w:rsidR="009C4EE5" w:rsidRPr="00E651DD" w:rsidRDefault="009C4EE5" w:rsidP="008B61FD">
            <w:pPr>
              <w:jc w:val="center"/>
              <w:rPr>
                <w:rFonts w:cstheme="minorHAnsi"/>
                <w:highlight w:val="yellow"/>
              </w:rPr>
            </w:pPr>
            <w:r w:rsidRPr="00E651DD">
              <w:rPr>
                <w:rFonts w:cstheme="minorHAnsi"/>
              </w:rPr>
              <w:t>0</w:t>
            </w:r>
          </w:p>
        </w:tc>
        <w:tc>
          <w:tcPr>
            <w:tcW w:w="1134" w:type="dxa"/>
          </w:tcPr>
          <w:p w14:paraId="4EB114A2" w14:textId="77777777" w:rsidR="009C4EE5" w:rsidRPr="00E651DD" w:rsidRDefault="009C4EE5" w:rsidP="008B61FD">
            <w:pPr>
              <w:jc w:val="center"/>
              <w:rPr>
                <w:rFonts w:cstheme="minorHAnsi"/>
              </w:rPr>
            </w:pPr>
            <w:r w:rsidRPr="00E651DD">
              <w:rPr>
                <w:rFonts w:cstheme="minorHAnsi"/>
              </w:rPr>
              <w:t>0</w:t>
            </w:r>
          </w:p>
        </w:tc>
        <w:tc>
          <w:tcPr>
            <w:tcW w:w="1134" w:type="dxa"/>
          </w:tcPr>
          <w:p w14:paraId="7A71759F" w14:textId="77777777" w:rsidR="009C4EE5" w:rsidRPr="00E651DD" w:rsidRDefault="009C4EE5" w:rsidP="008B61FD">
            <w:pPr>
              <w:jc w:val="center"/>
              <w:rPr>
                <w:rFonts w:cstheme="minorHAnsi"/>
              </w:rPr>
            </w:pPr>
            <w:r w:rsidRPr="00E651DD">
              <w:rPr>
                <w:rFonts w:cstheme="minorHAnsi"/>
              </w:rPr>
              <w:t>0</w:t>
            </w:r>
          </w:p>
        </w:tc>
        <w:tc>
          <w:tcPr>
            <w:tcW w:w="1134" w:type="dxa"/>
          </w:tcPr>
          <w:p w14:paraId="5CE0D609" w14:textId="21BE9DCD" w:rsidR="009C4EE5" w:rsidRPr="00E651DD" w:rsidRDefault="009C4EE5" w:rsidP="008B61FD">
            <w:pPr>
              <w:jc w:val="center"/>
              <w:rPr>
                <w:rFonts w:cstheme="minorHAnsi"/>
              </w:rPr>
            </w:pPr>
            <w:r w:rsidRPr="00E651DD">
              <w:rPr>
                <w:rFonts w:cstheme="minorHAnsi"/>
              </w:rPr>
              <w:t>0</w:t>
            </w:r>
          </w:p>
        </w:tc>
      </w:tr>
    </w:tbl>
    <w:p w14:paraId="1F6BC424" w14:textId="77777777" w:rsidR="009E0BEE" w:rsidRPr="00E651DD" w:rsidRDefault="009E0BEE" w:rsidP="009E0BEE">
      <w:pPr>
        <w:rPr>
          <w:rFonts w:cstheme="minorHAnsi"/>
          <w:color w:val="FF0000"/>
        </w:rPr>
      </w:pPr>
      <w:r w:rsidRPr="00E651DD">
        <w:rPr>
          <w:rFonts w:cstheme="minorHAnsi"/>
          <w:bCs/>
        </w:rPr>
        <w:t>*This year included partial closure</w:t>
      </w:r>
    </w:p>
    <w:p w14:paraId="246809B6" w14:textId="77777777" w:rsidR="009610BF" w:rsidRPr="00E651DD" w:rsidRDefault="009610BF" w:rsidP="009E0BEE">
      <w:pPr>
        <w:rPr>
          <w:rFonts w:cstheme="minorHAnsi"/>
          <w:b/>
        </w:rPr>
      </w:pPr>
    </w:p>
    <w:p w14:paraId="045048F6" w14:textId="10FB1028" w:rsidR="009E0BEE" w:rsidRPr="00E651DD" w:rsidRDefault="009E0BEE" w:rsidP="009E0BEE">
      <w:pPr>
        <w:rPr>
          <w:rFonts w:cstheme="minorHAnsi"/>
          <w:b/>
        </w:rPr>
      </w:pPr>
      <w:r w:rsidRPr="00E651DD">
        <w:rPr>
          <w:rFonts w:cstheme="minorHAnsi"/>
          <w:b/>
        </w:rPr>
        <w:t xml:space="preserve">Referrals to Compass Centre </w:t>
      </w:r>
    </w:p>
    <w:tbl>
      <w:tblPr>
        <w:tblW w:w="0" w:type="auto"/>
        <w:shd w:val="clear" w:color="auto" w:fill="FFFFFF"/>
        <w:tblCellMar>
          <w:left w:w="0" w:type="dxa"/>
          <w:right w:w="0" w:type="dxa"/>
        </w:tblCellMar>
        <w:tblLook w:val="04A0" w:firstRow="1" w:lastRow="0" w:firstColumn="1" w:lastColumn="0" w:noHBand="0" w:noVBand="1"/>
      </w:tblPr>
      <w:tblGrid>
        <w:gridCol w:w="3815"/>
        <w:gridCol w:w="708"/>
        <w:gridCol w:w="567"/>
        <w:gridCol w:w="567"/>
        <w:gridCol w:w="708"/>
        <w:gridCol w:w="567"/>
        <w:gridCol w:w="708"/>
        <w:gridCol w:w="1366"/>
      </w:tblGrid>
      <w:tr w:rsidR="00933272" w:rsidRPr="00E651DD" w14:paraId="6199A658" w14:textId="77777777" w:rsidTr="00771855">
        <w:trPr>
          <w:trHeight w:val="315"/>
        </w:trPr>
        <w:tc>
          <w:tcPr>
            <w:tcW w:w="9006" w:type="dxa"/>
            <w:gridSpan w:val="8"/>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DC88B6E" w14:textId="77777777" w:rsidR="00933272" w:rsidRPr="00E651DD" w:rsidRDefault="00933272" w:rsidP="00933272">
            <w:pPr>
              <w:rPr>
                <w:rFonts w:cstheme="minorHAnsi"/>
              </w:rPr>
            </w:pPr>
            <w:r w:rsidRPr="00E651DD">
              <w:rPr>
                <w:rFonts w:cstheme="minorHAnsi"/>
                <w:b/>
                <w:bCs/>
              </w:rPr>
              <w:t>Number of pupils sent to the Compass Centre – SEND 2023 – 2024</w:t>
            </w:r>
          </w:p>
        </w:tc>
      </w:tr>
      <w:tr w:rsidR="00933272" w:rsidRPr="00E651DD" w14:paraId="3E719563" w14:textId="77777777" w:rsidTr="00771855">
        <w:trPr>
          <w:trHeight w:val="315"/>
        </w:trPr>
        <w:tc>
          <w:tcPr>
            <w:tcW w:w="3815" w:type="dxa"/>
            <w:tcBorders>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E8F5E53" w14:textId="77777777" w:rsidR="00933272" w:rsidRPr="00E651DD" w:rsidRDefault="00933272" w:rsidP="00933272">
            <w:pPr>
              <w:rPr>
                <w:rFonts w:cstheme="minorHAnsi"/>
              </w:rPr>
            </w:pPr>
            <w:r w:rsidRPr="00E651DD">
              <w:rPr>
                <w:rFonts w:cstheme="minorHAnsi"/>
                <w:b/>
                <w:bCs/>
              </w:rPr>
              <w:t> </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22869F" w14:textId="77777777" w:rsidR="00933272" w:rsidRPr="00E651DD" w:rsidRDefault="00933272" w:rsidP="00933272">
            <w:pPr>
              <w:rPr>
                <w:rFonts w:cstheme="minorHAnsi"/>
              </w:rPr>
            </w:pPr>
            <w:r w:rsidRPr="00E651DD">
              <w:rPr>
                <w:rFonts w:cstheme="minorHAnsi"/>
                <w:b/>
                <w:bCs/>
              </w:rPr>
              <w:t>T1</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0934DE3" w14:textId="77777777" w:rsidR="00933272" w:rsidRPr="00E651DD" w:rsidRDefault="00933272" w:rsidP="00933272">
            <w:pPr>
              <w:rPr>
                <w:rFonts w:cstheme="minorHAnsi"/>
              </w:rPr>
            </w:pPr>
            <w:r w:rsidRPr="00E651DD">
              <w:rPr>
                <w:rFonts w:cstheme="minorHAnsi"/>
                <w:b/>
                <w:bCs/>
              </w:rPr>
              <w:t>T2</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E1FEC48" w14:textId="77777777" w:rsidR="00933272" w:rsidRPr="00E651DD" w:rsidRDefault="00933272" w:rsidP="00933272">
            <w:pPr>
              <w:rPr>
                <w:rFonts w:cstheme="minorHAnsi"/>
              </w:rPr>
            </w:pPr>
            <w:r w:rsidRPr="00E651DD">
              <w:rPr>
                <w:rFonts w:cstheme="minorHAnsi"/>
                <w:b/>
                <w:bCs/>
              </w:rPr>
              <w:t>T3</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9B878E0" w14:textId="77777777" w:rsidR="00933272" w:rsidRPr="00E651DD" w:rsidRDefault="00933272" w:rsidP="00933272">
            <w:pPr>
              <w:rPr>
                <w:rFonts w:cstheme="minorHAnsi"/>
              </w:rPr>
            </w:pPr>
            <w:r w:rsidRPr="00E651DD">
              <w:rPr>
                <w:rFonts w:cstheme="minorHAnsi"/>
                <w:b/>
                <w:bCs/>
              </w:rPr>
              <w:t>T4</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501E060" w14:textId="77777777" w:rsidR="00933272" w:rsidRPr="00E651DD" w:rsidRDefault="00933272" w:rsidP="00933272">
            <w:pPr>
              <w:rPr>
                <w:rFonts w:cstheme="minorHAnsi"/>
              </w:rPr>
            </w:pPr>
            <w:r w:rsidRPr="00E651DD">
              <w:rPr>
                <w:rFonts w:cstheme="minorHAnsi"/>
                <w:b/>
                <w:bCs/>
              </w:rPr>
              <w:t>T5</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40982CA" w14:textId="77777777" w:rsidR="00933272" w:rsidRPr="00E651DD" w:rsidRDefault="00933272" w:rsidP="00933272">
            <w:pPr>
              <w:rPr>
                <w:rFonts w:cstheme="minorHAnsi"/>
              </w:rPr>
            </w:pPr>
            <w:r w:rsidRPr="00E651DD">
              <w:rPr>
                <w:rFonts w:cstheme="minorHAnsi"/>
                <w:b/>
                <w:bCs/>
              </w:rPr>
              <w:t>T6</w:t>
            </w:r>
          </w:p>
        </w:tc>
        <w:tc>
          <w:tcPr>
            <w:tcW w:w="13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BEB56E6" w14:textId="77777777" w:rsidR="00933272" w:rsidRPr="00E651DD" w:rsidRDefault="00933272" w:rsidP="00933272">
            <w:pPr>
              <w:rPr>
                <w:rFonts w:cstheme="minorHAnsi"/>
              </w:rPr>
            </w:pPr>
            <w:r w:rsidRPr="00E651DD">
              <w:rPr>
                <w:rFonts w:cstheme="minorHAnsi"/>
                <w:b/>
                <w:bCs/>
              </w:rPr>
              <w:t>Cumulative</w:t>
            </w:r>
          </w:p>
        </w:tc>
      </w:tr>
      <w:tr w:rsidR="00933272" w:rsidRPr="00E651DD" w14:paraId="1B256D07" w14:textId="77777777" w:rsidTr="00771855">
        <w:trPr>
          <w:trHeight w:val="315"/>
        </w:trPr>
        <w:tc>
          <w:tcPr>
            <w:tcW w:w="381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7CDD18" w14:textId="77777777" w:rsidR="00933272" w:rsidRPr="00E651DD" w:rsidRDefault="00933272" w:rsidP="00933272">
            <w:pPr>
              <w:rPr>
                <w:rFonts w:cstheme="minorHAnsi"/>
              </w:rPr>
            </w:pPr>
            <w:r w:rsidRPr="00E651DD">
              <w:rPr>
                <w:rFonts w:cstheme="minorHAnsi"/>
              </w:rPr>
              <w:lastRenderedPageBreak/>
              <w:t>YEAR 5</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F3AAB4D" w14:textId="77777777" w:rsidR="00933272" w:rsidRPr="00E651DD" w:rsidRDefault="00933272" w:rsidP="00933272">
            <w:pPr>
              <w:rPr>
                <w:rFonts w:cstheme="minorHAnsi"/>
              </w:rPr>
            </w:pPr>
            <w:r w:rsidRPr="00E651DD">
              <w:rPr>
                <w:rFonts w:cstheme="minorHAnsi"/>
              </w:rPr>
              <w:t>11</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8CA6AB0" w14:textId="77777777" w:rsidR="00933272" w:rsidRPr="00E651DD" w:rsidRDefault="00933272" w:rsidP="00933272">
            <w:pPr>
              <w:rPr>
                <w:rFonts w:cstheme="minorHAnsi"/>
              </w:rPr>
            </w:pPr>
            <w:r w:rsidRPr="00E651DD">
              <w:rPr>
                <w:rFonts w:cstheme="minorHAnsi"/>
              </w:rPr>
              <w:t>12</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86BA0E0" w14:textId="77777777" w:rsidR="00933272" w:rsidRPr="00E651DD" w:rsidRDefault="00933272" w:rsidP="00933272">
            <w:pPr>
              <w:rPr>
                <w:rFonts w:cstheme="minorHAnsi"/>
              </w:rPr>
            </w:pPr>
            <w:r w:rsidRPr="00E651DD">
              <w:rPr>
                <w:rFonts w:cstheme="minorHAnsi"/>
              </w:rPr>
              <w:t>9</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407A164" w14:textId="77777777" w:rsidR="00933272" w:rsidRPr="00E651DD" w:rsidRDefault="00933272" w:rsidP="00933272">
            <w:pPr>
              <w:rPr>
                <w:rFonts w:cstheme="minorHAnsi"/>
              </w:rPr>
            </w:pPr>
            <w:r w:rsidRPr="00E651DD">
              <w:rPr>
                <w:rFonts w:cstheme="minorHAnsi"/>
              </w:rPr>
              <w:t>10</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3C76872" w14:textId="77777777" w:rsidR="00933272" w:rsidRPr="00E651DD" w:rsidRDefault="00933272" w:rsidP="00933272">
            <w:pPr>
              <w:rPr>
                <w:rFonts w:cstheme="minorHAnsi"/>
              </w:rPr>
            </w:pPr>
            <w:r w:rsidRPr="00E651DD">
              <w:rPr>
                <w:rFonts w:cstheme="minorHAnsi"/>
              </w:rPr>
              <w:t>10</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FEC590" w14:textId="77777777" w:rsidR="00933272" w:rsidRPr="00E651DD" w:rsidRDefault="00933272" w:rsidP="00933272">
            <w:pPr>
              <w:rPr>
                <w:rFonts w:cstheme="minorHAnsi"/>
              </w:rPr>
            </w:pPr>
            <w:r w:rsidRPr="00E651DD">
              <w:rPr>
                <w:rFonts w:cstheme="minorHAnsi"/>
              </w:rPr>
              <w:t>10</w:t>
            </w:r>
          </w:p>
        </w:tc>
        <w:tc>
          <w:tcPr>
            <w:tcW w:w="13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FEE1195" w14:textId="77777777" w:rsidR="00933272" w:rsidRPr="00E651DD" w:rsidRDefault="00933272" w:rsidP="00933272">
            <w:pPr>
              <w:rPr>
                <w:rFonts w:cstheme="minorHAnsi"/>
              </w:rPr>
            </w:pPr>
            <w:r w:rsidRPr="00E651DD">
              <w:rPr>
                <w:rFonts w:cstheme="minorHAnsi"/>
              </w:rPr>
              <w:t>62</w:t>
            </w:r>
          </w:p>
        </w:tc>
      </w:tr>
      <w:tr w:rsidR="00933272" w:rsidRPr="00E651DD" w14:paraId="39F55E4A" w14:textId="77777777" w:rsidTr="00771855">
        <w:trPr>
          <w:trHeight w:val="315"/>
        </w:trPr>
        <w:tc>
          <w:tcPr>
            <w:tcW w:w="381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D46E9A" w14:textId="77777777" w:rsidR="00933272" w:rsidRPr="00E651DD" w:rsidRDefault="00933272" w:rsidP="00933272">
            <w:pPr>
              <w:rPr>
                <w:rFonts w:cstheme="minorHAnsi"/>
              </w:rPr>
            </w:pPr>
            <w:r w:rsidRPr="00E651DD">
              <w:rPr>
                <w:rFonts w:cstheme="minorHAnsi"/>
              </w:rPr>
              <w:t>YEAR 6</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1A3C13E" w14:textId="77777777" w:rsidR="00933272" w:rsidRPr="00E651DD" w:rsidRDefault="00933272" w:rsidP="00933272">
            <w:pPr>
              <w:rPr>
                <w:rFonts w:cstheme="minorHAnsi"/>
              </w:rPr>
            </w:pPr>
            <w:r w:rsidRPr="00E651DD">
              <w:rPr>
                <w:rFonts w:cstheme="minorHAnsi"/>
              </w:rPr>
              <w:t>10</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2394350" w14:textId="77777777" w:rsidR="00933272" w:rsidRPr="00E651DD" w:rsidRDefault="00933272" w:rsidP="00933272">
            <w:pPr>
              <w:rPr>
                <w:rFonts w:cstheme="minorHAnsi"/>
              </w:rPr>
            </w:pPr>
            <w:r w:rsidRPr="00E651DD">
              <w:rPr>
                <w:rFonts w:cstheme="minorHAnsi"/>
              </w:rPr>
              <w:t>8</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D81B19" w14:textId="77777777" w:rsidR="00933272" w:rsidRPr="00E651DD" w:rsidRDefault="00933272" w:rsidP="00933272">
            <w:pPr>
              <w:rPr>
                <w:rFonts w:cstheme="minorHAnsi"/>
              </w:rPr>
            </w:pPr>
            <w:r w:rsidRPr="00E651DD">
              <w:rPr>
                <w:rFonts w:cstheme="minorHAnsi"/>
              </w:rPr>
              <w:t>5</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294490C" w14:textId="77777777" w:rsidR="00933272" w:rsidRPr="00E651DD" w:rsidRDefault="00933272" w:rsidP="00933272">
            <w:pPr>
              <w:rPr>
                <w:rFonts w:cstheme="minorHAnsi"/>
              </w:rPr>
            </w:pPr>
            <w:r w:rsidRPr="00E651DD">
              <w:rPr>
                <w:rFonts w:cstheme="minorHAnsi"/>
              </w:rPr>
              <w:t>5</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C34FB0" w14:textId="77777777" w:rsidR="00933272" w:rsidRPr="00E651DD" w:rsidRDefault="00933272" w:rsidP="00933272">
            <w:pPr>
              <w:rPr>
                <w:rFonts w:cstheme="minorHAnsi"/>
              </w:rPr>
            </w:pPr>
            <w:r w:rsidRPr="00E651DD">
              <w:rPr>
                <w:rFonts w:cstheme="minorHAnsi"/>
              </w:rPr>
              <w:t>4</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8D4F637" w14:textId="77777777" w:rsidR="00933272" w:rsidRPr="00E651DD" w:rsidRDefault="00933272" w:rsidP="00933272">
            <w:pPr>
              <w:rPr>
                <w:rFonts w:cstheme="minorHAnsi"/>
              </w:rPr>
            </w:pPr>
            <w:r w:rsidRPr="00E651DD">
              <w:rPr>
                <w:rFonts w:cstheme="minorHAnsi"/>
              </w:rPr>
              <w:t>4</w:t>
            </w:r>
          </w:p>
        </w:tc>
        <w:tc>
          <w:tcPr>
            <w:tcW w:w="13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F68FBF" w14:textId="77777777" w:rsidR="00933272" w:rsidRPr="00E651DD" w:rsidRDefault="00933272" w:rsidP="00933272">
            <w:pPr>
              <w:rPr>
                <w:rFonts w:cstheme="minorHAnsi"/>
              </w:rPr>
            </w:pPr>
            <w:r w:rsidRPr="00E651DD">
              <w:rPr>
                <w:rFonts w:cstheme="minorHAnsi"/>
              </w:rPr>
              <w:t>31</w:t>
            </w:r>
          </w:p>
        </w:tc>
      </w:tr>
      <w:tr w:rsidR="00933272" w:rsidRPr="00E651DD" w14:paraId="4FC87676" w14:textId="77777777" w:rsidTr="00771855">
        <w:trPr>
          <w:trHeight w:val="315"/>
        </w:trPr>
        <w:tc>
          <w:tcPr>
            <w:tcW w:w="381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F16CD" w14:textId="77777777" w:rsidR="00933272" w:rsidRPr="00E651DD" w:rsidRDefault="00933272" w:rsidP="00933272">
            <w:pPr>
              <w:rPr>
                <w:rFonts w:cstheme="minorHAnsi"/>
              </w:rPr>
            </w:pPr>
            <w:r w:rsidRPr="00E651DD">
              <w:rPr>
                <w:rFonts w:cstheme="minorHAnsi"/>
              </w:rPr>
              <w:t>YEAR 7</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A8A68C0" w14:textId="77777777" w:rsidR="00933272" w:rsidRPr="00E651DD" w:rsidRDefault="00933272" w:rsidP="00933272">
            <w:pPr>
              <w:rPr>
                <w:rFonts w:cstheme="minorHAnsi"/>
              </w:rPr>
            </w:pPr>
            <w:r w:rsidRPr="00E651DD">
              <w:rPr>
                <w:rFonts w:cstheme="minorHAnsi"/>
              </w:rPr>
              <w:t>6</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AE16305" w14:textId="77777777" w:rsidR="00933272" w:rsidRPr="00E651DD" w:rsidRDefault="00933272" w:rsidP="00933272">
            <w:pPr>
              <w:rPr>
                <w:rFonts w:cstheme="minorHAnsi"/>
              </w:rPr>
            </w:pPr>
            <w:r w:rsidRPr="00E651DD">
              <w:rPr>
                <w:rFonts w:cstheme="minorHAnsi"/>
              </w:rPr>
              <w:t>8</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3A0856A" w14:textId="77777777" w:rsidR="00933272" w:rsidRPr="00E651DD" w:rsidRDefault="00933272" w:rsidP="00933272">
            <w:pPr>
              <w:rPr>
                <w:rFonts w:cstheme="minorHAnsi"/>
              </w:rPr>
            </w:pPr>
            <w:r w:rsidRPr="00E651DD">
              <w:rPr>
                <w:rFonts w:cstheme="minorHAnsi"/>
              </w:rPr>
              <w:t>2</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02B2219" w14:textId="77777777" w:rsidR="00933272" w:rsidRPr="00E651DD" w:rsidRDefault="00933272" w:rsidP="00933272">
            <w:pPr>
              <w:rPr>
                <w:rFonts w:cstheme="minorHAnsi"/>
              </w:rPr>
            </w:pPr>
            <w:r w:rsidRPr="00E651DD">
              <w:rPr>
                <w:rFonts w:cstheme="minorHAnsi"/>
              </w:rPr>
              <w:t>5</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1C81D2E" w14:textId="77777777" w:rsidR="00933272" w:rsidRPr="00E651DD" w:rsidRDefault="00933272" w:rsidP="00933272">
            <w:pPr>
              <w:rPr>
                <w:rFonts w:cstheme="minorHAnsi"/>
              </w:rPr>
            </w:pPr>
            <w:r w:rsidRPr="00E651DD">
              <w:rPr>
                <w:rFonts w:cstheme="minorHAnsi"/>
              </w:rPr>
              <w:t>4</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14508B" w14:textId="77777777" w:rsidR="00933272" w:rsidRPr="00E651DD" w:rsidRDefault="00933272" w:rsidP="00933272">
            <w:pPr>
              <w:rPr>
                <w:rFonts w:cstheme="minorHAnsi"/>
              </w:rPr>
            </w:pPr>
            <w:r w:rsidRPr="00E651DD">
              <w:rPr>
                <w:rFonts w:cstheme="minorHAnsi"/>
              </w:rPr>
              <w:t>4</w:t>
            </w:r>
          </w:p>
        </w:tc>
        <w:tc>
          <w:tcPr>
            <w:tcW w:w="13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762AE60" w14:textId="77777777" w:rsidR="00933272" w:rsidRPr="00E651DD" w:rsidRDefault="00933272" w:rsidP="00933272">
            <w:pPr>
              <w:rPr>
                <w:rFonts w:cstheme="minorHAnsi"/>
              </w:rPr>
            </w:pPr>
            <w:r w:rsidRPr="00E651DD">
              <w:rPr>
                <w:rFonts w:cstheme="minorHAnsi"/>
              </w:rPr>
              <w:t>29</w:t>
            </w:r>
          </w:p>
        </w:tc>
      </w:tr>
      <w:tr w:rsidR="00933272" w:rsidRPr="00E651DD" w14:paraId="5FDDBC03" w14:textId="77777777" w:rsidTr="00771855">
        <w:trPr>
          <w:trHeight w:val="315"/>
        </w:trPr>
        <w:tc>
          <w:tcPr>
            <w:tcW w:w="381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7561AF" w14:textId="77777777" w:rsidR="00933272" w:rsidRPr="00E651DD" w:rsidRDefault="00933272" w:rsidP="00933272">
            <w:pPr>
              <w:rPr>
                <w:rFonts w:cstheme="minorHAnsi"/>
              </w:rPr>
            </w:pPr>
            <w:r w:rsidRPr="00E651DD">
              <w:rPr>
                <w:rFonts w:cstheme="minorHAnsi"/>
              </w:rPr>
              <w:t>YEAR 8</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A316818" w14:textId="77777777" w:rsidR="00933272" w:rsidRPr="00E651DD" w:rsidRDefault="00933272" w:rsidP="00933272">
            <w:pPr>
              <w:rPr>
                <w:rFonts w:cstheme="minorHAnsi"/>
              </w:rPr>
            </w:pPr>
            <w:r w:rsidRPr="00E651DD">
              <w:rPr>
                <w:rFonts w:cstheme="minorHAnsi"/>
              </w:rPr>
              <w:t>11</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4731B50" w14:textId="77777777" w:rsidR="00933272" w:rsidRPr="00E651DD" w:rsidRDefault="00933272" w:rsidP="00933272">
            <w:pPr>
              <w:rPr>
                <w:rFonts w:cstheme="minorHAnsi"/>
              </w:rPr>
            </w:pPr>
            <w:r w:rsidRPr="00E651DD">
              <w:rPr>
                <w:rFonts w:cstheme="minorHAnsi"/>
              </w:rPr>
              <w:t>9</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EEBA78E" w14:textId="77777777" w:rsidR="00933272" w:rsidRPr="00E651DD" w:rsidRDefault="00933272" w:rsidP="00933272">
            <w:pPr>
              <w:rPr>
                <w:rFonts w:cstheme="minorHAnsi"/>
              </w:rPr>
            </w:pPr>
            <w:r w:rsidRPr="00E651DD">
              <w:rPr>
                <w:rFonts w:cstheme="minorHAnsi"/>
              </w:rPr>
              <w:t>6</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1879DC0" w14:textId="77777777" w:rsidR="00933272" w:rsidRPr="00E651DD" w:rsidRDefault="00933272" w:rsidP="00933272">
            <w:pPr>
              <w:rPr>
                <w:rFonts w:cstheme="minorHAnsi"/>
              </w:rPr>
            </w:pPr>
            <w:r w:rsidRPr="00E651DD">
              <w:rPr>
                <w:rFonts w:cstheme="minorHAnsi"/>
              </w:rPr>
              <w:t>6</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ABB73D7" w14:textId="77777777" w:rsidR="00933272" w:rsidRPr="00E651DD" w:rsidRDefault="00933272" w:rsidP="00933272">
            <w:pPr>
              <w:rPr>
                <w:rFonts w:cstheme="minorHAnsi"/>
              </w:rPr>
            </w:pPr>
            <w:r w:rsidRPr="00E651DD">
              <w:rPr>
                <w:rFonts w:cstheme="minorHAnsi"/>
              </w:rPr>
              <w:t>12</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457D594" w14:textId="77777777" w:rsidR="00933272" w:rsidRPr="00E651DD" w:rsidRDefault="00933272" w:rsidP="00933272">
            <w:pPr>
              <w:rPr>
                <w:rFonts w:cstheme="minorHAnsi"/>
              </w:rPr>
            </w:pPr>
            <w:r w:rsidRPr="00E651DD">
              <w:rPr>
                <w:rFonts w:cstheme="minorHAnsi"/>
              </w:rPr>
              <w:t>12</w:t>
            </w:r>
          </w:p>
        </w:tc>
        <w:tc>
          <w:tcPr>
            <w:tcW w:w="13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8A93EE0" w14:textId="77777777" w:rsidR="00933272" w:rsidRPr="00E651DD" w:rsidRDefault="00933272" w:rsidP="00933272">
            <w:pPr>
              <w:rPr>
                <w:rFonts w:cstheme="minorHAnsi"/>
              </w:rPr>
            </w:pPr>
            <w:r w:rsidRPr="00E651DD">
              <w:rPr>
                <w:rFonts w:cstheme="minorHAnsi"/>
              </w:rPr>
              <w:t>56</w:t>
            </w:r>
          </w:p>
        </w:tc>
      </w:tr>
      <w:tr w:rsidR="00933272" w:rsidRPr="00E651DD" w14:paraId="56B9AB10" w14:textId="77777777" w:rsidTr="00771855">
        <w:trPr>
          <w:trHeight w:val="315"/>
        </w:trPr>
        <w:tc>
          <w:tcPr>
            <w:tcW w:w="381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82B879" w14:textId="77777777" w:rsidR="00933272" w:rsidRPr="00E651DD" w:rsidRDefault="00933272" w:rsidP="00933272">
            <w:pPr>
              <w:rPr>
                <w:rFonts w:cstheme="minorHAnsi"/>
              </w:rPr>
            </w:pPr>
            <w:r w:rsidRPr="00E651DD">
              <w:rPr>
                <w:rFonts w:cstheme="minorHAnsi"/>
              </w:rPr>
              <w:t>Cumulative</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EBDDB0" w14:textId="77777777" w:rsidR="00933272" w:rsidRPr="00E651DD" w:rsidRDefault="00933272" w:rsidP="00933272">
            <w:pPr>
              <w:rPr>
                <w:rFonts w:cstheme="minorHAnsi"/>
              </w:rPr>
            </w:pPr>
            <w:r w:rsidRPr="00E651DD">
              <w:rPr>
                <w:rFonts w:cstheme="minorHAnsi"/>
              </w:rPr>
              <w:t>38</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8A479B6" w14:textId="77777777" w:rsidR="00933272" w:rsidRPr="00E651DD" w:rsidRDefault="00933272" w:rsidP="00933272">
            <w:pPr>
              <w:rPr>
                <w:rFonts w:cstheme="minorHAnsi"/>
              </w:rPr>
            </w:pPr>
            <w:r w:rsidRPr="00E651DD">
              <w:rPr>
                <w:rFonts w:cstheme="minorHAnsi"/>
              </w:rPr>
              <w:t>37</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8DE0D9D" w14:textId="77777777" w:rsidR="00933272" w:rsidRPr="00E651DD" w:rsidRDefault="00933272" w:rsidP="00933272">
            <w:pPr>
              <w:rPr>
                <w:rFonts w:cstheme="minorHAnsi"/>
              </w:rPr>
            </w:pPr>
            <w:r w:rsidRPr="00E651DD">
              <w:rPr>
                <w:rFonts w:cstheme="minorHAnsi"/>
              </w:rPr>
              <w:t>22</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9BD195A" w14:textId="77777777" w:rsidR="00933272" w:rsidRPr="00E651DD" w:rsidRDefault="00933272" w:rsidP="00933272">
            <w:pPr>
              <w:rPr>
                <w:rFonts w:cstheme="minorHAnsi"/>
              </w:rPr>
            </w:pPr>
            <w:r w:rsidRPr="00E651DD">
              <w:rPr>
                <w:rFonts w:cstheme="minorHAnsi"/>
              </w:rPr>
              <w:t>26</w:t>
            </w:r>
          </w:p>
        </w:tc>
        <w:tc>
          <w:tcPr>
            <w:tcW w:w="567"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8258F4" w14:textId="77777777" w:rsidR="00933272" w:rsidRPr="00E651DD" w:rsidRDefault="00933272" w:rsidP="00933272">
            <w:pPr>
              <w:rPr>
                <w:rFonts w:cstheme="minorHAnsi"/>
              </w:rPr>
            </w:pPr>
            <w:r w:rsidRPr="00E651DD">
              <w:rPr>
                <w:rFonts w:cstheme="minorHAnsi"/>
              </w:rPr>
              <w:t>30</w:t>
            </w:r>
          </w:p>
        </w:tc>
        <w:tc>
          <w:tcPr>
            <w:tcW w:w="70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19B5883" w14:textId="77777777" w:rsidR="00933272" w:rsidRPr="00E651DD" w:rsidRDefault="00933272" w:rsidP="00933272">
            <w:pPr>
              <w:rPr>
                <w:rFonts w:cstheme="minorHAnsi"/>
              </w:rPr>
            </w:pPr>
            <w:r w:rsidRPr="00E651DD">
              <w:rPr>
                <w:rFonts w:cstheme="minorHAnsi"/>
              </w:rPr>
              <w:t>30</w:t>
            </w:r>
          </w:p>
        </w:tc>
        <w:tc>
          <w:tcPr>
            <w:tcW w:w="1366" w:type="dxa"/>
            <w:tcBorders>
              <w:bottom w:val="single" w:sz="8" w:space="0" w:color="auto"/>
              <w:right w:val="single" w:sz="8" w:space="0" w:color="auto"/>
            </w:tcBorders>
            <w:shd w:val="clear" w:color="auto" w:fill="000000"/>
            <w:tcMar>
              <w:top w:w="0" w:type="dxa"/>
              <w:left w:w="108" w:type="dxa"/>
              <w:bottom w:w="0" w:type="dxa"/>
              <w:right w:w="108" w:type="dxa"/>
            </w:tcMar>
            <w:hideMark/>
          </w:tcPr>
          <w:p w14:paraId="6F9F8B8E" w14:textId="77777777" w:rsidR="00933272" w:rsidRPr="00E651DD" w:rsidRDefault="00933272" w:rsidP="00933272">
            <w:pPr>
              <w:rPr>
                <w:rFonts w:cstheme="minorHAnsi"/>
              </w:rPr>
            </w:pPr>
            <w:r w:rsidRPr="00E651DD">
              <w:rPr>
                <w:rFonts w:cstheme="minorHAnsi"/>
              </w:rPr>
              <w:t> </w:t>
            </w:r>
          </w:p>
        </w:tc>
      </w:tr>
    </w:tbl>
    <w:p w14:paraId="60191ADF" w14:textId="77777777" w:rsidR="003B1541" w:rsidRPr="00E651DD" w:rsidRDefault="003B1541" w:rsidP="001B2220">
      <w:pPr>
        <w:rPr>
          <w:rFonts w:cstheme="minorHAnsi"/>
          <w:b/>
          <w:u w:val="single"/>
        </w:rPr>
      </w:pPr>
    </w:p>
    <w:p w14:paraId="2E2CF9FD" w14:textId="19FB7DE3" w:rsidR="009E0BEE" w:rsidRPr="00E651DD" w:rsidRDefault="00E055BF" w:rsidP="001B2220">
      <w:pPr>
        <w:rPr>
          <w:rFonts w:cstheme="minorHAnsi"/>
          <w:b/>
          <w:u w:val="single"/>
        </w:rPr>
      </w:pPr>
      <w:r w:rsidRPr="00E651DD">
        <w:rPr>
          <w:rFonts w:cstheme="minorHAnsi"/>
          <w:b/>
          <w:u w:val="single"/>
        </w:rPr>
        <w:t>A</w:t>
      </w:r>
      <w:r w:rsidR="00285FF6" w:rsidRPr="00E651DD">
        <w:rPr>
          <w:rFonts w:cstheme="minorHAnsi"/>
          <w:b/>
          <w:u w:val="single"/>
        </w:rPr>
        <w:t>ttainment</w:t>
      </w:r>
    </w:p>
    <w:p w14:paraId="687697ED" w14:textId="288F345D" w:rsidR="00285FF6" w:rsidRPr="00E651DD" w:rsidRDefault="00285FF6" w:rsidP="001B2220">
      <w:pPr>
        <w:rPr>
          <w:rFonts w:cstheme="minorHAnsi"/>
          <w:bCs/>
        </w:rPr>
      </w:pPr>
      <w:r w:rsidRPr="00E651DD">
        <w:rPr>
          <w:rFonts w:cstheme="minorHAnsi"/>
          <w:bCs/>
        </w:rPr>
        <w:t xml:space="preserve">Our SATS results </w:t>
      </w:r>
      <w:r w:rsidR="00042E34" w:rsidRPr="00E651DD">
        <w:rPr>
          <w:rFonts w:cstheme="minorHAnsi"/>
          <w:bCs/>
        </w:rPr>
        <w:t>in 202</w:t>
      </w:r>
      <w:r w:rsidR="00FA6848" w:rsidRPr="00E651DD">
        <w:rPr>
          <w:rFonts w:cstheme="minorHAnsi"/>
          <w:bCs/>
        </w:rPr>
        <w:t>3</w:t>
      </w:r>
      <w:r w:rsidR="00042E34" w:rsidRPr="00E651DD">
        <w:rPr>
          <w:rFonts w:cstheme="minorHAnsi"/>
          <w:bCs/>
        </w:rPr>
        <w:t>-202</w:t>
      </w:r>
      <w:r w:rsidR="00FA6848" w:rsidRPr="00E651DD">
        <w:rPr>
          <w:rFonts w:cstheme="minorHAnsi"/>
          <w:bCs/>
        </w:rPr>
        <w:t>4</w:t>
      </w:r>
      <w:r w:rsidRPr="00E651DD">
        <w:rPr>
          <w:rFonts w:cstheme="minorHAnsi"/>
          <w:bCs/>
        </w:rPr>
        <w:t xml:space="preserve"> year showed a</w:t>
      </w:r>
      <w:r w:rsidR="00FA6848" w:rsidRPr="00E651DD">
        <w:rPr>
          <w:rFonts w:cstheme="minorHAnsi"/>
          <w:bCs/>
        </w:rPr>
        <w:t xml:space="preserve">n increase </w:t>
      </w:r>
      <w:r w:rsidR="00DA045E" w:rsidRPr="00E651DD">
        <w:rPr>
          <w:rFonts w:cstheme="minorHAnsi"/>
          <w:bCs/>
        </w:rPr>
        <w:t>in secure combined outcomes</w:t>
      </w:r>
      <w:r w:rsidRPr="00E651DD">
        <w:rPr>
          <w:rFonts w:cstheme="minorHAnsi"/>
          <w:bCs/>
        </w:rPr>
        <w:t xml:space="preserve"> for SEND pupils</w:t>
      </w:r>
      <w:r w:rsidR="00DA045E" w:rsidRPr="00E651DD">
        <w:rPr>
          <w:rFonts w:cstheme="minorHAnsi"/>
          <w:bCs/>
        </w:rPr>
        <w:t xml:space="preserve"> in Reading, Writing</w:t>
      </w:r>
      <w:r w:rsidR="00187767" w:rsidRPr="00E651DD">
        <w:rPr>
          <w:rFonts w:cstheme="minorHAnsi"/>
          <w:bCs/>
        </w:rPr>
        <w:t xml:space="preserve"> and Maths</w:t>
      </w:r>
      <w:r w:rsidRPr="00E651DD">
        <w:rPr>
          <w:rFonts w:cstheme="minorHAnsi"/>
          <w:bCs/>
        </w:rPr>
        <w:t xml:space="preserve"> compared to </w:t>
      </w:r>
      <w:r w:rsidR="00042E34" w:rsidRPr="00E651DD">
        <w:rPr>
          <w:rFonts w:cstheme="minorHAnsi"/>
          <w:bCs/>
        </w:rPr>
        <w:t>202</w:t>
      </w:r>
      <w:r w:rsidR="00FA6848" w:rsidRPr="00E651DD">
        <w:rPr>
          <w:rFonts w:cstheme="minorHAnsi"/>
          <w:bCs/>
        </w:rPr>
        <w:t>2</w:t>
      </w:r>
      <w:r w:rsidR="00042E34" w:rsidRPr="00E651DD">
        <w:rPr>
          <w:rFonts w:cstheme="minorHAnsi"/>
          <w:bCs/>
        </w:rPr>
        <w:t>-202</w:t>
      </w:r>
      <w:r w:rsidR="00FA6848" w:rsidRPr="00E651DD">
        <w:rPr>
          <w:rFonts w:cstheme="minorHAnsi"/>
          <w:bCs/>
        </w:rPr>
        <w:t>3</w:t>
      </w:r>
      <w:r w:rsidRPr="00E651DD">
        <w:rPr>
          <w:rFonts w:cstheme="minorHAnsi"/>
          <w:bCs/>
        </w:rPr>
        <w:t xml:space="preserve">. </w:t>
      </w:r>
      <w:r w:rsidR="004443CC" w:rsidRPr="00E651DD">
        <w:rPr>
          <w:rFonts w:cstheme="minorHAnsi"/>
          <w:bCs/>
        </w:rPr>
        <w:t xml:space="preserve">This was 37% compared to 21.5% nationally. </w:t>
      </w:r>
      <w:r w:rsidRPr="00E651DD">
        <w:rPr>
          <w:rFonts w:cstheme="minorHAnsi"/>
          <w:bCs/>
        </w:rPr>
        <w:t>This</w:t>
      </w:r>
      <w:r w:rsidR="00AE6703" w:rsidRPr="00E651DD">
        <w:rPr>
          <w:rFonts w:cstheme="minorHAnsi"/>
          <w:bCs/>
        </w:rPr>
        <w:t xml:space="preserve"> </w:t>
      </w:r>
      <w:r w:rsidR="0084624E" w:rsidRPr="00E651DD">
        <w:rPr>
          <w:rFonts w:cstheme="minorHAnsi"/>
          <w:bCs/>
        </w:rPr>
        <w:t xml:space="preserve">is positive, however will remain </w:t>
      </w:r>
      <w:r w:rsidR="00AE6703" w:rsidRPr="00E651DD">
        <w:rPr>
          <w:rFonts w:cstheme="minorHAnsi"/>
          <w:bCs/>
        </w:rPr>
        <w:t>an area to be focussed on thi</w:t>
      </w:r>
      <w:r w:rsidR="00DA045E" w:rsidRPr="00E651DD">
        <w:rPr>
          <w:rFonts w:cstheme="minorHAnsi"/>
          <w:bCs/>
        </w:rPr>
        <w:t xml:space="preserve">s </w:t>
      </w:r>
      <w:r w:rsidR="00AE6703" w:rsidRPr="00E651DD">
        <w:rPr>
          <w:rFonts w:cstheme="minorHAnsi"/>
          <w:bCs/>
        </w:rPr>
        <w:t xml:space="preserve">year by using early and targeted </w:t>
      </w:r>
      <w:r w:rsidR="00DA045E" w:rsidRPr="00E651DD">
        <w:rPr>
          <w:rFonts w:cstheme="minorHAnsi"/>
          <w:bCs/>
        </w:rPr>
        <w:t>interventions</w:t>
      </w:r>
      <w:r w:rsidR="00AE6703" w:rsidRPr="00E651DD">
        <w:rPr>
          <w:rFonts w:cstheme="minorHAnsi"/>
          <w:bCs/>
        </w:rPr>
        <w:t xml:space="preserve">, having data review </w:t>
      </w:r>
      <w:r w:rsidR="00DA045E" w:rsidRPr="00E651DD">
        <w:rPr>
          <w:rFonts w:cstheme="minorHAnsi"/>
          <w:bCs/>
        </w:rPr>
        <w:t>meetings</w:t>
      </w:r>
      <w:r w:rsidR="00AE6703" w:rsidRPr="00E651DD">
        <w:rPr>
          <w:rFonts w:cstheme="minorHAnsi"/>
          <w:bCs/>
        </w:rPr>
        <w:t xml:space="preserve"> with </w:t>
      </w:r>
      <w:r w:rsidR="00DA045E" w:rsidRPr="00E651DD">
        <w:rPr>
          <w:rFonts w:cstheme="minorHAnsi"/>
          <w:bCs/>
        </w:rPr>
        <w:t>the</w:t>
      </w:r>
      <w:r w:rsidR="00AE6703" w:rsidRPr="00E651DD">
        <w:rPr>
          <w:rFonts w:cstheme="minorHAnsi"/>
          <w:bCs/>
        </w:rPr>
        <w:t xml:space="preserve"> SEN</w:t>
      </w:r>
      <w:r w:rsidR="0084624E" w:rsidRPr="00E651DD">
        <w:rPr>
          <w:rFonts w:cstheme="minorHAnsi"/>
          <w:bCs/>
        </w:rPr>
        <w:t>D</w:t>
      </w:r>
      <w:r w:rsidR="00AE6703" w:rsidRPr="00E651DD">
        <w:rPr>
          <w:rFonts w:cstheme="minorHAnsi"/>
          <w:bCs/>
        </w:rPr>
        <w:t>C</w:t>
      </w:r>
      <w:r w:rsidR="0084624E" w:rsidRPr="00E651DD">
        <w:rPr>
          <w:rFonts w:cstheme="minorHAnsi"/>
          <w:bCs/>
        </w:rPr>
        <w:t>o</w:t>
      </w:r>
      <w:r w:rsidR="00AE6703" w:rsidRPr="00E651DD">
        <w:rPr>
          <w:rFonts w:cstheme="minorHAnsi"/>
          <w:bCs/>
        </w:rPr>
        <w:t xml:space="preserve">, Deputy </w:t>
      </w:r>
      <w:r w:rsidR="0084624E" w:rsidRPr="00E651DD">
        <w:rPr>
          <w:rFonts w:cstheme="minorHAnsi"/>
          <w:bCs/>
        </w:rPr>
        <w:t>H</w:t>
      </w:r>
      <w:r w:rsidR="00AE6703" w:rsidRPr="00E651DD">
        <w:rPr>
          <w:rFonts w:cstheme="minorHAnsi"/>
          <w:bCs/>
        </w:rPr>
        <w:t>ead</w:t>
      </w:r>
      <w:r w:rsidR="00DA045E" w:rsidRPr="00E651DD">
        <w:rPr>
          <w:rFonts w:cstheme="minorHAnsi"/>
          <w:bCs/>
        </w:rPr>
        <w:t>,</w:t>
      </w:r>
      <w:r w:rsidR="00AE6703" w:rsidRPr="00E651DD">
        <w:rPr>
          <w:rFonts w:cstheme="minorHAnsi"/>
          <w:bCs/>
        </w:rPr>
        <w:t xml:space="preserve"> </w:t>
      </w:r>
      <w:r w:rsidR="0084624E" w:rsidRPr="00E651DD">
        <w:rPr>
          <w:rFonts w:cstheme="minorHAnsi"/>
          <w:bCs/>
        </w:rPr>
        <w:t>H</w:t>
      </w:r>
      <w:r w:rsidR="00AE6703" w:rsidRPr="00E651DD">
        <w:rPr>
          <w:rFonts w:cstheme="minorHAnsi"/>
          <w:bCs/>
        </w:rPr>
        <w:t xml:space="preserve">ead of </w:t>
      </w:r>
      <w:r w:rsidR="00EE3316" w:rsidRPr="00E651DD">
        <w:rPr>
          <w:rFonts w:cstheme="minorHAnsi"/>
          <w:bCs/>
        </w:rPr>
        <w:t>KS2</w:t>
      </w:r>
      <w:r w:rsidR="00AE6703" w:rsidRPr="00E651DD">
        <w:rPr>
          <w:rFonts w:cstheme="minorHAnsi"/>
          <w:bCs/>
        </w:rPr>
        <w:t xml:space="preserve"> and </w:t>
      </w:r>
      <w:r w:rsidR="0084624E" w:rsidRPr="00E651DD">
        <w:rPr>
          <w:rFonts w:cstheme="minorHAnsi"/>
          <w:bCs/>
        </w:rPr>
        <w:t>H</w:t>
      </w:r>
      <w:r w:rsidR="00DA045E" w:rsidRPr="00E651DD">
        <w:rPr>
          <w:rFonts w:cstheme="minorHAnsi"/>
          <w:bCs/>
        </w:rPr>
        <w:t>eads of English and Maths to target key pupils and put strategies in place to help remove their barriers to learning.</w:t>
      </w:r>
    </w:p>
    <w:p w14:paraId="09044602" w14:textId="77777777" w:rsidR="00C87F92" w:rsidRPr="00E651DD" w:rsidRDefault="00C87F92" w:rsidP="00200748">
      <w:pPr>
        <w:rPr>
          <w:rFonts w:cstheme="minorHAnsi"/>
          <w:b/>
          <w:u w:val="single"/>
        </w:rPr>
      </w:pPr>
    </w:p>
    <w:p w14:paraId="5B1E11DF" w14:textId="48B2A8D8" w:rsidR="00200748" w:rsidRPr="00E651DD" w:rsidRDefault="00200748" w:rsidP="00200748">
      <w:pPr>
        <w:rPr>
          <w:rFonts w:cstheme="minorHAnsi"/>
          <w:b/>
          <w:u w:val="single"/>
        </w:rPr>
      </w:pPr>
      <w:r w:rsidRPr="00E651DD">
        <w:rPr>
          <w:rFonts w:cstheme="minorHAnsi"/>
          <w:b/>
          <w:u w:val="single"/>
        </w:rPr>
        <w:t>Transition</w:t>
      </w:r>
    </w:p>
    <w:p w14:paraId="2BA07599" w14:textId="77777777" w:rsidR="00200748" w:rsidRPr="00E651DD" w:rsidRDefault="00200748" w:rsidP="00200748">
      <w:pPr>
        <w:rPr>
          <w:rFonts w:cstheme="minorHAnsi"/>
          <w:bCs/>
        </w:rPr>
      </w:pPr>
      <w:r w:rsidRPr="00E651DD">
        <w:rPr>
          <w:rFonts w:cstheme="minorHAnsi"/>
          <w:bCs/>
        </w:rPr>
        <w:t>We liaise closely with the feeder first schools and Frome College to ensure a smooth transition between Y4/5 and Y8/9. A range of data and information is collected and used to inform our provision.</w:t>
      </w:r>
    </w:p>
    <w:p w14:paraId="45CC4367" w14:textId="77777777" w:rsidR="00200748" w:rsidRPr="00E651DD" w:rsidRDefault="00200748" w:rsidP="00200748">
      <w:pPr>
        <w:rPr>
          <w:rFonts w:cstheme="minorHAnsi"/>
          <w:bCs/>
        </w:rPr>
      </w:pPr>
      <w:r w:rsidRPr="00E651DD">
        <w:rPr>
          <w:rFonts w:cstheme="minorHAnsi"/>
          <w:bCs/>
        </w:rPr>
        <w:t xml:space="preserve">Where necessary, School Entry Plan (SEP) meetings take place as an opportunity to put a support plan in place for the pupil’s transition. During Term 6 School Entry Plan (SEP) meetings were held with parents/carers and first school SENCOs of 7 Y4 pupils joining Selwood in September 2024. 15 SEPs were held at Frome College, these were attended by either the Selwood SENDCo or Deputy SENDCo. </w:t>
      </w:r>
    </w:p>
    <w:p w14:paraId="48429192" w14:textId="77777777" w:rsidR="00200748" w:rsidRPr="00E651DD" w:rsidRDefault="00200748" w:rsidP="00200748">
      <w:pPr>
        <w:rPr>
          <w:rFonts w:cstheme="minorHAnsi"/>
          <w:bCs/>
        </w:rPr>
      </w:pPr>
      <w:r w:rsidRPr="00E651DD">
        <w:rPr>
          <w:rFonts w:cstheme="minorHAnsi"/>
          <w:bCs/>
        </w:rPr>
        <w:t xml:space="preserve">The Head of KS2 visits first schools to meet staff and pupils and to inform the pupils about Selwood. Meetings between SENDCos also take place. </w:t>
      </w:r>
    </w:p>
    <w:p w14:paraId="3CD76EFF" w14:textId="52634CDA" w:rsidR="00200748" w:rsidRPr="00E651DD" w:rsidRDefault="00200748" w:rsidP="00200748">
      <w:pPr>
        <w:rPr>
          <w:rFonts w:cstheme="minorHAnsi"/>
          <w:bCs/>
        </w:rPr>
      </w:pPr>
      <w:r w:rsidRPr="00E651DD">
        <w:rPr>
          <w:rFonts w:cstheme="minorHAnsi"/>
          <w:bCs/>
        </w:rPr>
        <w:t xml:space="preserve">Additional visits to Frome College took place during Term 6 and additional opportunities for pupils and parents to meet with key Staff at Selwood took place throughout the year. </w:t>
      </w:r>
    </w:p>
    <w:p w14:paraId="4D3AE24B" w14:textId="77777777" w:rsidR="00200748" w:rsidRPr="00E651DD" w:rsidRDefault="00200748" w:rsidP="001B2220">
      <w:pPr>
        <w:rPr>
          <w:rFonts w:cstheme="minorHAnsi"/>
          <w:b/>
          <w:bCs/>
          <w:u w:val="single"/>
        </w:rPr>
      </w:pPr>
    </w:p>
    <w:p w14:paraId="24813460" w14:textId="3B0BC2BF" w:rsidR="001B2220" w:rsidRPr="00E651DD" w:rsidRDefault="001B2220" w:rsidP="001B2220">
      <w:pPr>
        <w:rPr>
          <w:rFonts w:cstheme="minorHAnsi"/>
          <w:b/>
          <w:bCs/>
          <w:u w:val="single"/>
        </w:rPr>
      </w:pPr>
      <w:r w:rsidRPr="00E651DD">
        <w:rPr>
          <w:rFonts w:cstheme="minorHAnsi"/>
          <w:b/>
          <w:bCs/>
          <w:u w:val="single"/>
        </w:rPr>
        <w:t>SEND Budget</w:t>
      </w:r>
    </w:p>
    <w:p w14:paraId="2FAB42A5" w14:textId="3E7FFFE9" w:rsidR="001B2220" w:rsidRPr="00E651DD" w:rsidRDefault="001B2220" w:rsidP="00D03197">
      <w:pPr>
        <w:rPr>
          <w:rFonts w:cstheme="minorHAnsi"/>
          <w:bCs/>
        </w:rPr>
      </w:pPr>
      <w:r w:rsidRPr="00E651DD">
        <w:rPr>
          <w:rFonts w:cstheme="minorHAnsi"/>
          <w:bCs/>
        </w:rPr>
        <w:t xml:space="preserve">High </w:t>
      </w:r>
      <w:r w:rsidR="007A7CF2" w:rsidRPr="00E651DD">
        <w:rPr>
          <w:rFonts w:cstheme="minorHAnsi"/>
          <w:bCs/>
        </w:rPr>
        <w:t>Ne</w:t>
      </w:r>
      <w:r w:rsidRPr="00E651DD">
        <w:rPr>
          <w:rFonts w:cstheme="minorHAnsi"/>
          <w:bCs/>
        </w:rPr>
        <w:t>eds</w:t>
      </w:r>
      <w:r w:rsidR="007A7CF2" w:rsidRPr="00E651DD">
        <w:rPr>
          <w:rFonts w:cstheme="minorHAnsi"/>
          <w:bCs/>
        </w:rPr>
        <w:t xml:space="preserve"> funding</w:t>
      </w:r>
      <w:r w:rsidRPr="00E651DD">
        <w:rPr>
          <w:rFonts w:cstheme="minorHAnsi"/>
          <w:bCs/>
        </w:rPr>
        <w:t xml:space="preserve"> money is spent on supporting individual pupils with an EHCP through:  </w:t>
      </w:r>
    </w:p>
    <w:p w14:paraId="1FE2FA8F" w14:textId="77777777" w:rsidR="001B2220" w:rsidRPr="00E651DD" w:rsidRDefault="001B2220" w:rsidP="001B2220">
      <w:pPr>
        <w:pStyle w:val="ListParagraph"/>
        <w:numPr>
          <w:ilvl w:val="0"/>
          <w:numId w:val="1"/>
        </w:numPr>
        <w:spacing w:after="0"/>
        <w:rPr>
          <w:rFonts w:cstheme="minorHAnsi"/>
        </w:rPr>
      </w:pPr>
      <w:r w:rsidRPr="00E651DD">
        <w:rPr>
          <w:rFonts w:cstheme="minorHAnsi"/>
        </w:rPr>
        <w:t xml:space="preserve">1:1 TA support  </w:t>
      </w:r>
    </w:p>
    <w:p w14:paraId="66BBAF0E" w14:textId="1E5712CA" w:rsidR="001B2220" w:rsidRPr="00E651DD" w:rsidRDefault="001B2220" w:rsidP="001B2220">
      <w:pPr>
        <w:pStyle w:val="ListParagraph"/>
        <w:numPr>
          <w:ilvl w:val="0"/>
          <w:numId w:val="1"/>
        </w:numPr>
        <w:spacing w:after="0"/>
        <w:rPr>
          <w:rFonts w:cstheme="minorHAnsi"/>
        </w:rPr>
      </w:pPr>
      <w:r w:rsidRPr="00E651DD">
        <w:rPr>
          <w:rFonts w:cstheme="minorHAnsi"/>
        </w:rPr>
        <w:t xml:space="preserve">Alternative provision </w:t>
      </w:r>
    </w:p>
    <w:p w14:paraId="46332528" w14:textId="6F68E403" w:rsidR="001B2220" w:rsidRPr="00E651DD" w:rsidRDefault="001B2220" w:rsidP="001B2220">
      <w:pPr>
        <w:pStyle w:val="ListParagraph"/>
        <w:numPr>
          <w:ilvl w:val="0"/>
          <w:numId w:val="1"/>
        </w:numPr>
        <w:spacing w:after="0"/>
        <w:rPr>
          <w:rFonts w:cstheme="minorHAnsi"/>
        </w:rPr>
      </w:pPr>
      <w:r w:rsidRPr="00E651DD">
        <w:rPr>
          <w:rFonts w:cstheme="minorHAnsi"/>
        </w:rPr>
        <w:t>Specialist resources </w:t>
      </w:r>
      <w:r w:rsidR="00354673" w:rsidRPr="00E651DD">
        <w:rPr>
          <w:rFonts w:cstheme="minorHAnsi"/>
        </w:rPr>
        <w:t>and sensory equipment (</w:t>
      </w:r>
      <w:r w:rsidRPr="00E651DD">
        <w:rPr>
          <w:rFonts w:cstheme="minorHAnsi"/>
        </w:rPr>
        <w:t xml:space="preserve">coloured overlays, </w:t>
      </w:r>
      <w:r w:rsidR="0019739A" w:rsidRPr="00E651DD">
        <w:rPr>
          <w:rFonts w:cstheme="minorHAnsi"/>
        </w:rPr>
        <w:t>wobble cushions</w:t>
      </w:r>
      <w:r w:rsidR="00354673" w:rsidRPr="00E651DD">
        <w:rPr>
          <w:rFonts w:cstheme="minorHAnsi"/>
        </w:rPr>
        <w:t xml:space="preserve"> </w:t>
      </w:r>
      <w:r w:rsidRPr="00E651DD">
        <w:rPr>
          <w:rFonts w:cstheme="minorHAnsi"/>
        </w:rPr>
        <w:t>etc)</w:t>
      </w:r>
    </w:p>
    <w:p w14:paraId="370FF24C" w14:textId="0CC00585" w:rsidR="001B2220" w:rsidRPr="00E651DD" w:rsidRDefault="001B2220" w:rsidP="001B2220">
      <w:pPr>
        <w:pStyle w:val="ListParagraph"/>
        <w:numPr>
          <w:ilvl w:val="0"/>
          <w:numId w:val="2"/>
        </w:numPr>
        <w:spacing w:after="0"/>
        <w:rPr>
          <w:rFonts w:cstheme="minorHAnsi"/>
        </w:rPr>
      </w:pPr>
      <w:r w:rsidRPr="00E651DD">
        <w:rPr>
          <w:rFonts w:cstheme="minorHAnsi"/>
        </w:rPr>
        <w:t xml:space="preserve">CPD for TAs supporting individual needs </w:t>
      </w:r>
      <w:r w:rsidR="00354673" w:rsidRPr="00E651DD">
        <w:rPr>
          <w:rFonts w:cstheme="minorHAnsi"/>
        </w:rPr>
        <w:t xml:space="preserve">(Mental </w:t>
      </w:r>
      <w:r w:rsidR="00D8111D" w:rsidRPr="00E651DD">
        <w:rPr>
          <w:rFonts w:cstheme="minorHAnsi"/>
        </w:rPr>
        <w:t>H</w:t>
      </w:r>
      <w:r w:rsidR="00354673" w:rsidRPr="00E651DD">
        <w:rPr>
          <w:rFonts w:cstheme="minorHAnsi"/>
        </w:rPr>
        <w:t xml:space="preserve">ealth </w:t>
      </w:r>
      <w:r w:rsidR="00D8111D" w:rsidRPr="00E651DD">
        <w:rPr>
          <w:rFonts w:cstheme="minorHAnsi"/>
        </w:rPr>
        <w:t>F</w:t>
      </w:r>
      <w:r w:rsidR="00354673" w:rsidRPr="00E651DD">
        <w:rPr>
          <w:rFonts w:cstheme="minorHAnsi"/>
        </w:rPr>
        <w:t xml:space="preserve">irst </w:t>
      </w:r>
      <w:r w:rsidR="00D8111D" w:rsidRPr="00E651DD">
        <w:rPr>
          <w:rFonts w:cstheme="minorHAnsi"/>
        </w:rPr>
        <w:t>A</w:t>
      </w:r>
      <w:r w:rsidR="00354673" w:rsidRPr="00E651DD">
        <w:rPr>
          <w:rFonts w:cstheme="minorHAnsi"/>
        </w:rPr>
        <w:t>id, ASD etc</w:t>
      </w:r>
      <w:r w:rsidRPr="00E651DD">
        <w:rPr>
          <w:rFonts w:cstheme="minorHAnsi"/>
        </w:rPr>
        <w:t xml:space="preserve">)    </w:t>
      </w:r>
    </w:p>
    <w:p w14:paraId="6BD18F9B" w14:textId="77777777" w:rsidR="001B2220" w:rsidRPr="00E651DD" w:rsidRDefault="001B2220" w:rsidP="001B2220">
      <w:pPr>
        <w:rPr>
          <w:rFonts w:cstheme="minorHAnsi"/>
        </w:rPr>
      </w:pPr>
    </w:p>
    <w:p w14:paraId="6B5B9936" w14:textId="77777777" w:rsidR="001B2220" w:rsidRPr="00E651DD" w:rsidRDefault="001B2220" w:rsidP="001B2220">
      <w:pPr>
        <w:rPr>
          <w:rFonts w:cstheme="minorHAnsi"/>
        </w:rPr>
      </w:pPr>
      <w:r w:rsidRPr="00E651DD">
        <w:rPr>
          <w:rFonts w:cstheme="minorHAnsi"/>
          <w:b/>
          <w:bCs/>
        </w:rPr>
        <w:t>The school budget</w:t>
      </w:r>
      <w:r w:rsidRPr="00E651DD">
        <w:rPr>
          <w:rFonts w:cstheme="minorHAnsi"/>
        </w:rPr>
        <w:t>, received from </w:t>
      </w:r>
      <w:r w:rsidR="00E83A1D" w:rsidRPr="00E651DD">
        <w:rPr>
          <w:rFonts w:cstheme="minorHAnsi"/>
        </w:rPr>
        <w:t>Somerset</w:t>
      </w:r>
      <w:r w:rsidRPr="00E651DD">
        <w:rPr>
          <w:rFonts w:cstheme="minorHAnsi"/>
        </w:rPr>
        <w:t>, includes money for supporting </w:t>
      </w:r>
      <w:r w:rsidR="007A7CF2" w:rsidRPr="00E651DD">
        <w:rPr>
          <w:rFonts w:cstheme="minorHAnsi"/>
        </w:rPr>
        <w:t>pupils</w:t>
      </w:r>
      <w:r w:rsidRPr="00E651DD">
        <w:rPr>
          <w:rFonts w:cstheme="minorHAnsi"/>
        </w:rPr>
        <w:t> with SEND</w:t>
      </w:r>
      <w:r w:rsidR="001C5690" w:rsidRPr="00E651DD">
        <w:rPr>
          <w:rFonts w:cstheme="minorHAnsi"/>
        </w:rPr>
        <w:t xml:space="preserve"> </w:t>
      </w:r>
      <w:r w:rsidRPr="00E651DD">
        <w:rPr>
          <w:rFonts w:cstheme="minorHAnsi"/>
        </w:rPr>
        <w:t xml:space="preserve">This money is spent on:    </w:t>
      </w:r>
    </w:p>
    <w:p w14:paraId="09F2091F" w14:textId="6548523C" w:rsidR="001B2220" w:rsidRPr="00E651DD" w:rsidRDefault="001B2220" w:rsidP="001B2220">
      <w:pPr>
        <w:pStyle w:val="ListParagraph"/>
        <w:numPr>
          <w:ilvl w:val="0"/>
          <w:numId w:val="1"/>
        </w:numPr>
        <w:rPr>
          <w:rFonts w:cstheme="minorHAnsi"/>
        </w:rPr>
      </w:pPr>
      <w:r w:rsidRPr="00E651DD">
        <w:rPr>
          <w:rFonts w:cstheme="minorHAnsi"/>
        </w:rPr>
        <w:lastRenderedPageBreak/>
        <w:t>TA hours to support pupils with SEND (</w:t>
      </w:r>
      <w:r w:rsidR="00D03197" w:rsidRPr="00E651DD">
        <w:rPr>
          <w:rFonts w:cstheme="minorHAnsi"/>
        </w:rPr>
        <w:t>i</w:t>
      </w:r>
      <w:r w:rsidRPr="00E651DD">
        <w:rPr>
          <w:rFonts w:cstheme="minorHAnsi"/>
        </w:rPr>
        <w:t>n class support, small group and 1:1</w:t>
      </w:r>
      <w:r w:rsidR="00A66FF0" w:rsidRPr="00E651DD">
        <w:rPr>
          <w:rFonts w:cstheme="minorHAnsi"/>
        </w:rPr>
        <w:t xml:space="preserve"> </w:t>
      </w:r>
      <w:r w:rsidRPr="00E651DD">
        <w:rPr>
          <w:rFonts w:cstheme="minorHAnsi"/>
        </w:rPr>
        <w:t xml:space="preserve">interventions eg </w:t>
      </w:r>
      <w:r w:rsidR="007A7CF2" w:rsidRPr="00E651DD">
        <w:rPr>
          <w:rFonts w:cstheme="minorHAnsi"/>
        </w:rPr>
        <w:t>physio, Oasis, ELSA</w:t>
      </w:r>
      <w:r w:rsidR="00EA1FF9" w:rsidRPr="00E651DD">
        <w:rPr>
          <w:rFonts w:cstheme="minorHAnsi"/>
        </w:rPr>
        <w:t xml:space="preserve"> etc</w:t>
      </w:r>
      <w:r w:rsidR="00EA4F49" w:rsidRPr="00E651DD">
        <w:rPr>
          <w:rFonts w:cstheme="minorHAnsi"/>
        </w:rPr>
        <w:t>)</w:t>
      </w:r>
    </w:p>
    <w:p w14:paraId="4648DBB3" w14:textId="77777777" w:rsidR="00E83A1D" w:rsidRPr="00E651DD" w:rsidRDefault="001B2220" w:rsidP="001B2220">
      <w:pPr>
        <w:pStyle w:val="ListParagraph"/>
        <w:numPr>
          <w:ilvl w:val="0"/>
          <w:numId w:val="1"/>
        </w:numPr>
        <w:rPr>
          <w:rFonts w:cstheme="minorHAnsi"/>
        </w:rPr>
      </w:pPr>
      <w:r w:rsidRPr="00E651DD">
        <w:rPr>
          <w:rFonts w:cstheme="minorHAnsi"/>
        </w:rPr>
        <w:t>CPD for all staff (Quality First teaching, SEN Expectations</w:t>
      </w:r>
      <w:r w:rsidR="00E83A1D" w:rsidRPr="00E651DD">
        <w:rPr>
          <w:rFonts w:cstheme="minorHAnsi"/>
        </w:rPr>
        <w:t>)</w:t>
      </w:r>
      <w:r w:rsidRPr="00E651DD">
        <w:rPr>
          <w:rFonts w:cstheme="minorHAnsi"/>
        </w:rPr>
        <w:t xml:space="preserve">, </w:t>
      </w:r>
    </w:p>
    <w:p w14:paraId="3EDAC979" w14:textId="2287B1AC" w:rsidR="001B2220" w:rsidRPr="00E651DD" w:rsidRDefault="001B2220" w:rsidP="001B2220">
      <w:pPr>
        <w:pStyle w:val="ListParagraph"/>
        <w:numPr>
          <w:ilvl w:val="0"/>
          <w:numId w:val="1"/>
        </w:numPr>
        <w:rPr>
          <w:rFonts w:cstheme="minorHAnsi"/>
        </w:rPr>
      </w:pPr>
      <w:r w:rsidRPr="00E651DD">
        <w:rPr>
          <w:rFonts w:cstheme="minorHAnsi"/>
        </w:rPr>
        <w:t>Resources, (for ELSA support,</w:t>
      </w:r>
      <w:r w:rsidR="00D03197" w:rsidRPr="00E651DD">
        <w:rPr>
          <w:rFonts w:cstheme="minorHAnsi"/>
        </w:rPr>
        <w:t xml:space="preserve"> </w:t>
      </w:r>
      <w:r w:rsidR="00EA1FF9" w:rsidRPr="00E651DD">
        <w:rPr>
          <w:rFonts w:cstheme="minorHAnsi"/>
        </w:rPr>
        <w:t>1:1 rewards</w:t>
      </w:r>
      <w:r w:rsidRPr="00E651DD">
        <w:rPr>
          <w:rFonts w:cstheme="minorHAnsi"/>
        </w:rPr>
        <w:t>)</w:t>
      </w:r>
    </w:p>
    <w:p w14:paraId="60E61C48" w14:textId="64170999" w:rsidR="00EA1FF9" w:rsidRPr="00E651DD" w:rsidRDefault="00EA1FF9" w:rsidP="001B2220">
      <w:pPr>
        <w:pStyle w:val="ListParagraph"/>
        <w:numPr>
          <w:ilvl w:val="0"/>
          <w:numId w:val="1"/>
        </w:numPr>
        <w:rPr>
          <w:rFonts w:cstheme="minorHAnsi"/>
        </w:rPr>
      </w:pPr>
      <w:r w:rsidRPr="00E651DD">
        <w:rPr>
          <w:rFonts w:cstheme="minorHAnsi"/>
        </w:rPr>
        <w:t xml:space="preserve">Resourcing the </w:t>
      </w:r>
      <w:r w:rsidR="001B2220" w:rsidRPr="00E651DD">
        <w:rPr>
          <w:rFonts w:cstheme="minorHAnsi"/>
        </w:rPr>
        <w:t>advice from outside agencies (</w:t>
      </w:r>
      <w:r w:rsidRPr="00E651DD">
        <w:rPr>
          <w:rFonts w:cstheme="minorHAnsi"/>
        </w:rPr>
        <w:t>social communication/Talkabout intervention,</w:t>
      </w:r>
      <w:r w:rsidR="000661E0" w:rsidRPr="00E651DD">
        <w:rPr>
          <w:rFonts w:cstheme="minorHAnsi"/>
        </w:rPr>
        <w:t xml:space="preserve"> structured conversations, </w:t>
      </w:r>
      <w:r w:rsidR="007962CF" w:rsidRPr="00E651DD">
        <w:rPr>
          <w:rFonts w:cstheme="minorHAnsi"/>
        </w:rPr>
        <w:t>psychologist time.</w:t>
      </w:r>
      <w:r w:rsidRPr="00E651DD">
        <w:rPr>
          <w:rFonts w:cstheme="minorHAnsi"/>
        </w:rPr>
        <w:t>)</w:t>
      </w:r>
    </w:p>
    <w:p w14:paraId="6963D55D" w14:textId="39C07F58" w:rsidR="001B2220" w:rsidRPr="00E651DD" w:rsidRDefault="00EA1FF9" w:rsidP="001B2220">
      <w:pPr>
        <w:pStyle w:val="ListParagraph"/>
        <w:numPr>
          <w:ilvl w:val="0"/>
          <w:numId w:val="1"/>
        </w:numPr>
        <w:rPr>
          <w:rFonts w:cstheme="minorHAnsi"/>
        </w:rPr>
      </w:pPr>
      <w:r w:rsidRPr="00E651DD">
        <w:rPr>
          <w:rFonts w:cstheme="minorHAnsi"/>
        </w:rPr>
        <w:t>Meet and Greet</w:t>
      </w:r>
      <w:r w:rsidR="001B2220" w:rsidRPr="00E651DD">
        <w:rPr>
          <w:rFonts w:cstheme="minorHAnsi"/>
        </w:rPr>
        <w:t xml:space="preserve"> </w:t>
      </w:r>
      <w:r w:rsidRPr="00E651DD">
        <w:rPr>
          <w:rFonts w:cstheme="minorHAnsi"/>
        </w:rPr>
        <w:t>– TA time</w:t>
      </w:r>
      <w:r w:rsidR="000661E0" w:rsidRPr="00E651DD">
        <w:rPr>
          <w:rFonts w:cstheme="minorHAnsi"/>
        </w:rPr>
        <w:t xml:space="preserve"> in the mornings</w:t>
      </w:r>
      <w:r w:rsidR="0041026E" w:rsidRPr="00E651DD">
        <w:rPr>
          <w:rFonts w:cstheme="minorHAnsi"/>
        </w:rPr>
        <w:t xml:space="preserve"> during registration.</w:t>
      </w:r>
    </w:p>
    <w:p w14:paraId="5F3A391F" w14:textId="77777777" w:rsidR="00EA1FF9" w:rsidRPr="00E651DD" w:rsidRDefault="00EA1FF9" w:rsidP="001B2220">
      <w:pPr>
        <w:pStyle w:val="ListParagraph"/>
        <w:numPr>
          <w:ilvl w:val="0"/>
          <w:numId w:val="1"/>
        </w:numPr>
        <w:rPr>
          <w:rFonts w:cstheme="minorHAnsi"/>
        </w:rPr>
      </w:pPr>
      <w:r w:rsidRPr="00E651DD">
        <w:rPr>
          <w:rFonts w:cstheme="minorHAnsi"/>
        </w:rPr>
        <w:t>Supervised alternative safe place to go at breaktime and lunchtime.</w:t>
      </w:r>
    </w:p>
    <w:p w14:paraId="2F2FB4D4" w14:textId="497FD497" w:rsidR="00E055BF" w:rsidRPr="00E651DD" w:rsidRDefault="00E02F13" w:rsidP="00E055BF">
      <w:pPr>
        <w:pStyle w:val="ListParagraph"/>
        <w:numPr>
          <w:ilvl w:val="0"/>
          <w:numId w:val="1"/>
        </w:numPr>
        <w:rPr>
          <w:rFonts w:cstheme="minorHAnsi"/>
        </w:rPr>
      </w:pPr>
      <w:r w:rsidRPr="00E651DD">
        <w:rPr>
          <w:rFonts w:cstheme="minorHAnsi"/>
        </w:rPr>
        <w:t>Smaller class sizes</w:t>
      </w:r>
      <w:r w:rsidR="003C2EB0" w:rsidRPr="00E651DD">
        <w:rPr>
          <w:rFonts w:cstheme="minorHAnsi"/>
        </w:rPr>
        <w:t xml:space="preserve"> and putting most qualified teachers with our most vulnerable learners.</w:t>
      </w:r>
    </w:p>
    <w:p w14:paraId="0F3CABC7" w14:textId="77777777" w:rsidR="001B2220" w:rsidRPr="00E651DD" w:rsidRDefault="001B2220" w:rsidP="00EA1FF9">
      <w:pPr>
        <w:spacing w:after="0"/>
        <w:rPr>
          <w:rFonts w:cstheme="minorHAnsi"/>
        </w:rPr>
      </w:pPr>
    </w:p>
    <w:p w14:paraId="79F65EDD" w14:textId="7AFBE47F" w:rsidR="001B2220" w:rsidRPr="00E651DD" w:rsidRDefault="001B2220" w:rsidP="001B2220">
      <w:pPr>
        <w:spacing w:after="0"/>
        <w:rPr>
          <w:rFonts w:cstheme="minorHAnsi"/>
          <w:b/>
          <w:bCs/>
          <w:u w:val="single"/>
        </w:rPr>
      </w:pPr>
      <w:r w:rsidRPr="00E651DD">
        <w:rPr>
          <w:rFonts w:cstheme="minorHAnsi"/>
          <w:b/>
          <w:bCs/>
          <w:u w:val="single"/>
        </w:rPr>
        <w:t xml:space="preserve">SEND </w:t>
      </w:r>
      <w:r w:rsidR="003D4445" w:rsidRPr="00E651DD">
        <w:rPr>
          <w:rFonts w:cstheme="minorHAnsi"/>
          <w:b/>
          <w:bCs/>
          <w:u w:val="single"/>
        </w:rPr>
        <w:t>Trustee</w:t>
      </w:r>
    </w:p>
    <w:p w14:paraId="7698BD03" w14:textId="68815FE6" w:rsidR="0094586E" w:rsidRPr="00E651DD" w:rsidRDefault="0018632D" w:rsidP="003463BD">
      <w:pPr>
        <w:spacing w:after="0"/>
        <w:rPr>
          <w:rFonts w:cstheme="minorHAnsi"/>
        </w:rPr>
      </w:pPr>
      <w:r w:rsidRPr="00E651DD">
        <w:rPr>
          <w:rFonts w:cstheme="minorHAnsi"/>
        </w:rPr>
        <w:t xml:space="preserve">A half termly report is submitted to governors </w:t>
      </w:r>
      <w:r w:rsidR="00BD7EC4" w:rsidRPr="00E651DD">
        <w:rPr>
          <w:rFonts w:cstheme="minorHAnsi"/>
        </w:rPr>
        <w:t>which includes SEND updates</w:t>
      </w:r>
      <w:r w:rsidR="002E5C35" w:rsidRPr="00E651DD">
        <w:rPr>
          <w:rFonts w:cstheme="minorHAnsi"/>
        </w:rPr>
        <w:t>.</w:t>
      </w:r>
      <w:r w:rsidR="00A044DC" w:rsidRPr="00E651DD">
        <w:rPr>
          <w:rFonts w:cstheme="minorHAnsi"/>
        </w:rPr>
        <w:t xml:space="preserve"> </w:t>
      </w:r>
      <w:r w:rsidR="0094586E" w:rsidRPr="00E651DD">
        <w:rPr>
          <w:rFonts w:cstheme="minorHAnsi"/>
        </w:rPr>
        <w:t xml:space="preserve">K Kirkwood (SEND Trustee) met with the SENDCo </w:t>
      </w:r>
      <w:r w:rsidR="00D637FC" w:rsidRPr="00E651DD">
        <w:rPr>
          <w:rFonts w:cstheme="minorHAnsi"/>
        </w:rPr>
        <w:t xml:space="preserve">for regular link meetings during </w:t>
      </w:r>
      <w:r w:rsidR="006461EF" w:rsidRPr="00E651DD">
        <w:rPr>
          <w:rFonts w:cstheme="minorHAnsi"/>
        </w:rPr>
        <w:t>T</w:t>
      </w:r>
      <w:r w:rsidR="00D637FC" w:rsidRPr="00E651DD">
        <w:rPr>
          <w:rFonts w:cstheme="minorHAnsi"/>
        </w:rPr>
        <w:t>erm 1/2</w:t>
      </w:r>
      <w:r w:rsidR="0094586E" w:rsidRPr="00E651DD">
        <w:rPr>
          <w:rFonts w:cstheme="minorHAnsi"/>
        </w:rPr>
        <w:t xml:space="preserve">. </w:t>
      </w:r>
      <w:r w:rsidR="00D637FC" w:rsidRPr="00E651DD">
        <w:rPr>
          <w:rFonts w:cstheme="minorHAnsi"/>
        </w:rPr>
        <w:t>K Kirkwood also</w:t>
      </w:r>
      <w:r w:rsidR="0094586E" w:rsidRPr="00E651DD">
        <w:rPr>
          <w:rFonts w:cstheme="minorHAnsi"/>
        </w:rPr>
        <w:t xml:space="preserve"> met with the Deputy Head to discuss and monitor SEND and PP data.</w:t>
      </w:r>
      <w:r w:rsidR="00456230" w:rsidRPr="00E651DD">
        <w:rPr>
          <w:rFonts w:cstheme="minorHAnsi"/>
        </w:rPr>
        <w:t xml:space="preserve"> Meetings with the new SENDCo are being re-established. </w:t>
      </w:r>
    </w:p>
    <w:p w14:paraId="562C75D1" w14:textId="77777777" w:rsidR="00551B4E" w:rsidRPr="00E651DD" w:rsidRDefault="00551B4E" w:rsidP="0022479E">
      <w:pPr>
        <w:spacing w:after="0"/>
        <w:rPr>
          <w:rFonts w:cstheme="minorHAnsi"/>
        </w:rPr>
      </w:pPr>
    </w:p>
    <w:p w14:paraId="61D66A40" w14:textId="77777777" w:rsidR="007D5411" w:rsidRPr="00E651DD" w:rsidRDefault="007D5411" w:rsidP="00CD550F">
      <w:pPr>
        <w:spacing w:after="0"/>
        <w:rPr>
          <w:rFonts w:cstheme="minorHAnsi"/>
          <w:b/>
          <w:u w:val="single"/>
        </w:rPr>
      </w:pPr>
      <w:r w:rsidRPr="00E651DD">
        <w:rPr>
          <w:rFonts w:cstheme="minorHAnsi"/>
          <w:b/>
          <w:u w:val="single"/>
        </w:rPr>
        <w:t>Staffing</w:t>
      </w:r>
    </w:p>
    <w:p w14:paraId="4D61350D" w14:textId="75ACE20A" w:rsidR="007D5411" w:rsidRPr="00E651DD" w:rsidRDefault="00F8240A" w:rsidP="00CD550F">
      <w:pPr>
        <w:spacing w:after="0"/>
        <w:rPr>
          <w:rFonts w:cstheme="minorHAnsi"/>
        </w:rPr>
      </w:pPr>
      <w:r w:rsidRPr="00E651DD">
        <w:rPr>
          <w:rFonts w:cstheme="minorHAnsi"/>
        </w:rPr>
        <w:t xml:space="preserve">A new SENDCo starting in April 2024. </w:t>
      </w:r>
      <w:r w:rsidR="004F413D" w:rsidRPr="00E651DD">
        <w:rPr>
          <w:rFonts w:cstheme="minorHAnsi"/>
        </w:rPr>
        <w:t xml:space="preserve">Selwood has 8 teaching assistants in both full time and part time roles. </w:t>
      </w:r>
      <w:r w:rsidR="00E06604" w:rsidRPr="00E651DD">
        <w:rPr>
          <w:rFonts w:cstheme="minorHAnsi"/>
        </w:rPr>
        <w:t xml:space="preserve">We were able to promote </w:t>
      </w:r>
      <w:r w:rsidR="004F413D" w:rsidRPr="00E651DD">
        <w:rPr>
          <w:rFonts w:cstheme="minorHAnsi"/>
        </w:rPr>
        <w:t>Jo Barrett</w:t>
      </w:r>
      <w:r w:rsidR="00870E54" w:rsidRPr="00E651DD">
        <w:rPr>
          <w:rFonts w:cstheme="minorHAnsi"/>
        </w:rPr>
        <w:t xml:space="preserve"> to </w:t>
      </w:r>
      <w:r w:rsidR="00D85F2F" w:rsidRPr="00E651DD">
        <w:rPr>
          <w:rFonts w:cstheme="minorHAnsi"/>
        </w:rPr>
        <w:t>S</w:t>
      </w:r>
      <w:r w:rsidR="00870E54" w:rsidRPr="00E651DD">
        <w:rPr>
          <w:rFonts w:cstheme="minorHAnsi"/>
        </w:rPr>
        <w:t>enior TA after her successful interview</w:t>
      </w:r>
      <w:r w:rsidR="00F8049F" w:rsidRPr="00E651DD">
        <w:rPr>
          <w:rFonts w:cstheme="minorHAnsi"/>
        </w:rPr>
        <w:t>.</w:t>
      </w:r>
    </w:p>
    <w:p w14:paraId="7DF4E37C" w14:textId="77777777" w:rsidR="009655E6" w:rsidRPr="00E651DD" w:rsidRDefault="009655E6" w:rsidP="009655E6">
      <w:pPr>
        <w:spacing w:after="0"/>
        <w:rPr>
          <w:rFonts w:cstheme="minorHAnsi"/>
          <w:b/>
          <w:u w:val="single"/>
        </w:rPr>
      </w:pPr>
    </w:p>
    <w:p w14:paraId="1BAA37A1" w14:textId="77777777" w:rsidR="00056957" w:rsidRPr="00E651DD" w:rsidRDefault="00056957" w:rsidP="00056957">
      <w:pPr>
        <w:rPr>
          <w:rFonts w:cstheme="minorHAnsi"/>
          <w:b/>
          <w:u w:val="single"/>
        </w:rPr>
      </w:pPr>
      <w:r w:rsidRPr="00E651DD">
        <w:rPr>
          <w:rFonts w:cstheme="minorHAnsi"/>
          <w:b/>
          <w:u w:val="single"/>
        </w:rPr>
        <w:t>Parental Questionnaires</w:t>
      </w:r>
    </w:p>
    <w:p w14:paraId="1DC4349E" w14:textId="2B423CBD" w:rsidR="00056957" w:rsidRPr="00E651DD" w:rsidRDefault="000D116D" w:rsidP="001B2220">
      <w:pPr>
        <w:spacing w:after="0"/>
        <w:rPr>
          <w:rFonts w:cstheme="minorHAnsi"/>
          <w:bCs/>
        </w:rPr>
      </w:pPr>
      <w:r w:rsidRPr="00E651DD">
        <w:rPr>
          <w:rFonts w:cstheme="minorHAnsi"/>
          <w:bCs/>
        </w:rPr>
        <w:t xml:space="preserve">Question: </w:t>
      </w:r>
      <w:r w:rsidR="00BB597D" w:rsidRPr="00E651DD">
        <w:rPr>
          <w:rFonts w:cstheme="minorHAnsi"/>
          <w:bCs/>
        </w:rPr>
        <w:t>My child has SEND, and the school gives them the support they need to succeed</w:t>
      </w:r>
    </w:p>
    <w:p w14:paraId="140AE808" w14:textId="77777777" w:rsidR="00BB597D" w:rsidRPr="00E651DD" w:rsidRDefault="00BB597D" w:rsidP="001B2220">
      <w:pPr>
        <w:spacing w:after="0"/>
        <w:rPr>
          <w:rFonts w:cstheme="minorHAnsi"/>
          <w:b/>
          <w:u w:val="single"/>
        </w:rPr>
      </w:pPr>
    </w:p>
    <w:tbl>
      <w:tblPr>
        <w:tblStyle w:val="TableGrid"/>
        <w:tblW w:w="0" w:type="auto"/>
        <w:tblInd w:w="-5" w:type="dxa"/>
        <w:tblLook w:val="04A0" w:firstRow="1" w:lastRow="0" w:firstColumn="1" w:lastColumn="0" w:noHBand="0" w:noVBand="1"/>
      </w:tblPr>
      <w:tblGrid>
        <w:gridCol w:w="4111"/>
        <w:gridCol w:w="3969"/>
      </w:tblGrid>
      <w:tr w:rsidR="00244110" w:rsidRPr="00E651DD" w14:paraId="0884E4A9" w14:textId="77777777" w:rsidTr="00694693">
        <w:trPr>
          <w:trHeight w:val="424"/>
        </w:trPr>
        <w:tc>
          <w:tcPr>
            <w:tcW w:w="4111" w:type="dxa"/>
          </w:tcPr>
          <w:p w14:paraId="49F978AE" w14:textId="77777777" w:rsidR="00244110" w:rsidRPr="00E651DD" w:rsidRDefault="00244110" w:rsidP="008B61FD">
            <w:pPr>
              <w:rPr>
                <w:rFonts w:cstheme="minorHAnsi"/>
                <w:b/>
              </w:rPr>
            </w:pPr>
            <w:r w:rsidRPr="00E651DD">
              <w:rPr>
                <w:rFonts w:cstheme="minorHAnsi"/>
                <w:b/>
              </w:rPr>
              <w:t>Percentage of “Yes” responses</w:t>
            </w:r>
          </w:p>
        </w:tc>
        <w:tc>
          <w:tcPr>
            <w:tcW w:w="3969" w:type="dxa"/>
          </w:tcPr>
          <w:p w14:paraId="02977C36" w14:textId="77777777" w:rsidR="00244110" w:rsidRPr="00E651DD" w:rsidRDefault="00244110" w:rsidP="008B61FD">
            <w:pPr>
              <w:rPr>
                <w:rFonts w:cstheme="minorHAnsi"/>
                <w:b/>
              </w:rPr>
            </w:pPr>
            <w:r w:rsidRPr="00E651DD">
              <w:rPr>
                <w:rFonts w:cstheme="minorHAnsi"/>
                <w:b/>
              </w:rPr>
              <w:t>Date</w:t>
            </w:r>
          </w:p>
        </w:tc>
      </w:tr>
      <w:tr w:rsidR="00AB160A" w:rsidRPr="00E651DD" w14:paraId="39D528AF" w14:textId="77777777" w:rsidTr="00694693">
        <w:trPr>
          <w:trHeight w:val="274"/>
        </w:trPr>
        <w:tc>
          <w:tcPr>
            <w:tcW w:w="4111" w:type="dxa"/>
            <w:shd w:val="clear" w:color="auto" w:fill="auto"/>
          </w:tcPr>
          <w:p w14:paraId="2E0F0D98" w14:textId="524481B6" w:rsidR="00AB160A" w:rsidRPr="00E651DD" w:rsidRDefault="00AB160A" w:rsidP="008B61FD">
            <w:pPr>
              <w:rPr>
                <w:rFonts w:cstheme="minorHAnsi"/>
              </w:rPr>
            </w:pPr>
            <w:r w:rsidRPr="00E651DD">
              <w:rPr>
                <w:rFonts w:cstheme="minorHAnsi"/>
              </w:rPr>
              <w:t>60</w:t>
            </w:r>
            <w:r w:rsidR="00395E12" w:rsidRPr="00E651DD">
              <w:rPr>
                <w:rFonts w:cstheme="minorHAnsi"/>
              </w:rPr>
              <w:t xml:space="preserve"> </w:t>
            </w:r>
            <w:r w:rsidR="00694693" w:rsidRPr="00E651DD">
              <w:rPr>
                <w:rFonts w:cstheme="minorHAnsi"/>
              </w:rPr>
              <w:t xml:space="preserve">  </w:t>
            </w:r>
            <w:r w:rsidR="00395E12" w:rsidRPr="00E651DD">
              <w:rPr>
                <w:rFonts w:cstheme="minorHAnsi"/>
              </w:rPr>
              <w:t>National average: 67% (July 2024)</w:t>
            </w:r>
          </w:p>
        </w:tc>
        <w:tc>
          <w:tcPr>
            <w:tcW w:w="3969" w:type="dxa"/>
            <w:shd w:val="clear" w:color="auto" w:fill="auto"/>
          </w:tcPr>
          <w:p w14:paraId="128956D7" w14:textId="3DFC4422" w:rsidR="00AB160A" w:rsidRPr="00E651DD" w:rsidRDefault="00AB160A" w:rsidP="008B61FD">
            <w:pPr>
              <w:rPr>
                <w:rFonts w:cstheme="minorHAnsi"/>
                <w:bCs/>
              </w:rPr>
            </w:pPr>
            <w:r w:rsidRPr="00E651DD">
              <w:rPr>
                <w:rFonts w:cstheme="minorHAnsi"/>
                <w:bCs/>
              </w:rPr>
              <w:t>May 2024</w:t>
            </w:r>
          </w:p>
        </w:tc>
      </w:tr>
      <w:tr w:rsidR="00AB160A" w:rsidRPr="00E651DD" w14:paraId="31FA40A2" w14:textId="77777777" w:rsidTr="00694693">
        <w:trPr>
          <w:trHeight w:val="274"/>
        </w:trPr>
        <w:tc>
          <w:tcPr>
            <w:tcW w:w="4111" w:type="dxa"/>
            <w:shd w:val="clear" w:color="auto" w:fill="auto"/>
          </w:tcPr>
          <w:p w14:paraId="591B51BF" w14:textId="427B6738" w:rsidR="00AB160A" w:rsidRPr="00E651DD" w:rsidRDefault="00AB160A" w:rsidP="008B61FD">
            <w:pPr>
              <w:rPr>
                <w:rFonts w:cstheme="minorHAnsi"/>
              </w:rPr>
            </w:pPr>
            <w:r w:rsidRPr="00E651DD">
              <w:rPr>
                <w:rFonts w:cstheme="minorHAnsi"/>
              </w:rPr>
              <w:t>56</w:t>
            </w:r>
          </w:p>
        </w:tc>
        <w:tc>
          <w:tcPr>
            <w:tcW w:w="3969" w:type="dxa"/>
            <w:shd w:val="clear" w:color="auto" w:fill="auto"/>
          </w:tcPr>
          <w:p w14:paraId="081BEA5A" w14:textId="0C9571C5" w:rsidR="00AB160A" w:rsidRPr="00E651DD" w:rsidRDefault="00AB160A" w:rsidP="008B61FD">
            <w:pPr>
              <w:rPr>
                <w:rFonts w:cstheme="minorHAnsi"/>
                <w:bCs/>
              </w:rPr>
            </w:pPr>
            <w:r w:rsidRPr="00E651DD">
              <w:rPr>
                <w:rFonts w:cstheme="minorHAnsi"/>
                <w:bCs/>
              </w:rPr>
              <w:t>September 2023</w:t>
            </w:r>
          </w:p>
        </w:tc>
      </w:tr>
      <w:tr w:rsidR="00AF0114" w:rsidRPr="00E651DD" w14:paraId="612A263D" w14:textId="77777777" w:rsidTr="00694693">
        <w:trPr>
          <w:trHeight w:val="274"/>
        </w:trPr>
        <w:tc>
          <w:tcPr>
            <w:tcW w:w="4111" w:type="dxa"/>
            <w:shd w:val="clear" w:color="auto" w:fill="auto"/>
          </w:tcPr>
          <w:p w14:paraId="200F4227" w14:textId="15672C6F" w:rsidR="00AF0114" w:rsidRPr="00E651DD" w:rsidRDefault="00BB597D" w:rsidP="008B61FD">
            <w:pPr>
              <w:rPr>
                <w:rFonts w:cstheme="minorHAnsi"/>
              </w:rPr>
            </w:pPr>
            <w:r w:rsidRPr="00E651DD">
              <w:rPr>
                <w:rFonts w:cstheme="minorHAnsi"/>
              </w:rPr>
              <w:t>69</w:t>
            </w:r>
          </w:p>
        </w:tc>
        <w:tc>
          <w:tcPr>
            <w:tcW w:w="3969" w:type="dxa"/>
            <w:shd w:val="clear" w:color="auto" w:fill="auto"/>
          </w:tcPr>
          <w:p w14:paraId="0469929C" w14:textId="0DB0CD45" w:rsidR="00AF0114" w:rsidRPr="00E651DD" w:rsidRDefault="00BB597D" w:rsidP="008B61FD">
            <w:pPr>
              <w:rPr>
                <w:rFonts w:cstheme="minorHAnsi"/>
                <w:bCs/>
              </w:rPr>
            </w:pPr>
            <w:r w:rsidRPr="00E651DD">
              <w:rPr>
                <w:rFonts w:cstheme="minorHAnsi"/>
                <w:bCs/>
              </w:rPr>
              <w:t>May 202</w:t>
            </w:r>
            <w:r w:rsidR="00800F3A" w:rsidRPr="00E651DD">
              <w:rPr>
                <w:rFonts w:cstheme="minorHAnsi"/>
                <w:bCs/>
              </w:rPr>
              <w:t>3</w:t>
            </w:r>
          </w:p>
        </w:tc>
      </w:tr>
      <w:tr w:rsidR="00244110" w:rsidRPr="00E651DD" w14:paraId="31F0AAB2" w14:textId="77777777" w:rsidTr="00694693">
        <w:trPr>
          <w:trHeight w:val="274"/>
        </w:trPr>
        <w:tc>
          <w:tcPr>
            <w:tcW w:w="4111" w:type="dxa"/>
            <w:shd w:val="clear" w:color="auto" w:fill="auto"/>
          </w:tcPr>
          <w:p w14:paraId="6D44CDFC" w14:textId="5DE4803A" w:rsidR="00244110" w:rsidRPr="00E651DD" w:rsidRDefault="00BB597D" w:rsidP="008B61FD">
            <w:pPr>
              <w:rPr>
                <w:rFonts w:cstheme="minorHAnsi"/>
                <w:bCs/>
              </w:rPr>
            </w:pPr>
            <w:r w:rsidRPr="00E651DD">
              <w:rPr>
                <w:rFonts w:cstheme="minorHAnsi"/>
                <w:bCs/>
              </w:rPr>
              <w:t>60.8</w:t>
            </w:r>
          </w:p>
        </w:tc>
        <w:tc>
          <w:tcPr>
            <w:tcW w:w="3969" w:type="dxa"/>
            <w:shd w:val="clear" w:color="auto" w:fill="auto"/>
          </w:tcPr>
          <w:p w14:paraId="16B4D233" w14:textId="031618E7" w:rsidR="00244110" w:rsidRPr="00E651DD" w:rsidRDefault="00BB597D" w:rsidP="00AF0114">
            <w:pPr>
              <w:rPr>
                <w:rFonts w:cstheme="minorHAnsi"/>
                <w:bCs/>
              </w:rPr>
            </w:pPr>
            <w:r w:rsidRPr="00E651DD">
              <w:rPr>
                <w:rFonts w:cstheme="minorHAnsi"/>
                <w:bCs/>
              </w:rPr>
              <w:t>January 2023</w:t>
            </w:r>
          </w:p>
        </w:tc>
      </w:tr>
      <w:tr w:rsidR="00244110" w:rsidRPr="00E651DD" w14:paraId="5FD88537" w14:textId="77777777" w:rsidTr="00694693">
        <w:trPr>
          <w:trHeight w:val="274"/>
        </w:trPr>
        <w:tc>
          <w:tcPr>
            <w:tcW w:w="4111" w:type="dxa"/>
          </w:tcPr>
          <w:p w14:paraId="78D14308" w14:textId="3564849C" w:rsidR="00244110" w:rsidRPr="00E651DD" w:rsidRDefault="00BB597D" w:rsidP="008B61FD">
            <w:pPr>
              <w:tabs>
                <w:tab w:val="left" w:pos="1695"/>
                <w:tab w:val="center" w:pos="1868"/>
              </w:tabs>
              <w:rPr>
                <w:rFonts w:cstheme="minorHAnsi"/>
              </w:rPr>
            </w:pPr>
            <w:r w:rsidRPr="00E651DD">
              <w:rPr>
                <w:rFonts w:cstheme="minorHAnsi"/>
              </w:rPr>
              <w:t>48.1</w:t>
            </w:r>
          </w:p>
        </w:tc>
        <w:tc>
          <w:tcPr>
            <w:tcW w:w="3969" w:type="dxa"/>
          </w:tcPr>
          <w:p w14:paraId="0F0577FB" w14:textId="251B5C9A" w:rsidR="00244110" w:rsidRPr="00E651DD" w:rsidRDefault="00244110" w:rsidP="008B61FD">
            <w:pPr>
              <w:rPr>
                <w:rFonts w:cstheme="minorHAnsi"/>
                <w:bCs/>
              </w:rPr>
            </w:pPr>
            <w:r w:rsidRPr="00E651DD">
              <w:rPr>
                <w:rFonts w:cstheme="minorHAnsi"/>
                <w:bCs/>
              </w:rPr>
              <w:t>September 202</w:t>
            </w:r>
            <w:r w:rsidR="00BB597D" w:rsidRPr="00E651DD">
              <w:rPr>
                <w:rFonts w:cstheme="minorHAnsi"/>
                <w:bCs/>
              </w:rPr>
              <w:t>2</w:t>
            </w:r>
          </w:p>
        </w:tc>
      </w:tr>
      <w:tr w:rsidR="00244110" w:rsidRPr="00E651DD" w14:paraId="5B466E77" w14:textId="77777777" w:rsidTr="00694693">
        <w:trPr>
          <w:trHeight w:val="268"/>
        </w:trPr>
        <w:tc>
          <w:tcPr>
            <w:tcW w:w="4111" w:type="dxa"/>
          </w:tcPr>
          <w:p w14:paraId="67E6F8EF" w14:textId="27BE5ABD" w:rsidR="00244110" w:rsidRPr="00E651DD" w:rsidRDefault="00DF0567" w:rsidP="008B61FD">
            <w:pPr>
              <w:rPr>
                <w:rFonts w:cstheme="minorHAnsi"/>
                <w:bCs/>
              </w:rPr>
            </w:pPr>
            <w:r w:rsidRPr="00E651DD">
              <w:rPr>
                <w:rFonts w:cstheme="minorHAnsi"/>
                <w:bCs/>
              </w:rPr>
              <w:t>45</w:t>
            </w:r>
          </w:p>
        </w:tc>
        <w:tc>
          <w:tcPr>
            <w:tcW w:w="3969" w:type="dxa"/>
          </w:tcPr>
          <w:p w14:paraId="22E8E283" w14:textId="77777777" w:rsidR="00244110" w:rsidRPr="00E651DD" w:rsidRDefault="00244110" w:rsidP="008B61FD">
            <w:pPr>
              <w:rPr>
                <w:rFonts w:cstheme="minorHAnsi"/>
                <w:bCs/>
              </w:rPr>
            </w:pPr>
            <w:r w:rsidRPr="00E651DD">
              <w:rPr>
                <w:rFonts w:cstheme="minorHAnsi"/>
                <w:bCs/>
              </w:rPr>
              <w:t>Ofsted June 2022</w:t>
            </w:r>
          </w:p>
        </w:tc>
      </w:tr>
    </w:tbl>
    <w:p w14:paraId="13CB595B" w14:textId="77777777" w:rsidR="00266369" w:rsidRPr="00E651DD" w:rsidRDefault="00266369" w:rsidP="00753FED">
      <w:pPr>
        <w:spacing w:after="0"/>
        <w:rPr>
          <w:rFonts w:cstheme="minorHAnsi"/>
          <w:b/>
          <w:bCs/>
        </w:rPr>
      </w:pPr>
    </w:p>
    <w:p w14:paraId="27FFD0A0" w14:textId="247433FA" w:rsidR="007F54AE" w:rsidRPr="00E651DD" w:rsidRDefault="00073F95" w:rsidP="007F54AE">
      <w:pPr>
        <w:spacing w:after="0"/>
        <w:rPr>
          <w:rFonts w:cstheme="minorHAnsi"/>
        </w:rPr>
      </w:pPr>
      <w:r>
        <w:rPr>
          <w:rFonts w:cstheme="minorHAnsi"/>
        </w:rPr>
        <w:t>Parent/Care concerns can be raised at any time with the</w:t>
      </w:r>
      <w:r w:rsidR="000200ED" w:rsidRPr="00E651DD">
        <w:rPr>
          <w:rFonts w:cstheme="minorHAnsi"/>
        </w:rPr>
        <w:t xml:space="preserve"> pupil’s tutor or subject teacher in the first instance. Concerns can also be raised at </w:t>
      </w:r>
      <w:r>
        <w:rPr>
          <w:rFonts w:cstheme="minorHAnsi"/>
        </w:rPr>
        <w:t>p</w:t>
      </w:r>
      <w:r w:rsidR="000200ED" w:rsidRPr="00E651DD">
        <w:rPr>
          <w:rFonts w:cstheme="minorHAnsi"/>
        </w:rPr>
        <w:t>arents evenings.</w:t>
      </w:r>
    </w:p>
    <w:p w14:paraId="660B806D" w14:textId="77777777" w:rsidR="007F54AE" w:rsidRPr="00E651DD" w:rsidRDefault="007F54AE" w:rsidP="001B2220">
      <w:pPr>
        <w:spacing w:after="0"/>
        <w:rPr>
          <w:rFonts w:cstheme="minorHAnsi"/>
          <w:b/>
          <w:bCs/>
          <w:u w:val="single"/>
        </w:rPr>
      </w:pPr>
    </w:p>
    <w:p w14:paraId="5CF0CF11" w14:textId="77777777" w:rsidR="00BA2B58" w:rsidRPr="00E651DD" w:rsidRDefault="00BA2B58" w:rsidP="001B2220">
      <w:pPr>
        <w:spacing w:after="0"/>
        <w:rPr>
          <w:rFonts w:cstheme="minorHAnsi"/>
          <w:b/>
          <w:bCs/>
          <w:u w:val="single"/>
        </w:rPr>
      </w:pPr>
    </w:p>
    <w:p w14:paraId="7A4FEF68" w14:textId="0AC5AFAA" w:rsidR="001B2220" w:rsidRPr="00E651DD" w:rsidRDefault="001B2220" w:rsidP="001B2220">
      <w:pPr>
        <w:spacing w:after="0"/>
        <w:rPr>
          <w:rFonts w:cstheme="minorHAnsi"/>
          <w:b/>
          <w:bCs/>
          <w:u w:val="single"/>
        </w:rPr>
      </w:pPr>
      <w:r w:rsidRPr="00E651DD">
        <w:rPr>
          <w:rFonts w:cstheme="minorHAnsi"/>
          <w:b/>
          <w:bCs/>
          <w:u w:val="single"/>
        </w:rPr>
        <w:t>Key Priorities for 202</w:t>
      </w:r>
      <w:r w:rsidR="006861AA" w:rsidRPr="00E651DD">
        <w:rPr>
          <w:rFonts w:cstheme="minorHAnsi"/>
          <w:b/>
          <w:bCs/>
          <w:u w:val="single"/>
        </w:rPr>
        <w:t>4</w:t>
      </w:r>
      <w:r w:rsidRPr="00E651DD">
        <w:rPr>
          <w:rFonts w:cstheme="minorHAnsi"/>
          <w:b/>
          <w:bCs/>
          <w:u w:val="single"/>
        </w:rPr>
        <w:t>‐202</w:t>
      </w:r>
      <w:r w:rsidR="006861AA" w:rsidRPr="00E651DD">
        <w:rPr>
          <w:rFonts w:cstheme="minorHAnsi"/>
          <w:b/>
          <w:bCs/>
          <w:u w:val="single"/>
        </w:rPr>
        <w:t>5</w:t>
      </w:r>
      <w:r w:rsidRPr="00E651DD">
        <w:rPr>
          <w:rFonts w:cstheme="minorHAnsi"/>
          <w:b/>
          <w:bCs/>
          <w:u w:val="single"/>
        </w:rPr>
        <w:t> </w:t>
      </w:r>
    </w:p>
    <w:p w14:paraId="7150057F" w14:textId="57B6F5C4" w:rsidR="000D116D" w:rsidRPr="00E651DD" w:rsidRDefault="000D116D">
      <w:pPr>
        <w:rPr>
          <w:rFonts w:cstheme="minorHAnsi"/>
          <w:color w:val="000000" w:themeColor="text1"/>
        </w:rPr>
      </w:pPr>
    </w:p>
    <w:p w14:paraId="70F31033" w14:textId="51E670FE" w:rsidR="00BB57BB" w:rsidRPr="00E651DD" w:rsidRDefault="00BB57BB" w:rsidP="00BB57BB">
      <w:pPr>
        <w:pStyle w:val="ListParagraph"/>
        <w:numPr>
          <w:ilvl w:val="0"/>
          <w:numId w:val="11"/>
        </w:numPr>
        <w:rPr>
          <w:rFonts w:cstheme="minorHAnsi"/>
          <w:color w:val="000000" w:themeColor="text1"/>
        </w:rPr>
      </w:pPr>
      <w:r w:rsidRPr="00E651DD">
        <w:rPr>
          <w:rFonts w:cstheme="minorHAnsi"/>
          <w:color w:val="000000" w:themeColor="text1"/>
        </w:rPr>
        <w:t>Strengthen systems within school so that pupils with SEND can be identified quickly and effectively via referrals and in-house screening and testing</w:t>
      </w:r>
      <w:r w:rsidR="00FC3B7F" w:rsidRPr="00E651DD">
        <w:rPr>
          <w:rFonts w:cstheme="minorHAnsi"/>
          <w:color w:val="000000" w:themeColor="text1"/>
        </w:rPr>
        <w:t xml:space="preserve"> and by u</w:t>
      </w:r>
      <w:r w:rsidRPr="00E651DD">
        <w:rPr>
          <w:rFonts w:cstheme="minorHAnsi"/>
          <w:color w:val="000000" w:themeColor="text1"/>
        </w:rPr>
        <w:t xml:space="preserve">sing the Somerset Graduated Response </w:t>
      </w:r>
      <w:r w:rsidR="00AA6577" w:rsidRPr="00E651DD">
        <w:rPr>
          <w:rFonts w:cstheme="minorHAnsi"/>
          <w:color w:val="000000" w:themeColor="text1"/>
        </w:rPr>
        <w:t>toolkit.</w:t>
      </w:r>
    </w:p>
    <w:p w14:paraId="37C163A6" w14:textId="07EA8AA0" w:rsidR="00BB57BB" w:rsidRPr="00E651DD" w:rsidRDefault="00AA6577" w:rsidP="00BB57BB">
      <w:pPr>
        <w:pStyle w:val="ListParagraph"/>
        <w:numPr>
          <w:ilvl w:val="0"/>
          <w:numId w:val="11"/>
        </w:numPr>
        <w:rPr>
          <w:rFonts w:cstheme="minorHAnsi"/>
          <w:color w:val="000000" w:themeColor="text1"/>
        </w:rPr>
      </w:pPr>
      <w:r w:rsidRPr="00E651DD">
        <w:rPr>
          <w:rFonts w:cstheme="minorHAnsi"/>
          <w:color w:val="000000" w:themeColor="text1"/>
        </w:rPr>
        <w:t>Review</w:t>
      </w:r>
      <w:r w:rsidR="00BB57BB" w:rsidRPr="00E651DD">
        <w:rPr>
          <w:rFonts w:cstheme="minorHAnsi"/>
          <w:color w:val="000000" w:themeColor="text1"/>
        </w:rPr>
        <w:t xml:space="preserve"> interventions</w:t>
      </w:r>
      <w:r w:rsidRPr="00E651DD">
        <w:rPr>
          <w:rFonts w:cstheme="minorHAnsi"/>
          <w:color w:val="000000" w:themeColor="text1"/>
        </w:rPr>
        <w:t xml:space="preserve"> to ensure they reflect the </w:t>
      </w:r>
      <w:r w:rsidR="00785C1F" w:rsidRPr="00E651DD">
        <w:rPr>
          <w:rFonts w:cstheme="minorHAnsi"/>
          <w:color w:val="000000" w:themeColor="text1"/>
        </w:rPr>
        <w:t xml:space="preserve">current </w:t>
      </w:r>
      <w:r w:rsidRPr="00E651DD">
        <w:rPr>
          <w:rFonts w:cstheme="minorHAnsi"/>
          <w:color w:val="000000" w:themeColor="text1"/>
        </w:rPr>
        <w:t>need of pupils. En</w:t>
      </w:r>
      <w:r w:rsidR="00BB57BB" w:rsidRPr="00E651DD">
        <w:rPr>
          <w:rFonts w:cstheme="minorHAnsi"/>
          <w:color w:val="000000" w:themeColor="text1"/>
        </w:rPr>
        <w:t>sure all are</w:t>
      </w:r>
      <w:r w:rsidR="00785C1F" w:rsidRPr="00E651DD">
        <w:rPr>
          <w:rFonts w:cstheme="minorHAnsi"/>
          <w:color w:val="000000" w:themeColor="text1"/>
        </w:rPr>
        <w:t xml:space="preserve"> tracked effectively</w:t>
      </w:r>
      <w:r w:rsidR="00BB57BB" w:rsidRPr="00E651DD">
        <w:rPr>
          <w:rFonts w:cstheme="minorHAnsi"/>
          <w:color w:val="000000" w:themeColor="text1"/>
        </w:rPr>
        <w:t xml:space="preserve"> and progress measured so that outcomes are positive. </w:t>
      </w:r>
    </w:p>
    <w:p w14:paraId="30F68E12" w14:textId="77777777" w:rsidR="00F7545A" w:rsidRPr="00E651DD" w:rsidRDefault="002D7D02" w:rsidP="00BB57BB">
      <w:pPr>
        <w:pStyle w:val="ListParagraph"/>
        <w:numPr>
          <w:ilvl w:val="0"/>
          <w:numId w:val="11"/>
        </w:numPr>
        <w:rPr>
          <w:rFonts w:cstheme="minorHAnsi"/>
          <w:color w:val="000000" w:themeColor="text1"/>
        </w:rPr>
      </w:pPr>
      <w:r w:rsidRPr="00E651DD">
        <w:rPr>
          <w:rFonts w:cstheme="minorHAnsi"/>
          <w:color w:val="000000" w:themeColor="text1"/>
        </w:rPr>
        <w:t xml:space="preserve">Support TAs with information and training on boosting the independence of pupils with SEND. </w:t>
      </w:r>
    </w:p>
    <w:p w14:paraId="7AB8E0CC" w14:textId="53374F5D" w:rsidR="00F7545A" w:rsidRPr="00E651DD" w:rsidRDefault="00F7545A" w:rsidP="00BB57BB">
      <w:pPr>
        <w:pStyle w:val="ListParagraph"/>
        <w:numPr>
          <w:ilvl w:val="0"/>
          <w:numId w:val="11"/>
        </w:numPr>
        <w:rPr>
          <w:rFonts w:cstheme="minorHAnsi"/>
          <w:color w:val="000000" w:themeColor="text1"/>
        </w:rPr>
      </w:pPr>
      <w:r w:rsidRPr="00E651DD">
        <w:rPr>
          <w:rFonts w:cstheme="minorHAnsi"/>
          <w:color w:val="000000" w:themeColor="text1"/>
        </w:rPr>
        <w:t>Continue to embed quality assure the performance of TAs in supporting pupils of SEND.</w:t>
      </w:r>
      <w:r w:rsidR="002D7D02" w:rsidRPr="00E651DD">
        <w:rPr>
          <w:rFonts w:cstheme="minorHAnsi"/>
          <w:color w:val="000000" w:themeColor="text1"/>
        </w:rPr>
        <w:t xml:space="preserve"> </w:t>
      </w:r>
    </w:p>
    <w:p w14:paraId="076BAF21" w14:textId="333F43EB" w:rsidR="002D7D02" w:rsidRPr="00E651DD" w:rsidRDefault="00F7545A" w:rsidP="00BB57BB">
      <w:pPr>
        <w:pStyle w:val="ListParagraph"/>
        <w:numPr>
          <w:ilvl w:val="0"/>
          <w:numId w:val="11"/>
        </w:numPr>
        <w:rPr>
          <w:rFonts w:cstheme="minorHAnsi"/>
          <w:color w:val="000000" w:themeColor="text1"/>
        </w:rPr>
      </w:pPr>
      <w:r w:rsidRPr="00E651DD">
        <w:rPr>
          <w:rFonts w:cstheme="minorHAnsi"/>
          <w:color w:val="000000" w:themeColor="text1"/>
        </w:rPr>
        <w:lastRenderedPageBreak/>
        <w:t xml:space="preserve">Coordination of provision for high needs pupils with </w:t>
      </w:r>
      <w:r w:rsidR="003756E3" w:rsidRPr="00E651DD">
        <w:rPr>
          <w:rFonts w:cstheme="minorHAnsi"/>
          <w:color w:val="000000" w:themeColor="text1"/>
        </w:rPr>
        <w:t xml:space="preserve">EHCPs including Alternative Provision. </w:t>
      </w:r>
      <w:r w:rsidR="002D7D02" w:rsidRPr="00E651DD">
        <w:rPr>
          <w:rFonts w:cstheme="minorHAnsi"/>
          <w:color w:val="000000" w:themeColor="text1"/>
        </w:rPr>
        <w:t xml:space="preserve"> </w:t>
      </w:r>
    </w:p>
    <w:p w14:paraId="097107DB" w14:textId="50B3531D" w:rsidR="003756E3" w:rsidRPr="00E651DD" w:rsidRDefault="003756E3" w:rsidP="003756E3">
      <w:pPr>
        <w:pStyle w:val="ListParagraph"/>
        <w:numPr>
          <w:ilvl w:val="0"/>
          <w:numId w:val="11"/>
        </w:numPr>
        <w:rPr>
          <w:rFonts w:cstheme="minorHAnsi"/>
          <w:color w:val="000000" w:themeColor="text1"/>
        </w:rPr>
      </w:pPr>
      <w:r w:rsidRPr="00E651DD">
        <w:rPr>
          <w:rFonts w:cstheme="minorHAnsi"/>
          <w:color w:val="000000" w:themeColor="text1"/>
        </w:rPr>
        <w:t>Establish a set of ‘offers’ for specific areas of SEND eg. autism and ADHD so Selwood is continuing to move forwards in our reasonable adjustments for pupils with SEND.</w:t>
      </w:r>
    </w:p>
    <w:p w14:paraId="42862018" w14:textId="69F56C21" w:rsidR="00E53A87" w:rsidRPr="00E651DD" w:rsidRDefault="00E53A87" w:rsidP="00E53A87">
      <w:pPr>
        <w:pStyle w:val="ListParagraph"/>
        <w:numPr>
          <w:ilvl w:val="0"/>
          <w:numId w:val="11"/>
        </w:numPr>
        <w:rPr>
          <w:rFonts w:cstheme="minorHAnsi"/>
          <w:color w:val="000000" w:themeColor="text1"/>
        </w:rPr>
      </w:pPr>
      <w:r w:rsidRPr="00E651DD">
        <w:rPr>
          <w:rFonts w:cstheme="minorHAnsi"/>
          <w:color w:val="000000" w:themeColor="text1"/>
        </w:rPr>
        <w:t>Strengthen staff awareness and confidence in recognising and supporting pupils with SEND by beginning a programme of CPD in key areas of SEND to include running frequent SEND drop ins, where individual pupils, or areas of need and strategies for support can be discussed.</w:t>
      </w:r>
    </w:p>
    <w:p w14:paraId="50471B93" w14:textId="77777777" w:rsidR="003756E3" w:rsidRPr="00E651DD" w:rsidRDefault="003756E3" w:rsidP="003756E3">
      <w:pPr>
        <w:pStyle w:val="ListParagraph"/>
        <w:numPr>
          <w:ilvl w:val="0"/>
          <w:numId w:val="11"/>
        </w:numPr>
        <w:rPr>
          <w:rFonts w:cstheme="minorHAnsi"/>
          <w:color w:val="000000" w:themeColor="text1"/>
        </w:rPr>
      </w:pPr>
      <w:r w:rsidRPr="00E651DD">
        <w:rPr>
          <w:rFonts w:cstheme="minorHAnsi"/>
          <w:color w:val="000000" w:themeColor="text1"/>
        </w:rPr>
        <w:t xml:space="preserve">Establish weekly ‘SEN drop ins’ for staff so staff can ask subject or pupil specific questions to enhance the learning experience for pupils with SEND. </w:t>
      </w:r>
    </w:p>
    <w:p w14:paraId="1D1D4EBD" w14:textId="77777777" w:rsidR="003756E3" w:rsidRPr="00E651DD" w:rsidRDefault="003756E3" w:rsidP="003756E3">
      <w:pPr>
        <w:ind w:left="360"/>
        <w:rPr>
          <w:rFonts w:cstheme="minorHAnsi"/>
          <w:color w:val="000000" w:themeColor="text1"/>
        </w:rPr>
      </w:pPr>
    </w:p>
    <w:sectPr w:rsidR="003756E3" w:rsidRPr="00E65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1768"/>
    <w:multiLevelType w:val="hybridMultilevel"/>
    <w:tmpl w:val="52A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B0340"/>
    <w:multiLevelType w:val="hybridMultilevel"/>
    <w:tmpl w:val="BF4C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155DB"/>
    <w:multiLevelType w:val="hybridMultilevel"/>
    <w:tmpl w:val="11CE6BE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51D08"/>
    <w:multiLevelType w:val="hybridMultilevel"/>
    <w:tmpl w:val="DAE0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76A75"/>
    <w:multiLevelType w:val="hybridMultilevel"/>
    <w:tmpl w:val="8E2E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90F69"/>
    <w:multiLevelType w:val="hybridMultilevel"/>
    <w:tmpl w:val="26B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15B63"/>
    <w:multiLevelType w:val="hybridMultilevel"/>
    <w:tmpl w:val="C4FC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F4527"/>
    <w:multiLevelType w:val="hybridMultilevel"/>
    <w:tmpl w:val="6CBE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F3173"/>
    <w:multiLevelType w:val="hybridMultilevel"/>
    <w:tmpl w:val="FAD2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56251"/>
    <w:multiLevelType w:val="hybridMultilevel"/>
    <w:tmpl w:val="1974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C21E2"/>
    <w:multiLevelType w:val="hybridMultilevel"/>
    <w:tmpl w:val="433A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4"/>
  </w:num>
  <w:num w:numId="6">
    <w:abstractNumId w:val="7"/>
  </w:num>
  <w:num w:numId="7">
    <w:abstractNumId w:val="0"/>
  </w:num>
  <w:num w:numId="8">
    <w:abstractNumId w:val="3"/>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D6"/>
    <w:rsid w:val="00011372"/>
    <w:rsid w:val="000200ED"/>
    <w:rsid w:val="000265B8"/>
    <w:rsid w:val="00026CDE"/>
    <w:rsid w:val="000278BE"/>
    <w:rsid w:val="0003030F"/>
    <w:rsid w:val="00035A52"/>
    <w:rsid w:val="00042E34"/>
    <w:rsid w:val="00056957"/>
    <w:rsid w:val="000661E0"/>
    <w:rsid w:val="00073F95"/>
    <w:rsid w:val="000770EF"/>
    <w:rsid w:val="000A2585"/>
    <w:rsid w:val="000A2E96"/>
    <w:rsid w:val="000B433B"/>
    <w:rsid w:val="000C39B7"/>
    <w:rsid w:val="000D116D"/>
    <w:rsid w:val="000E0FA2"/>
    <w:rsid w:val="000E5755"/>
    <w:rsid w:val="000F2CE5"/>
    <w:rsid w:val="001178FF"/>
    <w:rsid w:val="001214F4"/>
    <w:rsid w:val="001455A2"/>
    <w:rsid w:val="001517E8"/>
    <w:rsid w:val="00170A87"/>
    <w:rsid w:val="0018632D"/>
    <w:rsid w:val="00187767"/>
    <w:rsid w:val="00187E63"/>
    <w:rsid w:val="0019739A"/>
    <w:rsid w:val="001A7899"/>
    <w:rsid w:val="001B2220"/>
    <w:rsid w:val="001C00C6"/>
    <w:rsid w:val="001C48DE"/>
    <w:rsid w:val="001C5690"/>
    <w:rsid w:val="001D1D55"/>
    <w:rsid w:val="001E7486"/>
    <w:rsid w:val="00200748"/>
    <w:rsid w:val="00201210"/>
    <w:rsid w:val="00203554"/>
    <w:rsid w:val="0020386B"/>
    <w:rsid w:val="0022479E"/>
    <w:rsid w:val="00235B67"/>
    <w:rsid w:val="00243ECA"/>
    <w:rsid w:val="00244110"/>
    <w:rsid w:val="002452EE"/>
    <w:rsid w:val="00255027"/>
    <w:rsid w:val="00262F6C"/>
    <w:rsid w:val="00266369"/>
    <w:rsid w:val="002706F4"/>
    <w:rsid w:val="00273C18"/>
    <w:rsid w:val="002827EC"/>
    <w:rsid w:val="00285FF6"/>
    <w:rsid w:val="002962E3"/>
    <w:rsid w:val="00296C37"/>
    <w:rsid w:val="002B55D7"/>
    <w:rsid w:val="002C1806"/>
    <w:rsid w:val="002D2F37"/>
    <w:rsid w:val="002D7D02"/>
    <w:rsid w:val="002E0DEA"/>
    <w:rsid w:val="002E4006"/>
    <w:rsid w:val="002E5C35"/>
    <w:rsid w:val="002F6D31"/>
    <w:rsid w:val="0030338E"/>
    <w:rsid w:val="00304CEB"/>
    <w:rsid w:val="003068D5"/>
    <w:rsid w:val="003147D0"/>
    <w:rsid w:val="0031643E"/>
    <w:rsid w:val="0032335F"/>
    <w:rsid w:val="003463BD"/>
    <w:rsid w:val="00354673"/>
    <w:rsid w:val="003655ED"/>
    <w:rsid w:val="003756E3"/>
    <w:rsid w:val="003760B7"/>
    <w:rsid w:val="003843E7"/>
    <w:rsid w:val="00384974"/>
    <w:rsid w:val="003853F4"/>
    <w:rsid w:val="00392E13"/>
    <w:rsid w:val="00392E4C"/>
    <w:rsid w:val="00395E12"/>
    <w:rsid w:val="003B1541"/>
    <w:rsid w:val="003B4647"/>
    <w:rsid w:val="003B5545"/>
    <w:rsid w:val="003B70D7"/>
    <w:rsid w:val="003C18B5"/>
    <w:rsid w:val="003C23AA"/>
    <w:rsid w:val="003C2EB0"/>
    <w:rsid w:val="003D1022"/>
    <w:rsid w:val="003D4445"/>
    <w:rsid w:val="003D4D97"/>
    <w:rsid w:val="003E164E"/>
    <w:rsid w:val="003E3B6B"/>
    <w:rsid w:val="003E60F2"/>
    <w:rsid w:val="0041026E"/>
    <w:rsid w:val="00410C06"/>
    <w:rsid w:val="00423EF8"/>
    <w:rsid w:val="00424F54"/>
    <w:rsid w:val="00434DB9"/>
    <w:rsid w:val="00441D77"/>
    <w:rsid w:val="004443CC"/>
    <w:rsid w:val="00451F71"/>
    <w:rsid w:val="00454226"/>
    <w:rsid w:val="00456230"/>
    <w:rsid w:val="00460748"/>
    <w:rsid w:val="004618D6"/>
    <w:rsid w:val="00465CB1"/>
    <w:rsid w:val="00467410"/>
    <w:rsid w:val="00476810"/>
    <w:rsid w:val="004808C8"/>
    <w:rsid w:val="004837BD"/>
    <w:rsid w:val="004937F6"/>
    <w:rsid w:val="004A242D"/>
    <w:rsid w:val="004A2E38"/>
    <w:rsid w:val="004B28E8"/>
    <w:rsid w:val="004D4839"/>
    <w:rsid w:val="004F072C"/>
    <w:rsid w:val="004F413D"/>
    <w:rsid w:val="004F7959"/>
    <w:rsid w:val="0050083C"/>
    <w:rsid w:val="005161E0"/>
    <w:rsid w:val="00531776"/>
    <w:rsid w:val="00536425"/>
    <w:rsid w:val="005459F8"/>
    <w:rsid w:val="00551B4E"/>
    <w:rsid w:val="005569C2"/>
    <w:rsid w:val="0057520C"/>
    <w:rsid w:val="005A2667"/>
    <w:rsid w:val="005B3782"/>
    <w:rsid w:val="005B4995"/>
    <w:rsid w:val="005B5E2F"/>
    <w:rsid w:val="005C7DD5"/>
    <w:rsid w:val="005E6B3A"/>
    <w:rsid w:val="005F5D48"/>
    <w:rsid w:val="0061068A"/>
    <w:rsid w:val="00612B9A"/>
    <w:rsid w:val="0062392C"/>
    <w:rsid w:val="0063467E"/>
    <w:rsid w:val="00635909"/>
    <w:rsid w:val="006377DF"/>
    <w:rsid w:val="006461EF"/>
    <w:rsid w:val="006558CC"/>
    <w:rsid w:val="006604AF"/>
    <w:rsid w:val="00670AA3"/>
    <w:rsid w:val="00680144"/>
    <w:rsid w:val="00684D7C"/>
    <w:rsid w:val="00684DDA"/>
    <w:rsid w:val="006861AA"/>
    <w:rsid w:val="00694693"/>
    <w:rsid w:val="006B5D7B"/>
    <w:rsid w:val="006B6B57"/>
    <w:rsid w:val="006F25AE"/>
    <w:rsid w:val="006F439C"/>
    <w:rsid w:val="007101EB"/>
    <w:rsid w:val="00711F02"/>
    <w:rsid w:val="00715CCD"/>
    <w:rsid w:val="00727BE4"/>
    <w:rsid w:val="00735D96"/>
    <w:rsid w:val="00740BEE"/>
    <w:rsid w:val="00753FED"/>
    <w:rsid w:val="00771682"/>
    <w:rsid w:val="00771855"/>
    <w:rsid w:val="007745AB"/>
    <w:rsid w:val="0078593E"/>
    <w:rsid w:val="00785C1F"/>
    <w:rsid w:val="00793236"/>
    <w:rsid w:val="007962CF"/>
    <w:rsid w:val="007A2773"/>
    <w:rsid w:val="007A6741"/>
    <w:rsid w:val="007A7CF2"/>
    <w:rsid w:val="007D1477"/>
    <w:rsid w:val="007D2610"/>
    <w:rsid w:val="007D5411"/>
    <w:rsid w:val="007D725C"/>
    <w:rsid w:val="007E4E3B"/>
    <w:rsid w:val="007F54AE"/>
    <w:rsid w:val="00800F3A"/>
    <w:rsid w:val="0080118F"/>
    <w:rsid w:val="008167E8"/>
    <w:rsid w:val="00823EF1"/>
    <w:rsid w:val="00830BCE"/>
    <w:rsid w:val="00832A51"/>
    <w:rsid w:val="0084624E"/>
    <w:rsid w:val="00853713"/>
    <w:rsid w:val="00870E54"/>
    <w:rsid w:val="0088250A"/>
    <w:rsid w:val="00887B5D"/>
    <w:rsid w:val="008A35B4"/>
    <w:rsid w:val="008A54DA"/>
    <w:rsid w:val="008A7AAB"/>
    <w:rsid w:val="008B2280"/>
    <w:rsid w:val="008C0198"/>
    <w:rsid w:val="008F26F3"/>
    <w:rsid w:val="00926D5C"/>
    <w:rsid w:val="0093148F"/>
    <w:rsid w:val="00933272"/>
    <w:rsid w:val="00933C43"/>
    <w:rsid w:val="0094586E"/>
    <w:rsid w:val="0096012C"/>
    <w:rsid w:val="009610BF"/>
    <w:rsid w:val="009655E6"/>
    <w:rsid w:val="00977B31"/>
    <w:rsid w:val="009957F7"/>
    <w:rsid w:val="009B3D18"/>
    <w:rsid w:val="009C4EE5"/>
    <w:rsid w:val="009D0008"/>
    <w:rsid w:val="009D6DED"/>
    <w:rsid w:val="009E0BEE"/>
    <w:rsid w:val="00A044DC"/>
    <w:rsid w:val="00A66FF0"/>
    <w:rsid w:val="00A732F8"/>
    <w:rsid w:val="00A77147"/>
    <w:rsid w:val="00A85CC8"/>
    <w:rsid w:val="00A91250"/>
    <w:rsid w:val="00A94DA3"/>
    <w:rsid w:val="00AA6577"/>
    <w:rsid w:val="00AA691E"/>
    <w:rsid w:val="00AA6A0C"/>
    <w:rsid w:val="00AB160A"/>
    <w:rsid w:val="00AD220F"/>
    <w:rsid w:val="00AE21E2"/>
    <w:rsid w:val="00AE3B03"/>
    <w:rsid w:val="00AE6703"/>
    <w:rsid w:val="00AE7382"/>
    <w:rsid w:val="00AF0114"/>
    <w:rsid w:val="00B01ECC"/>
    <w:rsid w:val="00B02D1E"/>
    <w:rsid w:val="00B10571"/>
    <w:rsid w:val="00B233D8"/>
    <w:rsid w:val="00B2432C"/>
    <w:rsid w:val="00B3673C"/>
    <w:rsid w:val="00B50BEF"/>
    <w:rsid w:val="00B605D7"/>
    <w:rsid w:val="00B852AB"/>
    <w:rsid w:val="00B97E6D"/>
    <w:rsid w:val="00BA2B58"/>
    <w:rsid w:val="00BB57BB"/>
    <w:rsid w:val="00BB597D"/>
    <w:rsid w:val="00BD2D6B"/>
    <w:rsid w:val="00BD5875"/>
    <w:rsid w:val="00BD7EC4"/>
    <w:rsid w:val="00C00617"/>
    <w:rsid w:val="00C00AE7"/>
    <w:rsid w:val="00C03B7B"/>
    <w:rsid w:val="00C251EC"/>
    <w:rsid w:val="00C35FD5"/>
    <w:rsid w:val="00C470F8"/>
    <w:rsid w:val="00C529CB"/>
    <w:rsid w:val="00C7609B"/>
    <w:rsid w:val="00C76220"/>
    <w:rsid w:val="00C80D50"/>
    <w:rsid w:val="00C846B1"/>
    <w:rsid w:val="00C87F92"/>
    <w:rsid w:val="00C96BEF"/>
    <w:rsid w:val="00CA4138"/>
    <w:rsid w:val="00CB0522"/>
    <w:rsid w:val="00CB5ED7"/>
    <w:rsid w:val="00CC2DBA"/>
    <w:rsid w:val="00CC2E95"/>
    <w:rsid w:val="00CD550F"/>
    <w:rsid w:val="00CD7602"/>
    <w:rsid w:val="00CF0BF7"/>
    <w:rsid w:val="00CF7783"/>
    <w:rsid w:val="00D03197"/>
    <w:rsid w:val="00D042B8"/>
    <w:rsid w:val="00D049B3"/>
    <w:rsid w:val="00D26853"/>
    <w:rsid w:val="00D30CFE"/>
    <w:rsid w:val="00D45F0E"/>
    <w:rsid w:val="00D46834"/>
    <w:rsid w:val="00D47401"/>
    <w:rsid w:val="00D637FC"/>
    <w:rsid w:val="00D71AF9"/>
    <w:rsid w:val="00D74107"/>
    <w:rsid w:val="00D8111D"/>
    <w:rsid w:val="00D853FC"/>
    <w:rsid w:val="00D85F2F"/>
    <w:rsid w:val="00D96BB9"/>
    <w:rsid w:val="00DA045E"/>
    <w:rsid w:val="00DA3ACF"/>
    <w:rsid w:val="00DC3349"/>
    <w:rsid w:val="00DC46AD"/>
    <w:rsid w:val="00DE57BF"/>
    <w:rsid w:val="00DE60CD"/>
    <w:rsid w:val="00DF0567"/>
    <w:rsid w:val="00E02F13"/>
    <w:rsid w:val="00E055BF"/>
    <w:rsid w:val="00E06604"/>
    <w:rsid w:val="00E11D97"/>
    <w:rsid w:val="00E16805"/>
    <w:rsid w:val="00E27346"/>
    <w:rsid w:val="00E30725"/>
    <w:rsid w:val="00E37E26"/>
    <w:rsid w:val="00E43C89"/>
    <w:rsid w:val="00E53A87"/>
    <w:rsid w:val="00E56DE1"/>
    <w:rsid w:val="00E651DD"/>
    <w:rsid w:val="00E70D58"/>
    <w:rsid w:val="00E83A1D"/>
    <w:rsid w:val="00E8720E"/>
    <w:rsid w:val="00E91602"/>
    <w:rsid w:val="00E918E2"/>
    <w:rsid w:val="00EA11E1"/>
    <w:rsid w:val="00EA1319"/>
    <w:rsid w:val="00EA1FF9"/>
    <w:rsid w:val="00EA4F49"/>
    <w:rsid w:val="00EB1AA9"/>
    <w:rsid w:val="00EB7423"/>
    <w:rsid w:val="00EC0117"/>
    <w:rsid w:val="00EC4918"/>
    <w:rsid w:val="00EC78C4"/>
    <w:rsid w:val="00EE110D"/>
    <w:rsid w:val="00EE3316"/>
    <w:rsid w:val="00EE3581"/>
    <w:rsid w:val="00EF5066"/>
    <w:rsid w:val="00EF6DD9"/>
    <w:rsid w:val="00EF7577"/>
    <w:rsid w:val="00F1553B"/>
    <w:rsid w:val="00F15876"/>
    <w:rsid w:val="00F17981"/>
    <w:rsid w:val="00F529AA"/>
    <w:rsid w:val="00F57C94"/>
    <w:rsid w:val="00F667C2"/>
    <w:rsid w:val="00F6794F"/>
    <w:rsid w:val="00F7545A"/>
    <w:rsid w:val="00F8049F"/>
    <w:rsid w:val="00F8240A"/>
    <w:rsid w:val="00F86152"/>
    <w:rsid w:val="00F86751"/>
    <w:rsid w:val="00F90EA5"/>
    <w:rsid w:val="00FA6848"/>
    <w:rsid w:val="00FC1998"/>
    <w:rsid w:val="00FC3B7F"/>
    <w:rsid w:val="00FF2104"/>
    <w:rsid w:val="00FF7544"/>
    <w:rsid w:val="2E11C744"/>
    <w:rsid w:val="401956B8"/>
    <w:rsid w:val="4C0E1724"/>
    <w:rsid w:val="5138D902"/>
    <w:rsid w:val="545A8A57"/>
    <w:rsid w:val="588A0A2F"/>
    <w:rsid w:val="70E0D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E2C3"/>
  <w15:chartTrackingRefBased/>
  <w15:docId w15:val="{01D67D40-EF02-49BC-B471-A07382FA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220"/>
    <w:pPr>
      <w:ind w:left="720"/>
      <w:contextualSpacing/>
    </w:pPr>
  </w:style>
  <w:style w:type="character" w:styleId="Hyperlink">
    <w:name w:val="Hyperlink"/>
    <w:basedOn w:val="DefaultParagraphFont"/>
    <w:uiPriority w:val="99"/>
    <w:unhideWhenUsed/>
    <w:rsid w:val="00FF2104"/>
    <w:rPr>
      <w:color w:val="0563C1" w:themeColor="hyperlink"/>
      <w:u w:val="single"/>
    </w:rPr>
  </w:style>
  <w:style w:type="character" w:styleId="UnresolvedMention">
    <w:name w:val="Unresolved Mention"/>
    <w:basedOn w:val="DefaultParagraphFont"/>
    <w:uiPriority w:val="99"/>
    <w:semiHidden/>
    <w:unhideWhenUsed/>
    <w:rsid w:val="00FF2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728">
      <w:bodyDiv w:val="1"/>
      <w:marLeft w:val="0"/>
      <w:marRight w:val="0"/>
      <w:marTop w:val="0"/>
      <w:marBottom w:val="0"/>
      <w:divBdr>
        <w:top w:val="none" w:sz="0" w:space="0" w:color="auto"/>
        <w:left w:val="none" w:sz="0" w:space="0" w:color="auto"/>
        <w:bottom w:val="none" w:sz="0" w:space="0" w:color="auto"/>
        <w:right w:val="none" w:sz="0" w:space="0" w:color="auto"/>
      </w:divBdr>
    </w:div>
    <w:div w:id="1347747871">
      <w:bodyDiv w:val="1"/>
      <w:marLeft w:val="0"/>
      <w:marRight w:val="0"/>
      <w:marTop w:val="0"/>
      <w:marBottom w:val="0"/>
      <w:divBdr>
        <w:top w:val="none" w:sz="0" w:space="0" w:color="auto"/>
        <w:left w:val="none" w:sz="0" w:space="0" w:color="auto"/>
        <w:bottom w:val="none" w:sz="0" w:space="0" w:color="auto"/>
        <w:right w:val="none" w:sz="0" w:space="0" w:color="auto"/>
      </w:divBdr>
      <w:divsChild>
        <w:div w:id="503978850">
          <w:marLeft w:val="0"/>
          <w:marRight w:val="0"/>
          <w:marTop w:val="0"/>
          <w:marBottom w:val="0"/>
          <w:divBdr>
            <w:top w:val="none" w:sz="0" w:space="0" w:color="auto"/>
            <w:left w:val="none" w:sz="0" w:space="0" w:color="auto"/>
            <w:bottom w:val="none" w:sz="0" w:space="0" w:color="auto"/>
            <w:right w:val="none" w:sz="0" w:space="0" w:color="auto"/>
          </w:divBdr>
        </w:div>
        <w:div w:id="304359366">
          <w:marLeft w:val="0"/>
          <w:marRight w:val="0"/>
          <w:marTop w:val="0"/>
          <w:marBottom w:val="0"/>
          <w:divBdr>
            <w:top w:val="none" w:sz="0" w:space="0" w:color="auto"/>
            <w:left w:val="none" w:sz="0" w:space="0" w:color="auto"/>
            <w:bottom w:val="none" w:sz="0" w:space="0" w:color="auto"/>
            <w:right w:val="none" w:sz="0" w:space="0" w:color="auto"/>
          </w:divBdr>
        </w:div>
        <w:div w:id="1907766036">
          <w:marLeft w:val="0"/>
          <w:marRight w:val="0"/>
          <w:marTop w:val="0"/>
          <w:marBottom w:val="0"/>
          <w:divBdr>
            <w:top w:val="none" w:sz="0" w:space="0" w:color="auto"/>
            <w:left w:val="none" w:sz="0" w:space="0" w:color="auto"/>
            <w:bottom w:val="none" w:sz="0" w:space="0" w:color="auto"/>
            <w:right w:val="none" w:sz="0" w:space="0" w:color="auto"/>
          </w:divBdr>
        </w:div>
        <w:div w:id="546841433">
          <w:marLeft w:val="0"/>
          <w:marRight w:val="0"/>
          <w:marTop w:val="0"/>
          <w:marBottom w:val="0"/>
          <w:divBdr>
            <w:top w:val="none" w:sz="0" w:space="0" w:color="auto"/>
            <w:left w:val="none" w:sz="0" w:space="0" w:color="auto"/>
            <w:bottom w:val="none" w:sz="0" w:space="0" w:color="auto"/>
            <w:right w:val="none" w:sz="0" w:space="0" w:color="auto"/>
          </w:divBdr>
        </w:div>
        <w:div w:id="313143674">
          <w:marLeft w:val="0"/>
          <w:marRight w:val="0"/>
          <w:marTop w:val="0"/>
          <w:marBottom w:val="0"/>
          <w:divBdr>
            <w:top w:val="none" w:sz="0" w:space="0" w:color="auto"/>
            <w:left w:val="none" w:sz="0" w:space="0" w:color="auto"/>
            <w:bottom w:val="none" w:sz="0" w:space="0" w:color="auto"/>
            <w:right w:val="none" w:sz="0" w:space="0" w:color="auto"/>
          </w:divBdr>
        </w:div>
        <w:div w:id="848108127">
          <w:marLeft w:val="0"/>
          <w:marRight w:val="0"/>
          <w:marTop w:val="0"/>
          <w:marBottom w:val="0"/>
          <w:divBdr>
            <w:top w:val="none" w:sz="0" w:space="0" w:color="auto"/>
            <w:left w:val="none" w:sz="0" w:space="0" w:color="auto"/>
            <w:bottom w:val="none" w:sz="0" w:space="0" w:color="auto"/>
            <w:right w:val="none" w:sz="0" w:space="0" w:color="auto"/>
          </w:divBdr>
        </w:div>
        <w:div w:id="1017655209">
          <w:marLeft w:val="0"/>
          <w:marRight w:val="0"/>
          <w:marTop w:val="0"/>
          <w:marBottom w:val="0"/>
          <w:divBdr>
            <w:top w:val="none" w:sz="0" w:space="0" w:color="auto"/>
            <w:left w:val="none" w:sz="0" w:space="0" w:color="auto"/>
            <w:bottom w:val="none" w:sz="0" w:space="0" w:color="auto"/>
            <w:right w:val="none" w:sz="0" w:space="0" w:color="auto"/>
          </w:divBdr>
        </w:div>
        <w:div w:id="224144838">
          <w:marLeft w:val="0"/>
          <w:marRight w:val="0"/>
          <w:marTop w:val="0"/>
          <w:marBottom w:val="0"/>
          <w:divBdr>
            <w:top w:val="none" w:sz="0" w:space="0" w:color="auto"/>
            <w:left w:val="none" w:sz="0" w:space="0" w:color="auto"/>
            <w:bottom w:val="none" w:sz="0" w:space="0" w:color="auto"/>
            <w:right w:val="none" w:sz="0" w:space="0" w:color="auto"/>
          </w:divBdr>
        </w:div>
        <w:div w:id="275137007">
          <w:marLeft w:val="0"/>
          <w:marRight w:val="0"/>
          <w:marTop w:val="0"/>
          <w:marBottom w:val="0"/>
          <w:divBdr>
            <w:top w:val="none" w:sz="0" w:space="0" w:color="auto"/>
            <w:left w:val="none" w:sz="0" w:space="0" w:color="auto"/>
            <w:bottom w:val="none" w:sz="0" w:space="0" w:color="auto"/>
            <w:right w:val="none" w:sz="0" w:space="0" w:color="auto"/>
          </w:divBdr>
        </w:div>
        <w:div w:id="2126460649">
          <w:marLeft w:val="0"/>
          <w:marRight w:val="0"/>
          <w:marTop w:val="0"/>
          <w:marBottom w:val="0"/>
          <w:divBdr>
            <w:top w:val="none" w:sz="0" w:space="0" w:color="auto"/>
            <w:left w:val="none" w:sz="0" w:space="0" w:color="auto"/>
            <w:bottom w:val="none" w:sz="0" w:space="0" w:color="auto"/>
            <w:right w:val="none" w:sz="0" w:space="0" w:color="auto"/>
          </w:divBdr>
        </w:div>
        <w:div w:id="706948300">
          <w:marLeft w:val="0"/>
          <w:marRight w:val="0"/>
          <w:marTop w:val="0"/>
          <w:marBottom w:val="0"/>
          <w:divBdr>
            <w:top w:val="none" w:sz="0" w:space="0" w:color="auto"/>
            <w:left w:val="none" w:sz="0" w:space="0" w:color="auto"/>
            <w:bottom w:val="none" w:sz="0" w:space="0" w:color="auto"/>
            <w:right w:val="none" w:sz="0" w:space="0" w:color="auto"/>
          </w:divBdr>
        </w:div>
        <w:div w:id="484855773">
          <w:marLeft w:val="0"/>
          <w:marRight w:val="0"/>
          <w:marTop w:val="0"/>
          <w:marBottom w:val="0"/>
          <w:divBdr>
            <w:top w:val="none" w:sz="0" w:space="0" w:color="auto"/>
            <w:left w:val="none" w:sz="0" w:space="0" w:color="auto"/>
            <w:bottom w:val="none" w:sz="0" w:space="0" w:color="auto"/>
            <w:right w:val="none" w:sz="0" w:space="0" w:color="auto"/>
          </w:divBdr>
        </w:div>
        <w:div w:id="2130083769">
          <w:marLeft w:val="0"/>
          <w:marRight w:val="0"/>
          <w:marTop w:val="0"/>
          <w:marBottom w:val="0"/>
          <w:divBdr>
            <w:top w:val="none" w:sz="0" w:space="0" w:color="auto"/>
            <w:left w:val="none" w:sz="0" w:space="0" w:color="auto"/>
            <w:bottom w:val="none" w:sz="0" w:space="0" w:color="auto"/>
            <w:right w:val="none" w:sz="0" w:space="0" w:color="auto"/>
          </w:divBdr>
        </w:div>
        <w:div w:id="258176456">
          <w:marLeft w:val="0"/>
          <w:marRight w:val="0"/>
          <w:marTop w:val="0"/>
          <w:marBottom w:val="0"/>
          <w:divBdr>
            <w:top w:val="none" w:sz="0" w:space="0" w:color="auto"/>
            <w:left w:val="none" w:sz="0" w:space="0" w:color="auto"/>
            <w:bottom w:val="none" w:sz="0" w:space="0" w:color="auto"/>
            <w:right w:val="none" w:sz="0" w:space="0" w:color="auto"/>
          </w:divBdr>
        </w:div>
        <w:div w:id="566691104">
          <w:marLeft w:val="0"/>
          <w:marRight w:val="0"/>
          <w:marTop w:val="0"/>
          <w:marBottom w:val="0"/>
          <w:divBdr>
            <w:top w:val="none" w:sz="0" w:space="0" w:color="auto"/>
            <w:left w:val="none" w:sz="0" w:space="0" w:color="auto"/>
            <w:bottom w:val="none" w:sz="0" w:space="0" w:color="auto"/>
            <w:right w:val="none" w:sz="0" w:space="0" w:color="auto"/>
          </w:divBdr>
        </w:div>
        <w:div w:id="517886311">
          <w:marLeft w:val="0"/>
          <w:marRight w:val="0"/>
          <w:marTop w:val="0"/>
          <w:marBottom w:val="0"/>
          <w:divBdr>
            <w:top w:val="none" w:sz="0" w:space="0" w:color="auto"/>
            <w:left w:val="none" w:sz="0" w:space="0" w:color="auto"/>
            <w:bottom w:val="none" w:sz="0" w:space="0" w:color="auto"/>
            <w:right w:val="none" w:sz="0" w:space="0" w:color="auto"/>
          </w:divBdr>
        </w:div>
        <w:div w:id="183518150">
          <w:marLeft w:val="0"/>
          <w:marRight w:val="0"/>
          <w:marTop w:val="0"/>
          <w:marBottom w:val="0"/>
          <w:divBdr>
            <w:top w:val="none" w:sz="0" w:space="0" w:color="auto"/>
            <w:left w:val="none" w:sz="0" w:space="0" w:color="auto"/>
            <w:bottom w:val="none" w:sz="0" w:space="0" w:color="auto"/>
            <w:right w:val="none" w:sz="0" w:space="0" w:color="auto"/>
          </w:divBdr>
        </w:div>
        <w:div w:id="456802225">
          <w:marLeft w:val="0"/>
          <w:marRight w:val="0"/>
          <w:marTop w:val="0"/>
          <w:marBottom w:val="0"/>
          <w:divBdr>
            <w:top w:val="none" w:sz="0" w:space="0" w:color="auto"/>
            <w:left w:val="none" w:sz="0" w:space="0" w:color="auto"/>
            <w:bottom w:val="none" w:sz="0" w:space="0" w:color="auto"/>
            <w:right w:val="none" w:sz="0" w:space="0" w:color="auto"/>
          </w:divBdr>
        </w:div>
        <w:div w:id="21053093">
          <w:marLeft w:val="0"/>
          <w:marRight w:val="0"/>
          <w:marTop w:val="0"/>
          <w:marBottom w:val="0"/>
          <w:divBdr>
            <w:top w:val="none" w:sz="0" w:space="0" w:color="auto"/>
            <w:left w:val="none" w:sz="0" w:space="0" w:color="auto"/>
            <w:bottom w:val="none" w:sz="0" w:space="0" w:color="auto"/>
            <w:right w:val="none" w:sz="0" w:space="0" w:color="auto"/>
          </w:divBdr>
        </w:div>
        <w:div w:id="1396659555">
          <w:marLeft w:val="0"/>
          <w:marRight w:val="0"/>
          <w:marTop w:val="0"/>
          <w:marBottom w:val="0"/>
          <w:divBdr>
            <w:top w:val="none" w:sz="0" w:space="0" w:color="auto"/>
            <w:left w:val="none" w:sz="0" w:space="0" w:color="auto"/>
            <w:bottom w:val="none" w:sz="0" w:space="0" w:color="auto"/>
            <w:right w:val="none" w:sz="0" w:space="0" w:color="auto"/>
          </w:divBdr>
        </w:div>
        <w:div w:id="1621449827">
          <w:marLeft w:val="0"/>
          <w:marRight w:val="0"/>
          <w:marTop w:val="0"/>
          <w:marBottom w:val="0"/>
          <w:divBdr>
            <w:top w:val="none" w:sz="0" w:space="0" w:color="auto"/>
            <w:left w:val="none" w:sz="0" w:space="0" w:color="auto"/>
            <w:bottom w:val="none" w:sz="0" w:space="0" w:color="auto"/>
            <w:right w:val="none" w:sz="0" w:space="0" w:color="auto"/>
          </w:divBdr>
        </w:div>
        <w:div w:id="1391920793">
          <w:marLeft w:val="0"/>
          <w:marRight w:val="0"/>
          <w:marTop w:val="0"/>
          <w:marBottom w:val="0"/>
          <w:divBdr>
            <w:top w:val="none" w:sz="0" w:space="0" w:color="auto"/>
            <w:left w:val="none" w:sz="0" w:space="0" w:color="auto"/>
            <w:bottom w:val="none" w:sz="0" w:space="0" w:color="auto"/>
            <w:right w:val="none" w:sz="0" w:space="0" w:color="auto"/>
          </w:divBdr>
        </w:div>
        <w:div w:id="760446089">
          <w:marLeft w:val="0"/>
          <w:marRight w:val="0"/>
          <w:marTop w:val="0"/>
          <w:marBottom w:val="0"/>
          <w:divBdr>
            <w:top w:val="none" w:sz="0" w:space="0" w:color="auto"/>
            <w:left w:val="none" w:sz="0" w:space="0" w:color="auto"/>
            <w:bottom w:val="none" w:sz="0" w:space="0" w:color="auto"/>
            <w:right w:val="none" w:sz="0" w:space="0" w:color="auto"/>
          </w:divBdr>
        </w:div>
        <w:div w:id="1309937966">
          <w:marLeft w:val="0"/>
          <w:marRight w:val="0"/>
          <w:marTop w:val="0"/>
          <w:marBottom w:val="0"/>
          <w:divBdr>
            <w:top w:val="none" w:sz="0" w:space="0" w:color="auto"/>
            <w:left w:val="none" w:sz="0" w:space="0" w:color="auto"/>
            <w:bottom w:val="none" w:sz="0" w:space="0" w:color="auto"/>
            <w:right w:val="none" w:sz="0" w:space="0" w:color="auto"/>
          </w:divBdr>
        </w:div>
        <w:div w:id="570849745">
          <w:marLeft w:val="0"/>
          <w:marRight w:val="0"/>
          <w:marTop w:val="0"/>
          <w:marBottom w:val="0"/>
          <w:divBdr>
            <w:top w:val="none" w:sz="0" w:space="0" w:color="auto"/>
            <w:left w:val="none" w:sz="0" w:space="0" w:color="auto"/>
            <w:bottom w:val="none" w:sz="0" w:space="0" w:color="auto"/>
            <w:right w:val="none" w:sz="0" w:space="0" w:color="auto"/>
          </w:divBdr>
        </w:div>
        <w:div w:id="1722823545">
          <w:marLeft w:val="0"/>
          <w:marRight w:val="0"/>
          <w:marTop w:val="0"/>
          <w:marBottom w:val="0"/>
          <w:divBdr>
            <w:top w:val="none" w:sz="0" w:space="0" w:color="auto"/>
            <w:left w:val="none" w:sz="0" w:space="0" w:color="auto"/>
            <w:bottom w:val="none" w:sz="0" w:space="0" w:color="auto"/>
            <w:right w:val="none" w:sz="0" w:space="0" w:color="auto"/>
          </w:divBdr>
        </w:div>
        <w:div w:id="1157763440">
          <w:marLeft w:val="0"/>
          <w:marRight w:val="0"/>
          <w:marTop w:val="0"/>
          <w:marBottom w:val="0"/>
          <w:divBdr>
            <w:top w:val="none" w:sz="0" w:space="0" w:color="auto"/>
            <w:left w:val="none" w:sz="0" w:space="0" w:color="auto"/>
            <w:bottom w:val="none" w:sz="0" w:space="0" w:color="auto"/>
            <w:right w:val="none" w:sz="0" w:space="0" w:color="auto"/>
          </w:divBdr>
        </w:div>
        <w:div w:id="1960796180">
          <w:marLeft w:val="0"/>
          <w:marRight w:val="0"/>
          <w:marTop w:val="0"/>
          <w:marBottom w:val="0"/>
          <w:divBdr>
            <w:top w:val="none" w:sz="0" w:space="0" w:color="auto"/>
            <w:left w:val="none" w:sz="0" w:space="0" w:color="auto"/>
            <w:bottom w:val="none" w:sz="0" w:space="0" w:color="auto"/>
            <w:right w:val="none" w:sz="0" w:space="0" w:color="auto"/>
          </w:divBdr>
        </w:div>
        <w:div w:id="1928687879">
          <w:marLeft w:val="0"/>
          <w:marRight w:val="0"/>
          <w:marTop w:val="0"/>
          <w:marBottom w:val="0"/>
          <w:divBdr>
            <w:top w:val="none" w:sz="0" w:space="0" w:color="auto"/>
            <w:left w:val="none" w:sz="0" w:space="0" w:color="auto"/>
            <w:bottom w:val="none" w:sz="0" w:space="0" w:color="auto"/>
            <w:right w:val="none" w:sz="0" w:space="0" w:color="auto"/>
          </w:divBdr>
        </w:div>
        <w:div w:id="885412260">
          <w:marLeft w:val="0"/>
          <w:marRight w:val="0"/>
          <w:marTop w:val="0"/>
          <w:marBottom w:val="0"/>
          <w:divBdr>
            <w:top w:val="none" w:sz="0" w:space="0" w:color="auto"/>
            <w:left w:val="none" w:sz="0" w:space="0" w:color="auto"/>
            <w:bottom w:val="none" w:sz="0" w:space="0" w:color="auto"/>
            <w:right w:val="none" w:sz="0" w:space="0" w:color="auto"/>
          </w:divBdr>
        </w:div>
        <w:div w:id="449396300">
          <w:marLeft w:val="0"/>
          <w:marRight w:val="0"/>
          <w:marTop w:val="0"/>
          <w:marBottom w:val="0"/>
          <w:divBdr>
            <w:top w:val="none" w:sz="0" w:space="0" w:color="auto"/>
            <w:left w:val="none" w:sz="0" w:space="0" w:color="auto"/>
            <w:bottom w:val="none" w:sz="0" w:space="0" w:color="auto"/>
            <w:right w:val="none" w:sz="0" w:space="0" w:color="auto"/>
          </w:divBdr>
        </w:div>
        <w:div w:id="228001490">
          <w:marLeft w:val="0"/>
          <w:marRight w:val="0"/>
          <w:marTop w:val="0"/>
          <w:marBottom w:val="0"/>
          <w:divBdr>
            <w:top w:val="none" w:sz="0" w:space="0" w:color="auto"/>
            <w:left w:val="none" w:sz="0" w:space="0" w:color="auto"/>
            <w:bottom w:val="none" w:sz="0" w:space="0" w:color="auto"/>
            <w:right w:val="none" w:sz="0" w:space="0" w:color="auto"/>
          </w:divBdr>
        </w:div>
        <w:div w:id="810899894">
          <w:marLeft w:val="0"/>
          <w:marRight w:val="0"/>
          <w:marTop w:val="0"/>
          <w:marBottom w:val="0"/>
          <w:divBdr>
            <w:top w:val="none" w:sz="0" w:space="0" w:color="auto"/>
            <w:left w:val="none" w:sz="0" w:space="0" w:color="auto"/>
            <w:bottom w:val="none" w:sz="0" w:space="0" w:color="auto"/>
            <w:right w:val="none" w:sz="0" w:space="0" w:color="auto"/>
          </w:divBdr>
        </w:div>
        <w:div w:id="858204890">
          <w:marLeft w:val="0"/>
          <w:marRight w:val="0"/>
          <w:marTop w:val="0"/>
          <w:marBottom w:val="0"/>
          <w:divBdr>
            <w:top w:val="none" w:sz="0" w:space="0" w:color="auto"/>
            <w:left w:val="none" w:sz="0" w:space="0" w:color="auto"/>
            <w:bottom w:val="none" w:sz="0" w:space="0" w:color="auto"/>
            <w:right w:val="none" w:sz="0" w:space="0" w:color="auto"/>
          </w:divBdr>
        </w:div>
        <w:div w:id="2136633177">
          <w:marLeft w:val="0"/>
          <w:marRight w:val="0"/>
          <w:marTop w:val="0"/>
          <w:marBottom w:val="0"/>
          <w:divBdr>
            <w:top w:val="none" w:sz="0" w:space="0" w:color="auto"/>
            <w:left w:val="none" w:sz="0" w:space="0" w:color="auto"/>
            <w:bottom w:val="none" w:sz="0" w:space="0" w:color="auto"/>
            <w:right w:val="none" w:sz="0" w:space="0" w:color="auto"/>
          </w:divBdr>
        </w:div>
        <w:div w:id="1123157512">
          <w:marLeft w:val="0"/>
          <w:marRight w:val="0"/>
          <w:marTop w:val="0"/>
          <w:marBottom w:val="0"/>
          <w:divBdr>
            <w:top w:val="none" w:sz="0" w:space="0" w:color="auto"/>
            <w:left w:val="none" w:sz="0" w:space="0" w:color="auto"/>
            <w:bottom w:val="none" w:sz="0" w:space="0" w:color="auto"/>
            <w:right w:val="none" w:sz="0" w:space="0" w:color="auto"/>
          </w:divBdr>
        </w:div>
        <w:div w:id="2080786626">
          <w:marLeft w:val="0"/>
          <w:marRight w:val="0"/>
          <w:marTop w:val="0"/>
          <w:marBottom w:val="0"/>
          <w:divBdr>
            <w:top w:val="none" w:sz="0" w:space="0" w:color="auto"/>
            <w:left w:val="none" w:sz="0" w:space="0" w:color="auto"/>
            <w:bottom w:val="none" w:sz="0" w:space="0" w:color="auto"/>
            <w:right w:val="none" w:sz="0" w:space="0" w:color="auto"/>
          </w:divBdr>
        </w:div>
        <w:div w:id="1414156746">
          <w:marLeft w:val="0"/>
          <w:marRight w:val="0"/>
          <w:marTop w:val="0"/>
          <w:marBottom w:val="0"/>
          <w:divBdr>
            <w:top w:val="none" w:sz="0" w:space="0" w:color="auto"/>
            <w:left w:val="none" w:sz="0" w:space="0" w:color="auto"/>
            <w:bottom w:val="none" w:sz="0" w:space="0" w:color="auto"/>
            <w:right w:val="none" w:sz="0" w:space="0" w:color="auto"/>
          </w:divBdr>
        </w:div>
        <w:div w:id="1620915211">
          <w:marLeft w:val="0"/>
          <w:marRight w:val="0"/>
          <w:marTop w:val="0"/>
          <w:marBottom w:val="0"/>
          <w:divBdr>
            <w:top w:val="none" w:sz="0" w:space="0" w:color="auto"/>
            <w:left w:val="none" w:sz="0" w:space="0" w:color="auto"/>
            <w:bottom w:val="none" w:sz="0" w:space="0" w:color="auto"/>
            <w:right w:val="none" w:sz="0" w:space="0" w:color="auto"/>
          </w:divBdr>
        </w:div>
        <w:div w:id="285812343">
          <w:marLeft w:val="0"/>
          <w:marRight w:val="0"/>
          <w:marTop w:val="0"/>
          <w:marBottom w:val="0"/>
          <w:divBdr>
            <w:top w:val="none" w:sz="0" w:space="0" w:color="auto"/>
            <w:left w:val="none" w:sz="0" w:space="0" w:color="auto"/>
            <w:bottom w:val="none" w:sz="0" w:space="0" w:color="auto"/>
            <w:right w:val="none" w:sz="0" w:space="0" w:color="auto"/>
          </w:divBdr>
        </w:div>
        <w:div w:id="1144858210">
          <w:marLeft w:val="0"/>
          <w:marRight w:val="0"/>
          <w:marTop w:val="0"/>
          <w:marBottom w:val="0"/>
          <w:divBdr>
            <w:top w:val="none" w:sz="0" w:space="0" w:color="auto"/>
            <w:left w:val="none" w:sz="0" w:space="0" w:color="auto"/>
            <w:bottom w:val="none" w:sz="0" w:space="0" w:color="auto"/>
            <w:right w:val="none" w:sz="0" w:space="0" w:color="auto"/>
          </w:divBdr>
        </w:div>
        <w:div w:id="38870291">
          <w:marLeft w:val="0"/>
          <w:marRight w:val="0"/>
          <w:marTop w:val="0"/>
          <w:marBottom w:val="0"/>
          <w:divBdr>
            <w:top w:val="none" w:sz="0" w:space="0" w:color="auto"/>
            <w:left w:val="none" w:sz="0" w:space="0" w:color="auto"/>
            <w:bottom w:val="none" w:sz="0" w:space="0" w:color="auto"/>
            <w:right w:val="none" w:sz="0" w:space="0" w:color="auto"/>
          </w:divBdr>
        </w:div>
        <w:div w:id="82387250">
          <w:marLeft w:val="0"/>
          <w:marRight w:val="0"/>
          <w:marTop w:val="0"/>
          <w:marBottom w:val="0"/>
          <w:divBdr>
            <w:top w:val="none" w:sz="0" w:space="0" w:color="auto"/>
            <w:left w:val="none" w:sz="0" w:space="0" w:color="auto"/>
            <w:bottom w:val="none" w:sz="0" w:space="0" w:color="auto"/>
            <w:right w:val="none" w:sz="0" w:space="0" w:color="auto"/>
          </w:divBdr>
        </w:div>
        <w:div w:id="258876180">
          <w:marLeft w:val="0"/>
          <w:marRight w:val="0"/>
          <w:marTop w:val="0"/>
          <w:marBottom w:val="0"/>
          <w:divBdr>
            <w:top w:val="none" w:sz="0" w:space="0" w:color="auto"/>
            <w:left w:val="none" w:sz="0" w:space="0" w:color="auto"/>
            <w:bottom w:val="none" w:sz="0" w:space="0" w:color="auto"/>
            <w:right w:val="none" w:sz="0" w:space="0" w:color="auto"/>
          </w:divBdr>
        </w:div>
        <w:div w:id="1469742713">
          <w:marLeft w:val="0"/>
          <w:marRight w:val="0"/>
          <w:marTop w:val="0"/>
          <w:marBottom w:val="0"/>
          <w:divBdr>
            <w:top w:val="none" w:sz="0" w:space="0" w:color="auto"/>
            <w:left w:val="none" w:sz="0" w:space="0" w:color="auto"/>
            <w:bottom w:val="none" w:sz="0" w:space="0" w:color="auto"/>
            <w:right w:val="none" w:sz="0" w:space="0" w:color="auto"/>
          </w:divBdr>
        </w:div>
        <w:div w:id="372534449">
          <w:marLeft w:val="0"/>
          <w:marRight w:val="0"/>
          <w:marTop w:val="0"/>
          <w:marBottom w:val="0"/>
          <w:divBdr>
            <w:top w:val="none" w:sz="0" w:space="0" w:color="auto"/>
            <w:left w:val="none" w:sz="0" w:space="0" w:color="auto"/>
            <w:bottom w:val="none" w:sz="0" w:space="0" w:color="auto"/>
            <w:right w:val="none" w:sz="0" w:space="0" w:color="auto"/>
          </w:divBdr>
        </w:div>
        <w:div w:id="2083402235">
          <w:marLeft w:val="0"/>
          <w:marRight w:val="0"/>
          <w:marTop w:val="0"/>
          <w:marBottom w:val="0"/>
          <w:divBdr>
            <w:top w:val="none" w:sz="0" w:space="0" w:color="auto"/>
            <w:left w:val="none" w:sz="0" w:space="0" w:color="auto"/>
            <w:bottom w:val="none" w:sz="0" w:space="0" w:color="auto"/>
            <w:right w:val="none" w:sz="0" w:space="0" w:color="auto"/>
          </w:divBdr>
        </w:div>
        <w:div w:id="64642732">
          <w:marLeft w:val="0"/>
          <w:marRight w:val="0"/>
          <w:marTop w:val="0"/>
          <w:marBottom w:val="0"/>
          <w:divBdr>
            <w:top w:val="none" w:sz="0" w:space="0" w:color="auto"/>
            <w:left w:val="none" w:sz="0" w:space="0" w:color="auto"/>
            <w:bottom w:val="none" w:sz="0" w:space="0" w:color="auto"/>
            <w:right w:val="none" w:sz="0" w:space="0" w:color="auto"/>
          </w:divBdr>
        </w:div>
        <w:div w:id="481040638">
          <w:marLeft w:val="0"/>
          <w:marRight w:val="0"/>
          <w:marTop w:val="0"/>
          <w:marBottom w:val="0"/>
          <w:divBdr>
            <w:top w:val="none" w:sz="0" w:space="0" w:color="auto"/>
            <w:left w:val="none" w:sz="0" w:space="0" w:color="auto"/>
            <w:bottom w:val="none" w:sz="0" w:space="0" w:color="auto"/>
            <w:right w:val="none" w:sz="0" w:space="0" w:color="auto"/>
          </w:divBdr>
        </w:div>
        <w:div w:id="1336037266">
          <w:marLeft w:val="0"/>
          <w:marRight w:val="0"/>
          <w:marTop w:val="0"/>
          <w:marBottom w:val="0"/>
          <w:divBdr>
            <w:top w:val="none" w:sz="0" w:space="0" w:color="auto"/>
            <w:left w:val="none" w:sz="0" w:space="0" w:color="auto"/>
            <w:bottom w:val="none" w:sz="0" w:space="0" w:color="auto"/>
            <w:right w:val="none" w:sz="0" w:space="0" w:color="auto"/>
          </w:divBdr>
        </w:div>
        <w:div w:id="928849526">
          <w:marLeft w:val="0"/>
          <w:marRight w:val="0"/>
          <w:marTop w:val="0"/>
          <w:marBottom w:val="0"/>
          <w:divBdr>
            <w:top w:val="none" w:sz="0" w:space="0" w:color="auto"/>
            <w:left w:val="none" w:sz="0" w:space="0" w:color="auto"/>
            <w:bottom w:val="none" w:sz="0" w:space="0" w:color="auto"/>
            <w:right w:val="none" w:sz="0" w:space="0" w:color="auto"/>
          </w:divBdr>
        </w:div>
        <w:div w:id="866255282">
          <w:marLeft w:val="0"/>
          <w:marRight w:val="0"/>
          <w:marTop w:val="0"/>
          <w:marBottom w:val="0"/>
          <w:divBdr>
            <w:top w:val="none" w:sz="0" w:space="0" w:color="auto"/>
            <w:left w:val="none" w:sz="0" w:space="0" w:color="auto"/>
            <w:bottom w:val="none" w:sz="0" w:space="0" w:color="auto"/>
            <w:right w:val="none" w:sz="0" w:space="0" w:color="auto"/>
          </w:divBdr>
        </w:div>
        <w:div w:id="21253332">
          <w:marLeft w:val="0"/>
          <w:marRight w:val="0"/>
          <w:marTop w:val="0"/>
          <w:marBottom w:val="0"/>
          <w:divBdr>
            <w:top w:val="none" w:sz="0" w:space="0" w:color="auto"/>
            <w:left w:val="none" w:sz="0" w:space="0" w:color="auto"/>
            <w:bottom w:val="none" w:sz="0" w:space="0" w:color="auto"/>
            <w:right w:val="none" w:sz="0" w:space="0" w:color="auto"/>
          </w:divBdr>
        </w:div>
        <w:div w:id="28841150">
          <w:marLeft w:val="0"/>
          <w:marRight w:val="0"/>
          <w:marTop w:val="0"/>
          <w:marBottom w:val="0"/>
          <w:divBdr>
            <w:top w:val="none" w:sz="0" w:space="0" w:color="auto"/>
            <w:left w:val="none" w:sz="0" w:space="0" w:color="auto"/>
            <w:bottom w:val="none" w:sz="0" w:space="0" w:color="auto"/>
            <w:right w:val="none" w:sz="0" w:space="0" w:color="auto"/>
          </w:divBdr>
        </w:div>
      </w:divsChild>
    </w:div>
    <w:div w:id="1870222583">
      <w:bodyDiv w:val="1"/>
      <w:marLeft w:val="0"/>
      <w:marRight w:val="0"/>
      <w:marTop w:val="0"/>
      <w:marBottom w:val="0"/>
      <w:divBdr>
        <w:top w:val="none" w:sz="0" w:space="0" w:color="auto"/>
        <w:left w:val="none" w:sz="0" w:space="0" w:color="auto"/>
        <w:bottom w:val="none" w:sz="0" w:space="0" w:color="auto"/>
        <w:right w:val="none" w:sz="0" w:space="0" w:color="auto"/>
      </w:divBdr>
      <w:divsChild>
        <w:div w:id="799300103">
          <w:marLeft w:val="0"/>
          <w:marRight w:val="0"/>
          <w:marTop w:val="0"/>
          <w:marBottom w:val="0"/>
          <w:divBdr>
            <w:top w:val="none" w:sz="0" w:space="0" w:color="auto"/>
            <w:left w:val="none" w:sz="0" w:space="0" w:color="auto"/>
            <w:bottom w:val="none" w:sz="0" w:space="0" w:color="auto"/>
            <w:right w:val="none" w:sz="0" w:space="0" w:color="auto"/>
          </w:divBdr>
        </w:div>
        <w:div w:id="1909538873">
          <w:marLeft w:val="0"/>
          <w:marRight w:val="0"/>
          <w:marTop w:val="0"/>
          <w:marBottom w:val="0"/>
          <w:divBdr>
            <w:top w:val="none" w:sz="0" w:space="0" w:color="auto"/>
            <w:left w:val="none" w:sz="0" w:space="0" w:color="auto"/>
            <w:bottom w:val="none" w:sz="0" w:space="0" w:color="auto"/>
            <w:right w:val="none" w:sz="0" w:space="0" w:color="auto"/>
          </w:divBdr>
        </w:div>
        <w:div w:id="1421102942">
          <w:marLeft w:val="0"/>
          <w:marRight w:val="0"/>
          <w:marTop w:val="0"/>
          <w:marBottom w:val="0"/>
          <w:divBdr>
            <w:top w:val="none" w:sz="0" w:space="0" w:color="auto"/>
            <w:left w:val="none" w:sz="0" w:space="0" w:color="auto"/>
            <w:bottom w:val="none" w:sz="0" w:space="0" w:color="auto"/>
            <w:right w:val="none" w:sz="0" w:space="0" w:color="auto"/>
          </w:divBdr>
        </w:div>
        <w:div w:id="1898079308">
          <w:marLeft w:val="0"/>
          <w:marRight w:val="0"/>
          <w:marTop w:val="0"/>
          <w:marBottom w:val="0"/>
          <w:divBdr>
            <w:top w:val="none" w:sz="0" w:space="0" w:color="auto"/>
            <w:left w:val="none" w:sz="0" w:space="0" w:color="auto"/>
            <w:bottom w:val="none" w:sz="0" w:space="0" w:color="auto"/>
            <w:right w:val="none" w:sz="0" w:space="0" w:color="auto"/>
          </w:divBdr>
        </w:div>
        <w:div w:id="1693995627">
          <w:marLeft w:val="0"/>
          <w:marRight w:val="0"/>
          <w:marTop w:val="0"/>
          <w:marBottom w:val="0"/>
          <w:divBdr>
            <w:top w:val="none" w:sz="0" w:space="0" w:color="auto"/>
            <w:left w:val="none" w:sz="0" w:space="0" w:color="auto"/>
            <w:bottom w:val="none" w:sz="0" w:space="0" w:color="auto"/>
            <w:right w:val="none" w:sz="0" w:space="0" w:color="auto"/>
          </w:divBdr>
        </w:div>
        <w:div w:id="2034645732">
          <w:marLeft w:val="0"/>
          <w:marRight w:val="0"/>
          <w:marTop w:val="0"/>
          <w:marBottom w:val="0"/>
          <w:divBdr>
            <w:top w:val="none" w:sz="0" w:space="0" w:color="auto"/>
            <w:left w:val="none" w:sz="0" w:space="0" w:color="auto"/>
            <w:bottom w:val="none" w:sz="0" w:space="0" w:color="auto"/>
            <w:right w:val="none" w:sz="0" w:space="0" w:color="auto"/>
          </w:divBdr>
        </w:div>
        <w:div w:id="1202400604">
          <w:marLeft w:val="0"/>
          <w:marRight w:val="0"/>
          <w:marTop w:val="0"/>
          <w:marBottom w:val="0"/>
          <w:divBdr>
            <w:top w:val="none" w:sz="0" w:space="0" w:color="auto"/>
            <w:left w:val="none" w:sz="0" w:space="0" w:color="auto"/>
            <w:bottom w:val="none" w:sz="0" w:space="0" w:color="auto"/>
            <w:right w:val="none" w:sz="0" w:space="0" w:color="auto"/>
          </w:divBdr>
        </w:div>
        <w:div w:id="1179542965">
          <w:marLeft w:val="0"/>
          <w:marRight w:val="0"/>
          <w:marTop w:val="0"/>
          <w:marBottom w:val="0"/>
          <w:divBdr>
            <w:top w:val="none" w:sz="0" w:space="0" w:color="auto"/>
            <w:left w:val="none" w:sz="0" w:space="0" w:color="auto"/>
            <w:bottom w:val="none" w:sz="0" w:space="0" w:color="auto"/>
            <w:right w:val="none" w:sz="0" w:space="0" w:color="auto"/>
          </w:divBdr>
        </w:div>
        <w:div w:id="2061785035">
          <w:marLeft w:val="0"/>
          <w:marRight w:val="0"/>
          <w:marTop w:val="0"/>
          <w:marBottom w:val="0"/>
          <w:divBdr>
            <w:top w:val="none" w:sz="0" w:space="0" w:color="auto"/>
            <w:left w:val="none" w:sz="0" w:space="0" w:color="auto"/>
            <w:bottom w:val="none" w:sz="0" w:space="0" w:color="auto"/>
            <w:right w:val="none" w:sz="0" w:space="0" w:color="auto"/>
          </w:divBdr>
        </w:div>
        <w:div w:id="530607928">
          <w:marLeft w:val="0"/>
          <w:marRight w:val="0"/>
          <w:marTop w:val="0"/>
          <w:marBottom w:val="0"/>
          <w:divBdr>
            <w:top w:val="none" w:sz="0" w:space="0" w:color="auto"/>
            <w:left w:val="none" w:sz="0" w:space="0" w:color="auto"/>
            <w:bottom w:val="none" w:sz="0" w:space="0" w:color="auto"/>
            <w:right w:val="none" w:sz="0" w:space="0" w:color="auto"/>
          </w:divBdr>
        </w:div>
        <w:div w:id="1851724765">
          <w:marLeft w:val="0"/>
          <w:marRight w:val="0"/>
          <w:marTop w:val="0"/>
          <w:marBottom w:val="0"/>
          <w:divBdr>
            <w:top w:val="none" w:sz="0" w:space="0" w:color="auto"/>
            <w:left w:val="none" w:sz="0" w:space="0" w:color="auto"/>
            <w:bottom w:val="none" w:sz="0" w:space="0" w:color="auto"/>
            <w:right w:val="none" w:sz="0" w:space="0" w:color="auto"/>
          </w:divBdr>
        </w:div>
        <w:div w:id="620914869">
          <w:marLeft w:val="0"/>
          <w:marRight w:val="0"/>
          <w:marTop w:val="0"/>
          <w:marBottom w:val="0"/>
          <w:divBdr>
            <w:top w:val="none" w:sz="0" w:space="0" w:color="auto"/>
            <w:left w:val="none" w:sz="0" w:space="0" w:color="auto"/>
            <w:bottom w:val="none" w:sz="0" w:space="0" w:color="auto"/>
            <w:right w:val="none" w:sz="0" w:space="0" w:color="auto"/>
          </w:divBdr>
        </w:div>
        <w:div w:id="2101675619">
          <w:marLeft w:val="0"/>
          <w:marRight w:val="0"/>
          <w:marTop w:val="0"/>
          <w:marBottom w:val="0"/>
          <w:divBdr>
            <w:top w:val="none" w:sz="0" w:space="0" w:color="auto"/>
            <w:left w:val="none" w:sz="0" w:space="0" w:color="auto"/>
            <w:bottom w:val="none" w:sz="0" w:space="0" w:color="auto"/>
            <w:right w:val="none" w:sz="0" w:space="0" w:color="auto"/>
          </w:divBdr>
        </w:div>
        <w:div w:id="135221928">
          <w:marLeft w:val="0"/>
          <w:marRight w:val="0"/>
          <w:marTop w:val="0"/>
          <w:marBottom w:val="0"/>
          <w:divBdr>
            <w:top w:val="none" w:sz="0" w:space="0" w:color="auto"/>
            <w:left w:val="none" w:sz="0" w:space="0" w:color="auto"/>
            <w:bottom w:val="none" w:sz="0" w:space="0" w:color="auto"/>
            <w:right w:val="none" w:sz="0" w:space="0" w:color="auto"/>
          </w:divBdr>
        </w:div>
        <w:div w:id="342248264">
          <w:marLeft w:val="0"/>
          <w:marRight w:val="0"/>
          <w:marTop w:val="0"/>
          <w:marBottom w:val="0"/>
          <w:divBdr>
            <w:top w:val="none" w:sz="0" w:space="0" w:color="auto"/>
            <w:left w:val="none" w:sz="0" w:space="0" w:color="auto"/>
            <w:bottom w:val="none" w:sz="0" w:space="0" w:color="auto"/>
            <w:right w:val="none" w:sz="0" w:space="0" w:color="auto"/>
          </w:divBdr>
        </w:div>
        <w:div w:id="456291311">
          <w:marLeft w:val="0"/>
          <w:marRight w:val="0"/>
          <w:marTop w:val="0"/>
          <w:marBottom w:val="0"/>
          <w:divBdr>
            <w:top w:val="none" w:sz="0" w:space="0" w:color="auto"/>
            <w:left w:val="none" w:sz="0" w:space="0" w:color="auto"/>
            <w:bottom w:val="none" w:sz="0" w:space="0" w:color="auto"/>
            <w:right w:val="none" w:sz="0" w:space="0" w:color="auto"/>
          </w:divBdr>
        </w:div>
        <w:div w:id="825710826">
          <w:marLeft w:val="0"/>
          <w:marRight w:val="0"/>
          <w:marTop w:val="0"/>
          <w:marBottom w:val="0"/>
          <w:divBdr>
            <w:top w:val="none" w:sz="0" w:space="0" w:color="auto"/>
            <w:left w:val="none" w:sz="0" w:space="0" w:color="auto"/>
            <w:bottom w:val="none" w:sz="0" w:space="0" w:color="auto"/>
            <w:right w:val="none" w:sz="0" w:space="0" w:color="auto"/>
          </w:divBdr>
        </w:div>
        <w:div w:id="1005132310">
          <w:marLeft w:val="0"/>
          <w:marRight w:val="0"/>
          <w:marTop w:val="0"/>
          <w:marBottom w:val="0"/>
          <w:divBdr>
            <w:top w:val="none" w:sz="0" w:space="0" w:color="auto"/>
            <w:left w:val="none" w:sz="0" w:space="0" w:color="auto"/>
            <w:bottom w:val="none" w:sz="0" w:space="0" w:color="auto"/>
            <w:right w:val="none" w:sz="0" w:space="0" w:color="auto"/>
          </w:divBdr>
        </w:div>
        <w:div w:id="1415475819">
          <w:marLeft w:val="0"/>
          <w:marRight w:val="0"/>
          <w:marTop w:val="0"/>
          <w:marBottom w:val="0"/>
          <w:divBdr>
            <w:top w:val="none" w:sz="0" w:space="0" w:color="auto"/>
            <w:left w:val="none" w:sz="0" w:space="0" w:color="auto"/>
            <w:bottom w:val="none" w:sz="0" w:space="0" w:color="auto"/>
            <w:right w:val="none" w:sz="0" w:space="0" w:color="auto"/>
          </w:divBdr>
        </w:div>
        <w:div w:id="555315722">
          <w:marLeft w:val="0"/>
          <w:marRight w:val="0"/>
          <w:marTop w:val="0"/>
          <w:marBottom w:val="0"/>
          <w:divBdr>
            <w:top w:val="none" w:sz="0" w:space="0" w:color="auto"/>
            <w:left w:val="none" w:sz="0" w:space="0" w:color="auto"/>
            <w:bottom w:val="none" w:sz="0" w:space="0" w:color="auto"/>
            <w:right w:val="none" w:sz="0" w:space="0" w:color="auto"/>
          </w:divBdr>
        </w:div>
        <w:div w:id="636033947">
          <w:marLeft w:val="0"/>
          <w:marRight w:val="0"/>
          <w:marTop w:val="0"/>
          <w:marBottom w:val="0"/>
          <w:divBdr>
            <w:top w:val="none" w:sz="0" w:space="0" w:color="auto"/>
            <w:left w:val="none" w:sz="0" w:space="0" w:color="auto"/>
            <w:bottom w:val="none" w:sz="0" w:space="0" w:color="auto"/>
            <w:right w:val="none" w:sz="0" w:space="0" w:color="auto"/>
          </w:divBdr>
        </w:div>
        <w:div w:id="456610308">
          <w:marLeft w:val="0"/>
          <w:marRight w:val="0"/>
          <w:marTop w:val="0"/>
          <w:marBottom w:val="0"/>
          <w:divBdr>
            <w:top w:val="none" w:sz="0" w:space="0" w:color="auto"/>
            <w:left w:val="none" w:sz="0" w:space="0" w:color="auto"/>
            <w:bottom w:val="none" w:sz="0" w:space="0" w:color="auto"/>
            <w:right w:val="none" w:sz="0" w:space="0" w:color="auto"/>
          </w:divBdr>
        </w:div>
        <w:div w:id="2060548532">
          <w:marLeft w:val="0"/>
          <w:marRight w:val="0"/>
          <w:marTop w:val="0"/>
          <w:marBottom w:val="0"/>
          <w:divBdr>
            <w:top w:val="none" w:sz="0" w:space="0" w:color="auto"/>
            <w:left w:val="none" w:sz="0" w:space="0" w:color="auto"/>
            <w:bottom w:val="none" w:sz="0" w:space="0" w:color="auto"/>
            <w:right w:val="none" w:sz="0" w:space="0" w:color="auto"/>
          </w:divBdr>
        </w:div>
        <w:div w:id="599408072">
          <w:marLeft w:val="0"/>
          <w:marRight w:val="0"/>
          <w:marTop w:val="0"/>
          <w:marBottom w:val="0"/>
          <w:divBdr>
            <w:top w:val="none" w:sz="0" w:space="0" w:color="auto"/>
            <w:left w:val="none" w:sz="0" w:space="0" w:color="auto"/>
            <w:bottom w:val="none" w:sz="0" w:space="0" w:color="auto"/>
            <w:right w:val="none" w:sz="0" w:space="0" w:color="auto"/>
          </w:divBdr>
        </w:div>
        <w:div w:id="917792407">
          <w:marLeft w:val="0"/>
          <w:marRight w:val="0"/>
          <w:marTop w:val="0"/>
          <w:marBottom w:val="0"/>
          <w:divBdr>
            <w:top w:val="none" w:sz="0" w:space="0" w:color="auto"/>
            <w:left w:val="none" w:sz="0" w:space="0" w:color="auto"/>
            <w:bottom w:val="none" w:sz="0" w:space="0" w:color="auto"/>
            <w:right w:val="none" w:sz="0" w:space="0" w:color="auto"/>
          </w:divBdr>
        </w:div>
        <w:div w:id="1398479570">
          <w:marLeft w:val="0"/>
          <w:marRight w:val="0"/>
          <w:marTop w:val="0"/>
          <w:marBottom w:val="0"/>
          <w:divBdr>
            <w:top w:val="none" w:sz="0" w:space="0" w:color="auto"/>
            <w:left w:val="none" w:sz="0" w:space="0" w:color="auto"/>
            <w:bottom w:val="none" w:sz="0" w:space="0" w:color="auto"/>
            <w:right w:val="none" w:sz="0" w:space="0" w:color="auto"/>
          </w:divBdr>
        </w:div>
        <w:div w:id="17971394">
          <w:marLeft w:val="0"/>
          <w:marRight w:val="0"/>
          <w:marTop w:val="0"/>
          <w:marBottom w:val="0"/>
          <w:divBdr>
            <w:top w:val="none" w:sz="0" w:space="0" w:color="auto"/>
            <w:left w:val="none" w:sz="0" w:space="0" w:color="auto"/>
            <w:bottom w:val="none" w:sz="0" w:space="0" w:color="auto"/>
            <w:right w:val="none" w:sz="0" w:space="0" w:color="auto"/>
          </w:divBdr>
        </w:div>
        <w:div w:id="165638335">
          <w:marLeft w:val="0"/>
          <w:marRight w:val="0"/>
          <w:marTop w:val="0"/>
          <w:marBottom w:val="0"/>
          <w:divBdr>
            <w:top w:val="none" w:sz="0" w:space="0" w:color="auto"/>
            <w:left w:val="none" w:sz="0" w:space="0" w:color="auto"/>
            <w:bottom w:val="none" w:sz="0" w:space="0" w:color="auto"/>
            <w:right w:val="none" w:sz="0" w:space="0" w:color="auto"/>
          </w:divBdr>
        </w:div>
        <w:div w:id="1805270599">
          <w:marLeft w:val="0"/>
          <w:marRight w:val="0"/>
          <w:marTop w:val="0"/>
          <w:marBottom w:val="0"/>
          <w:divBdr>
            <w:top w:val="none" w:sz="0" w:space="0" w:color="auto"/>
            <w:left w:val="none" w:sz="0" w:space="0" w:color="auto"/>
            <w:bottom w:val="none" w:sz="0" w:space="0" w:color="auto"/>
            <w:right w:val="none" w:sz="0" w:space="0" w:color="auto"/>
          </w:divBdr>
        </w:div>
        <w:div w:id="893930751">
          <w:marLeft w:val="0"/>
          <w:marRight w:val="0"/>
          <w:marTop w:val="0"/>
          <w:marBottom w:val="0"/>
          <w:divBdr>
            <w:top w:val="none" w:sz="0" w:space="0" w:color="auto"/>
            <w:left w:val="none" w:sz="0" w:space="0" w:color="auto"/>
            <w:bottom w:val="none" w:sz="0" w:space="0" w:color="auto"/>
            <w:right w:val="none" w:sz="0" w:space="0" w:color="auto"/>
          </w:divBdr>
        </w:div>
        <w:div w:id="1668436050">
          <w:marLeft w:val="0"/>
          <w:marRight w:val="0"/>
          <w:marTop w:val="0"/>
          <w:marBottom w:val="0"/>
          <w:divBdr>
            <w:top w:val="none" w:sz="0" w:space="0" w:color="auto"/>
            <w:left w:val="none" w:sz="0" w:space="0" w:color="auto"/>
            <w:bottom w:val="none" w:sz="0" w:space="0" w:color="auto"/>
            <w:right w:val="none" w:sz="0" w:space="0" w:color="auto"/>
          </w:divBdr>
        </w:div>
        <w:div w:id="188877137">
          <w:marLeft w:val="0"/>
          <w:marRight w:val="0"/>
          <w:marTop w:val="0"/>
          <w:marBottom w:val="0"/>
          <w:divBdr>
            <w:top w:val="none" w:sz="0" w:space="0" w:color="auto"/>
            <w:left w:val="none" w:sz="0" w:space="0" w:color="auto"/>
            <w:bottom w:val="none" w:sz="0" w:space="0" w:color="auto"/>
            <w:right w:val="none" w:sz="0" w:space="0" w:color="auto"/>
          </w:divBdr>
        </w:div>
        <w:div w:id="1959800461">
          <w:marLeft w:val="0"/>
          <w:marRight w:val="0"/>
          <w:marTop w:val="0"/>
          <w:marBottom w:val="0"/>
          <w:divBdr>
            <w:top w:val="none" w:sz="0" w:space="0" w:color="auto"/>
            <w:left w:val="none" w:sz="0" w:space="0" w:color="auto"/>
            <w:bottom w:val="none" w:sz="0" w:space="0" w:color="auto"/>
            <w:right w:val="none" w:sz="0" w:space="0" w:color="auto"/>
          </w:divBdr>
        </w:div>
        <w:div w:id="1719428288">
          <w:marLeft w:val="0"/>
          <w:marRight w:val="0"/>
          <w:marTop w:val="0"/>
          <w:marBottom w:val="0"/>
          <w:divBdr>
            <w:top w:val="none" w:sz="0" w:space="0" w:color="auto"/>
            <w:left w:val="none" w:sz="0" w:space="0" w:color="auto"/>
            <w:bottom w:val="none" w:sz="0" w:space="0" w:color="auto"/>
            <w:right w:val="none" w:sz="0" w:space="0" w:color="auto"/>
          </w:divBdr>
        </w:div>
        <w:div w:id="1161045989">
          <w:marLeft w:val="0"/>
          <w:marRight w:val="0"/>
          <w:marTop w:val="0"/>
          <w:marBottom w:val="0"/>
          <w:divBdr>
            <w:top w:val="none" w:sz="0" w:space="0" w:color="auto"/>
            <w:left w:val="none" w:sz="0" w:space="0" w:color="auto"/>
            <w:bottom w:val="none" w:sz="0" w:space="0" w:color="auto"/>
            <w:right w:val="none" w:sz="0" w:space="0" w:color="auto"/>
          </w:divBdr>
        </w:div>
        <w:div w:id="522522184">
          <w:marLeft w:val="0"/>
          <w:marRight w:val="0"/>
          <w:marTop w:val="0"/>
          <w:marBottom w:val="0"/>
          <w:divBdr>
            <w:top w:val="none" w:sz="0" w:space="0" w:color="auto"/>
            <w:left w:val="none" w:sz="0" w:space="0" w:color="auto"/>
            <w:bottom w:val="none" w:sz="0" w:space="0" w:color="auto"/>
            <w:right w:val="none" w:sz="0" w:space="0" w:color="auto"/>
          </w:divBdr>
        </w:div>
        <w:div w:id="1596743496">
          <w:marLeft w:val="0"/>
          <w:marRight w:val="0"/>
          <w:marTop w:val="0"/>
          <w:marBottom w:val="0"/>
          <w:divBdr>
            <w:top w:val="none" w:sz="0" w:space="0" w:color="auto"/>
            <w:left w:val="none" w:sz="0" w:space="0" w:color="auto"/>
            <w:bottom w:val="none" w:sz="0" w:space="0" w:color="auto"/>
            <w:right w:val="none" w:sz="0" w:space="0" w:color="auto"/>
          </w:divBdr>
        </w:div>
        <w:div w:id="1732535945">
          <w:marLeft w:val="0"/>
          <w:marRight w:val="0"/>
          <w:marTop w:val="0"/>
          <w:marBottom w:val="0"/>
          <w:divBdr>
            <w:top w:val="none" w:sz="0" w:space="0" w:color="auto"/>
            <w:left w:val="none" w:sz="0" w:space="0" w:color="auto"/>
            <w:bottom w:val="none" w:sz="0" w:space="0" w:color="auto"/>
            <w:right w:val="none" w:sz="0" w:space="0" w:color="auto"/>
          </w:divBdr>
        </w:div>
        <w:div w:id="772743987">
          <w:marLeft w:val="0"/>
          <w:marRight w:val="0"/>
          <w:marTop w:val="0"/>
          <w:marBottom w:val="0"/>
          <w:divBdr>
            <w:top w:val="none" w:sz="0" w:space="0" w:color="auto"/>
            <w:left w:val="none" w:sz="0" w:space="0" w:color="auto"/>
            <w:bottom w:val="none" w:sz="0" w:space="0" w:color="auto"/>
            <w:right w:val="none" w:sz="0" w:space="0" w:color="auto"/>
          </w:divBdr>
        </w:div>
        <w:div w:id="153905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Cook</dc:creator>
  <cp:keywords/>
  <dc:description/>
  <cp:lastModifiedBy>Kate France</cp:lastModifiedBy>
  <cp:revision>165</cp:revision>
  <dcterms:created xsi:type="dcterms:W3CDTF">2023-12-06T15:48:00Z</dcterms:created>
  <dcterms:modified xsi:type="dcterms:W3CDTF">2025-01-29T13:05:00Z</dcterms:modified>
</cp:coreProperties>
</file>