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4009042" w:rsidR="00E66558" w:rsidRPr="000B154A" w:rsidRDefault="00B30D80" w:rsidP="000B154A">
      <w:pPr>
        <w:pStyle w:val="Heading1"/>
        <w:jc w:val="center"/>
        <w:rPr>
          <w:b/>
        </w:rPr>
      </w:pPr>
      <w:bookmarkStart w:id="0" w:name="_Toc400361362"/>
      <w:bookmarkStart w:id="1" w:name="_Toc443397153"/>
      <w:bookmarkStart w:id="2" w:name="_Toc357771638"/>
      <w:bookmarkStart w:id="3" w:name="_Toc346793416"/>
      <w:bookmarkStart w:id="4" w:name="_Toc328122777"/>
      <w:bookmarkStart w:id="5" w:name="_GoBack"/>
      <w:bookmarkEnd w:id="5"/>
      <w:r w:rsidRPr="000B154A">
        <w:rPr>
          <w:b/>
        </w:rPr>
        <w:t xml:space="preserve">Selwood Academy </w:t>
      </w:r>
      <w:r w:rsidR="009D71E8" w:rsidRPr="000B154A">
        <w:rPr>
          <w:b/>
        </w:rPr>
        <w:t xml:space="preserve">Pupil </w:t>
      </w:r>
      <w:r w:rsidR="000B154A">
        <w:rPr>
          <w:b/>
        </w:rPr>
        <w:t>P</w:t>
      </w:r>
      <w:r w:rsidR="009D71E8" w:rsidRPr="000B154A">
        <w:rPr>
          <w:b/>
        </w:rPr>
        <w:t xml:space="preserve">remium </w:t>
      </w:r>
      <w:r w:rsidR="000B154A">
        <w:rPr>
          <w:b/>
        </w:rPr>
        <w:t>S</w:t>
      </w:r>
      <w:r w:rsidR="009D71E8" w:rsidRPr="000B154A">
        <w:rPr>
          <w:b/>
        </w:rPr>
        <w:t xml:space="preserve">trategy </w:t>
      </w:r>
      <w:r w:rsidR="000B154A">
        <w:rPr>
          <w:b/>
        </w:rPr>
        <w:t>S</w:t>
      </w:r>
      <w:r w:rsidR="009D71E8" w:rsidRPr="000B154A">
        <w:rPr>
          <w:b/>
        </w:rPr>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177D183" w14:textId="7584F3BE" w:rsidR="00B30D80" w:rsidRPr="00B30D80" w:rsidRDefault="00B30D80" w:rsidP="00B30D80">
      <w:pPr>
        <w:jc w:val="center"/>
        <w:rPr>
          <w:b/>
          <w:bCs/>
          <w:sz w:val="32"/>
          <w:szCs w:val="32"/>
        </w:rPr>
      </w:pPr>
      <w:r w:rsidRPr="00B30D80">
        <w:rPr>
          <w:b/>
          <w:bCs/>
          <w:sz w:val="32"/>
          <w:szCs w:val="32"/>
        </w:rPr>
        <w:t>202</w:t>
      </w:r>
      <w:r w:rsidR="00F45D93">
        <w:rPr>
          <w:b/>
          <w:bCs/>
          <w:sz w:val="32"/>
          <w:szCs w:val="32"/>
        </w:rPr>
        <w:t>2</w:t>
      </w:r>
      <w:r w:rsidRPr="00B30D80">
        <w:rPr>
          <w:b/>
          <w:bCs/>
          <w:sz w:val="32"/>
          <w:szCs w:val="32"/>
        </w:rPr>
        <w:t>-202</w:t>
      </w:r>
      <w:r w:rsidR="00F45D93">
        <w:rPr>
          <w:b/>
          <w:bCs/>
          <w:sz w:val="32"/>
          <w:szCs w:val="32"/>
        </w:rPr>
        <w:t>3</w:t>
      </w:r>
    </w:p>
    <w:p w14:paraId="2A7D54B2" w14:textId="1E114040" w:rsidR="00E66558" w:rsidRDefault="009D71E8">
      <w:pPr>
        <w:pStyle w:val="Heading2"/>
        <w:rPr>
          <w:b/>
          <w:bCs/>
          <w:color w:val="auto"/>
          <w:sz w:val="24"/>
          <w:szCs w:val="24"/>
        </w:rPr>
      </w:pPr>
      <w:r>
        <w:rPr>
          <w:bCs/>
          <w:color w:val="auto"/>
          <w:sz w:val="24"/>
          <w:szCs w:val="24"/>
        </w:rPr>
        <w:t>This statement details our sch</w:t>
      </w:r>
      <w:r w:rsidR="00DD2576">
        <w:rPr>
          <w:bCs/>
          <w:color w:val="auto"/>
          <w:sz w:val="24"/>
          <w:szCs w:val="24"/>
        </w:rPr>
        <w:t>ool’s use of pupil premium (incl. Recovery P</w:t>
      </w:r>
      <w:r>
        <w:rPr>
          <w:bCs/>
          <w:color w:val="auto"/>
          <w:sz w:val="24"/>
          <w:szCs w:val="24"/>
        </w:rPr>
        <w:t>remium for the 202</w:t>
      </w:r>
      <w:r w:rsidR="00F45D93">
        <w:rPr>
          <w:bCs/>
          <w:color w:val="auto"/>
          <w:sz w:val="24"/>
          <w:szCs w:val="24"/>
        </w:rPr>
        <w:t>2</w:t>
      </w:r>
      <w:r>
        <w:rPr>
          <w:bCs/>
          <w:color w:val="auto"/>
          <w:sz w:val="24"/>
          <w:szCs w:val="24"/>
        </w:rPr>
        <w:t xml:space="preserve"> to 202</w:t>
      </w:r>
      <w:r w:rsidR="00F45D93">
        <w:rPr>
          <w:bCs/>
          <w:color w:val="auto"/>
          <w:sz w:val="24"/>
          <w:szCs w:val="24"/>
        </w:rPr>
        <w:t>3</w:t>
      </w:r>
      <w:r>
        <w:rPr>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bCs/>
          <w:color w:val="auto"/>
          <w:sz w:val="24"/>
          <w:szCs w:val="24"/>
        </w:rPr>
      </w:pPr>
      <w:r>
        <w:rPr>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232"/>
        <w:gridCol w:w="3254"/>
      </w:tblGrid>
      <w:tr w:rsidR="002A14D1" w14:paraId="721EDBB7"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bookmarkEnd w:id="2"/>
          <w:bookmarkEnd w:id="3"/>
          <w:bookmarkEnd w:id="4"/>
          <w:p w14:paraId="7094210A" w14:textId="77777777" w:rsidR="002A14D1" w:rsidRDefault="002A14D1" w:rsidP="00DA6E60">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DC46335" w14:textId="77777777" w:rsidR="002A14D1" w:rsidRDefault="002A14D1" w:rsidP="00DA6E60">
            <w:pPr>
              <w:pStyle w:val="TableHeader"/>
              <w:jc w:val="left"/>
            </w:pPr>
            <w:r>
              <w:t>Data</w:t>
            </w:r>
          </w:p>
        </w:tc>
      </w:tr>
      <w:tr w:rsidR="002A14D1" w14:paraId="086E352E"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F83D" w14:textId="77777777" w:rsidR="002A14D1" w:rsidRDefault="002A14D1" w:rsidP="00DA6E60">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30045" w14:textId="77777777" w:rsidR="002A14D1" w:rsidRDefault="002A14D1" w:rsidP="00DA6E60">
            <w:pPr>
              <w:pStyle w:val="TableRow"/>
            </w:pPr>
            <w:r>
              <w:t>Selwood Academy</w:t>
            </w:r>
          </w:p>
        </w:tc>
      </w:tr>
      <w:tr w:rsidR="002A14D1" w14:paraId="01BF4BB1"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DE96" w14:textId="77777777" w:rsidR="002A14D1" w:rsidRDefault="002A14D1" w:rsidP="00DA6E60">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CECC" w14:textId="0DAEB368" w:rsidR="002A14D1" w:rsidRPr="00B15A53" w:rsidRDefault="002A14D1" w:rsidP="00DA6E60">
            <w:pPr>
              <w:pStyle w:val="TableRow"/>
            </w:pPr>
            <w:r w:rsidRPr="00B15A53">
              <w:t>6</w:t>
            </w:r>
            <w:r w:rsidR="00B15A53" w:rsidRPr="00B15A53">
              <w:t>13</w:t>
            </w:r>
            <w:r w:rsidR="00C50391" w:rsidRPr="00B15A53">
              <w:t xml:space="preserve">  </w:t>
            </w:r>
          </w:p>
        </w:tc>
      </w:tr>
      <w:tr w:rsidR="002A14D1" w14:paraId="36792EB6"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8824" w14:textId="77777777" w:rsidR="002A14D1" w:rsidRDefault="002A14D1" w:rsidP="00DA6E60">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8174" w14:textId="109C6DC6" w:rsidR="002A14D1" w:rsidRPr="00B15A53" w:rsidRDefault="002A14D1" w:rsidP="00DA6E60">
            <w:pPr>
              <w:pStyle w:val="TableRow"/>
            </w:pPr>
            <w:r w:rsidRPr="00B15A53">
              <w:t>2</w:t>
            </w:r>
            <w:r w:rsidR="00B15A53" w:rsidRPr="00B15A53">
              <w:t>7</w:t>
            </w:r>
            <w:r w:rsidRPr="00B15A53">
              <w:t>%</w:t>
            </w:r>
          </w:p>
        </w:tc>
      </w:tr>
      <w:tr w:rsidR="002A14D1" w14:paraId="1962AB4F"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1C159" w14:textId="77777777" w:rsidR="002A14D1" w:rsidRDefault="002A14D1" w:rsidP="00DA6E60">
            <w:pPr>
              <w:pStyle w:val="TableRow"/>
            </w:pPr>
            <w:r>
              <w:rPr>
                <w:szCs w:val="22"/>
              </w:rPr>
              <w:t xml:space="preserve">Academic year/years that our current pupil premium strategy plan covers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36D3D" w14:textId="497BE164" w:rsidR="002A14D1" w:rsidRDefault="002A14D1" w:rsidP="00DA6E60">
            <w:pPr>
              <w:pStyle w:val="TableRow"/>
            </w:pPr>
            <w:r>
              <w:t>202</w:t>
            </w:r>
            <w:r w:rsidR="00BA093E">
              <w:t>2</w:t>
            </w:r>
            <w:r>
              <w:t>-202</w:t>
            </w:r>
            <w:r w:rsidR="00BA093E">
              <w:t>3</w:t>
            </w:r>
          </w:p>
        </w:tc>
      </w:tr>
      <w:tr w:rsidR="002A14D1" w14:paraId="2A67E97C"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A9C5" w14:textId="77777777" w:rsidR="002A14D1" w:rsidRDefault="002A14D1" w:rsidP="00DA6E60">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F3FB" w14:textId="60740E6F" w:rsidR="002A14D1" w:rsidRDefault="00BA093E" w:rsidP="00DA6E60">
            <w:pPr>
              <w:pStyle w:val="TableRow"/>
            </w:pPr>
            <w:r>
              <w:t>September</w:t>
            </w:r>
            <w:r w:rsidR="002A14D1">
              <w:t xml:space="preserve"> 202</w:t>
            </w:r>
            <w:r>
              <w:t>2</w:t>
            </w:r>
          </w:p>
        </w:tc>
      </w:tr>
      <w:tr w:rsidR="002A14D1" w14:paraId="04C6C15E"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F2EA" w14:textId="77777777" w:rsidR="002A14D1" w:rsidRDefault="002A14D1" w:rsidP="00DA6E60">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F60A" w14:textId="31F7E8E3" w:rsidR="002A14D1" w:rsidRDefault="00BA093E" w:rsidP="00DA6E60">
            <w:pPr>
              <w:pStyle w:val="TableRow"/>
            </w:pPr>
            <w:r>
              <w:t>July</w:t>
            </w:r>
            <w:r w:rsidR="002A14D1">
              <w:t xml:space="preserve"> 202</w:t>
            </w:r>
            <w:r>
              <w:t>3</w:t>
            </w:r>
          </w:p>
        </w:tc>
      </w:tr>
      <w:tr w:rsidR="002A14D1" w14:paraId="33C01D9F"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DDA2" w14:textId="77777777" w:rsidR="002A14D1" w:rsidRDefault="002A14D1" w:rsidP="00DA6E60">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6950" w14:textId="77777777" w:rsidR="002A14D1" w:rsidRDefault="002A14D1" w:rsidP="00DA6E60">
            <w:pPr>
              <w:pStyle w:val="TableRow"/>
            </w:pPr>
            <w:r>
              <w:t>Daniel Jeffries</w:t>
            </w:r>
          </w:p>
        </w:tc>
      </w:tr>
      <w:tr w:rsidR="002A14D1" w14:paraId="15439A6F"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2464" w14:textId="77777777" w:rsidR="002A14D1" w:rsidRDefault="002A14D1" w:rsidP="00DA6E60">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030C" w14:textId="048411D4" w:rsidR="002A14D1" w:rsidRDefault="00BA093E" w:rsidP="00DA6E60">
            <w:pPr>
              <w:pStyle w:val="TableRow"/>
            </w:pPr>
            <w:r>
              <w:t>Dave Finlay</w:t>
            </w:r>
          </w:p>
        </w:tc>
      </w:tr>
      <w:tr w:rsidR="002A14D1" w14:paraId="08C0A3B4"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85B35" w14:textId="77777777" w:rsidR="002A14D1" w:rsidRDefault="002A14D1" w:rsidP="00DA6E60">
            <w:pPr>
              <w:pStyle w:val="TableRow"/>
              <w:ind w:left="0"/>
            </w:pPr>
            <w:r>
              <w:rPr>
                <w:szCs w:val="22"/>
              </w:rPr>
              <w:t xml:space="preserve">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DF26" w14:textId="77777777" w:rsidR="002A14D1" w:rsidRDefault="002A14D1" w:rsidP="00DA6E60">
            <w:pPr>
              <w:pStyle w:val="TableRow"/>
            </w:pPr>
            <w:proofErr w:type="spellStart"/>
            <w:r>
              <w:t>Kyrstie</w:t>
            </w:r>
            <w:proofErr w:type="spellEnd"/>
            <w:r>
              <w:t xml:space="preserve"> Kirkwood</w:t>
            </w:r>
          </w:p>
        </w:tc>
      </w:tr>
    </w:tbl>
    <w:p w14:paraId="2A7D54D3" w14:textId="16ADAB9F" w:rsidR="00E66558" w:rsidRDefault="009D71E8">
      <w:pPr>
        <w:spacing w:before="480" w:line="240" w:lineRule="auto"/>
        <w:rPr>
          <w:b/>
          <w:color w:val="104F75"/>
          <w:sz w:val="32"/>
          <w:szCs w:val="32"/>
        </w:rPr>
      </w:pPr>
      <w:r>
        <w:rPr>
          <w:b/>
          <w:color w:val="104F75"/>
          <w:sz w:val="32"/>
          <w:szCs w:val="32"/>
        </w:rPr>
        <w:t>Funding overview</w:t>
      </w:r>
      <w:r w:rsidR="00C50391">
        <w:rPr>
          <w:b/>
          <w:color w:val="104F75"/>
          <w:sz w:val="32"/>
          <w:szCs w:val="32"/>
        </w:rPr>
        <w:t xml:space="preserve"> </w:t>
      </w:r>
    </w:p>
    <w:tbl>
      <w:tblPr>
        <w:tblW w:w="9491" w:type="dxa"/>
        <w:tblInd w:w="-5" w:type="dxa"/>
        <w:tblCellMar>
          <w:left w:w="10" w:type="dxa"/>
          <w:right w:w="10" w:type="dxa"/>
        </w:tblCellMar>
        <w:tblLook w:val="04A0" w:firstRow="1" w:lastRow="0" w:firstColumn="1" w:lastColumn="0" w:noHBand="0" w:noVBand="1"/>
      </w:tblPr>
      <w:tblGrid>
        <w:gridCol w:w="6519"/>
        <w:gridCol w:w="2972"/>
      </w:tblGrid>
      <w:tr w:rsidR="00DC5805" w14:paraId="0CF9FEDA" w14:textId="77777777" w:rsidTr="001705B4">
        <w:trPr>
          <w:trHeight w:val="374"/>
        </w:trPr>
        <w:tc>
          <w:tcPr>
            <w:tcW w:w="65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F2A3227" w14:textId="77777777" w:rsidR="00DC5805" w:rsidRDefault="00DC5805" w:rsidP="00DA6E60">
            <w:pPr>
              <w:pStyle w:val="TableRow"/>
            </w:pPr>
            <w:r>
              <w:rPr>
                <w:b/>
              </w:rPr>
              <w:t>Detail</w:t>
            </w:r>
          </w:p>
        </w:tc>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0D2AB14" w14:textId="77777777" w:rsidR="00DC5805" w:rsidRDefault="00DC5805" w:rsidP="00DA6E60">
            <w:pPr>
              <w:pStyle w:val="TableRow"/>
            </w:pPr>
            <w:r>
              <w:rPr>
                <w:b/>
              </w:rPr>
              <w:t>Amount</w:t>
            </w:r>
          </w:p>
        </w:tc>
      </w:tr>
      <w:tr w:rsidR="00DC5805" w14:paraId="4BF95E73" w14:textId="77777777" w:rsidTr="001705B4">
        <w:trPr>
          <w:trHeight w:val="374"/>
        </w:trPr>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2A9D7" w14:textId="77777777" w:rsidR="00DC5805" w:rsidRDefault="00DC5805" w:rsidP="00DA6E60">
            <w:pPr>
              <w:pStyle w:val="TableRow"/>
            </w:pPr>
            <w:r>
              <w:t>Pupil premium funding allocation this academic year</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A833B" w14:textId="07671515" w:rsidR="00DC5805" w:rsidRPr="00BA093E" w:rsidRDefault="00740E0E" w:rsidP="00AA15F6">
            <w:pPr>
              <w:pStyle w:val="TableRow"/>
              <w:rPr>
                <w:highlight w:val="yellow"/>
              </w:rPr>
            </w:pPr>
            <w:r w:rsidRPr="00740E0E">
              <w:rPr>
                <w:rFonts w:ascii="Calibri" w:hAnsi="Calibri" w:cs="Calibri"/>
                <w:color w:val="242424"/>
                <w:szCs w:val="22"/>
                <w:shd w:val="clear" w:color="auto" w:fill="FFFFFF"/>
              </w:rPr>
              <w:t>£186,785</w:t>
            </w:r>
          </w:p>
        </w:tc>
      </w:tr>
      <w:tr w:rsidR="00DC5805" w14:paraId="2AB77AE1" w14:textId="77777777" w:rsidTr="001705B4">
        <w:trPr>
          <w:trHeight w:val="374"/>
        </w:trPr>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950E6" w14:textId="77777777" w:rsidR="00DC5805" w:rsidRDefault="00DC5805" w:rsidP="00DA6E60">
            <w:pPr>
              <w:pStyle w:val="TableRow"/>
            </w:pPr>
            <w:r>
              <w:t>Recovery premium funding allocation this academic year</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4957" w14:textId="03F50049" w:rsidR="00DC5805" w:rsidRPr="00C50391" w:rsidRDefault="00DC5805" w:rsidP="00DA6E60">
            <w:pPr>
              <w:pStyle w:val="TableRow"/>
            </w:pPr>
            <w:r w:rsidRPr="00C50391">
              <w:t>£</w:t>
            </w:r>
            <w:r w:rsidR="00B36165" w:rsidRPr="00C50391">
              <w:t>138,000</w:t>
            </w:r>
          </w:p>
        </w:tc>
      </w:tr>
      <w:tr w:rsidR="00DD2576" w14:paraId="3A091E01" w14:textId="77777777" w:rsidTr="001705B4">
        <w:trPr>
          <w:trHeight w:val="374"/>
        </w:trPr>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03FF1" w14:textId="47D76BF8" w:rsidR="00DD2576" w:rsidRDefault="00B36165" w:rsidP="00DA6E60">
            <w:pPr>
              <w:pStyle w:val="TableRow"/>
            </w:pPr>
            <w:r>
              <w:t xml:space="preserve">National Tutoring program </w:t>
            </w:r>
            <w:r w:rsidR="00FF79BC">
              <w:t>funding</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C902" w14:textId="492CDE87" w:rsidR="00DD2576" w:rsidRPr="00C50391" w:rsidRDefault="00F660BE" w:rsidP="00DA6E60">
            <w:pPr>
              <w:pStyle w:val="TableRow"/>
            </w:pPr>
            <w:r w:rsidRPr="00C50391">
              <w:t>£</w:t>
            </w:r>
            <w:r w:rsidR="00B36165" w:rsidRPr="00C50391">
              <w:t>29,000</w:t>
            </w:r>
          </w:p>
        </w:tc>
      </w:tr>
      <w:tr w:rsidR="00DC5805" w14:paraId="104717D8" w14:textId="77777777" w:rsidTr="001705B4">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668B" w14:textId="77777777" w:rsidR="00DC5805" w:rsidRDefault="00DC5805" w:rsidP="00DA6E60">
            <w:pPr>
              <w:pStyle w:val="TableRow"/>
              <w:rPr>
                <w:b/>
              </w:rPr>
            </w:pPr>
            <w:r>
              <w:rPr>
                <w:b/>
              </w:rPr>
              <w:t>Total budget for this academic year</w:t>
            </w:r>
          </w:p>
          <w:p w14:paraId="1B9BA988" w14:textId="77777777" w:rsidR="00DC5805" w:rsidRDefault="00DC5805" w:rsidP="00DA6E60">
            <w:pPr>
              <w:pStyle w:val="TableRow"/>
            </w:pPr>
            <w:r>
              <w:t>If your school is an academy in a trust that pools this funding, state the amount available to your school this academic year</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38160" w14:textId="77BE169F" w:rsidR="00DC5805" w:rsidRPr="00740E0E" w:rsidRDefault="00740E0E" w:rsidP="00AA15F6">
            <w:pPr>
              <w:pStyle w:val="TableRow"/>
              <w:rPr>
                <w:highlight w:val="yellow"/>
              </w:rPr>
            </w:pPr>
            <w:r w:rsidRPr="00740E0E">
              <w:t>£353,785</w:t>
            </w:r>
          </w:p>
        </w:tc>
      </w:tr>
    </w:tbl>
    <w:p w14:paraId="4A8298BC" w14:textId="77777777" w:rsidR="00DC5805" w:rsidRDefault="00DC5805">
      <w:pPr>
        <w:spacing w:before="480" w:line="240" w:lineRule="auto"/>
        <w:rPr>
          <w:b/>
          <w:color w:val="104F75"/>
          <w:sz w:val="32"/>
          <w:szCs w:val="32"/>
        </w:rPr>
      </w:pPr>
    </w:p>
    <w:p w14:paraId="2080C980" w14:textId="77777777" w:rsidR="00FA09A1" w:rsidRDefault="009D71E8" w:rsidP="00162234">
      <w:pPr>
        <w:pStyle w:val="Heading1"/>
      </w:pPr>
      <w:r>
        <w:lastRenderedPageBreak/>
        <w:t>Part A: Pupil premium strategy plan</w:t>
      </w:r>
      <w:bookmarkStart w:id="15" w:name="_Toc357771640"/>
      <w:bookmarkStart w:id="16" w:name="_Toc346793418"/>
    </w:p>
    <w:p w14:paraId="43232F52" w14:textId="264CA315" w:rsidR="00DC5805" w:rsidRDefault="00E907A3" w:rsidP="00162234">
      <w:pPr>
        <w:pStyle w:val="Heading1"/>
      </w:pPr>
      <w:r>
        <w:rPr>
          <w:noProof/>
        </w:rPr>
        <mc:AlternateContent>
          <mc:Choice Requires="wps">
            <w:drawing>
              <wp:anchor distT="45720" distB="45720" distL="114300" distR="114300" simplePos="0" relativeHeight="251659264" behindDoc="0" locked="0" layoutInCell="1" allowOverlap="1" wp14:anchorId="65EFC3EE" wp14:editId="1E3D97C2">
                <wp:simplePos x="0" y="0"/>
                <wp:positionH relativeFrom="column">
                  <wp:posOffset>-18415</wp:posOffset>
                </wp:positionH>
                <wp:positionV relativeFrom="paragraph">
                  <wp:posOffset>636905</wp:posOffset>
                </wp:positionV>
                <wp:extent cx="618744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04620"/>
                        </a:xfrm>
                        <a:prstGeom prst="rect">
                          <a:avLst/>
                        </a:prstGeom>
                        <a:solidFill>
                          <a:srgbClr val="FFFFFF"/>
                        </a:solidFill>
                        <a:ln w="9525">
                          <a:solidFill>
                            <a:srgbClr val="000000"/>
                          </a:solidFill>
                          <a:miter lim="800000"/>
                          <a:headEnd/>
                          <a:tailEnd/>
                        </a:ln>
                      </wps:spPr>
                      <wps:txbx>
                        <w:txbxContent>
                          <w:p w14:paraId="7638C9D6" w14:textId="77777777" w:rsidR="006019F0" w:rsidRPr="006019F0" w:rsidRDefault="006019F0" w:rsidP="006019F0">
                            <w:pPr>
                              <w:spacing w:before="120" w:after="240" w:line="240" w:lineRule="auto"/>
                              <w:rPr>
                                <w:rFonts w:eastAsia="Times New Roman" w:cstheme="minorHAnsi"/>
                                <w:sz w:val="24"/>
                                <w:szCs w:val="24"/>
                              </w:rPr>
                            </w:pPr>
                            <w:r w:rsidRPr="006019F0">
                              <w:rPr>
                                <w:rFonts w:eastAsia="Times New Roman" w:cstheme="minorHAnsi"/>
                                <w:color w:val="000000"/>
                                <w:sz w:val="24"/>
                                <w:szCs w:val="24"/>
                              </w:rPr>
                              <w:t>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7BA3FB25" w14:textId="77777777" w:rsidR="006019F0" w:rsidRPr="006019F0" w:rsidRDefault="006019F0" w:rsidP="006019F0">
                            <w:pPr>
                              <w:spacing w:before="120" w:after="240" w:line="240" w:lineRule="auto"/>
                              <w:rPr>
                                <w:rFonts w:eastAsia="Times New Roman" w:cstheme="minorHAnsi"/>
                                <w:sz w:val="24"/>
                                <w:szCs w:val="24"/>
                              </w:rPr>
                            </w:pPr>
                            <w:r w:rsidRPr="006019F0">
                              <w:rPr>
                                <w:rFonts w:eastAsia="Times New Roman" w:cstheme="minorHAnsi"/>
                                <w:color w:val="000000"/>
                                <w:sz w:val="24"/>
                                <w:szCs w:val="24"/>
                              </w:rPr>
                              <w:t>We will consider the challenges faced by vulnerable pupils, such as those who have poor attendance, a social worker and young carers. The activities outlined in this statement are intended to support their needs, regardless of whether they are disadvantaged or not.</w:t>
                            </w:r>
                          </w:p>
                          <w:p w14:paraId="5CE6A390" w14:textId="77777777"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p>
                          <w:p w14:paraId="171DC586" w14:textId="77777777" w:rsidR="006019F0" w:rsidRPr="006019F0" w:rsidRDefault="006019F0" w:rsidP="006019F0">
                            <w:pPr>
                              <w:spacing w:line="240" w:lineRule="auto"/>
                              <w:rPr>
                                <w:rFonts w:eastAsia="Times New Roman" w:cstheme="minorHAnsi"/>
                                <w:sz w:val="24"/>
                                <w:szCs w:val="24"/>
                              </w:rPr>
                            </w:pPr>
                            <w:r w:rsidRPr="006019F0">
                              <w:rPr>
                                <w:rFonts w:eastAsia="Times New Roman" w:cstheme="minorHAnsi"/>
                                <w:color w:val="000000"/>
                                <w:sz w:val="24"/>
                                <w:szCs w:val="24"/>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C2F62F8" w14:textId="77777777" w:rsidR="006019F0" w:rsidRPr="006019F0" w:rsidRDefault="006019F0" w:rsidP="006019F0">
                            <w:pPr>
                              <w:numPr>
                                <w:ilvl w:val="0"/>
                                <w:numId w:val="19"/>
                              </w:numPr>
                              <w:spacing w:after="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ensure disadvantaged pupils are challenged in the work that they’re set</w:t>
                            </w:r>
                          </w:p>
                          <w:p w14:paraId="70F4B442" w14:textId="77777777" w:rsidR="006019F0" w:rsidRPr="006019F0" w:rsidRDefault="006019F0" w:rsidP="006019F0">
                            <w:pPr>
                              <w:numPr>
                                <w:ilvl w:val="0"/>
                                <w:numId w:val="19"/>
                              </w:numPr>
                              <w:spacing w:after="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act early to intervene at the point need is identified</w:t>
                            </w:r>
                          </w:p>
                          <w:p w14:paraId="76B44507" w14:textId="77777777" w:rsidR="006019F0" w:rsidRPr="006019F0" w:rsidRDefault="006019F0" w:rsidP="006019F0">
                            <w:pPr>
                              <w:numPr>
                                <w:ilvl w:val="0"/>
                                <w:numId w:val="19"/>
                              </w:numPr>
                              <w:spacing w:after="24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adopt a whole school approach in which all staff take responsibility for disadvantaged pupils’ outcomes and raise expectations of what they can achieve</w:t>
                            </w:r>
                          </w:p>
                          <w:p w14:paraId="7CC923E3" w14:textId="21FDBF8E" w:rsidR="006019F0" w:rsidRPr="006019F0" w:rsidRDefault="006019F0" w:rsidP="006019F0">
                            <w:pPr>
                              <w:spacing w:after="240" w:line="240" w:lineRule="auto"/>
                              <w:rPr>
                                <w:rFonts w:eastAsia="Times New Roman" w:cstheme="minorHAnsi"/>
                                <w:sz w:val="24"/>
                                <w:szCs w:val="24"/>
                              </w:rPr>
                            </w:pPr>
                            <w:r w:rsidRPr="006019F0">
                              <w:rPr>
                                <w:rFonts w:cstheme="minorHAnsi"/>
                                <w:sz w:val="24"/>
                              </w:rPr>
                              <w:t>Our ultimate aim is to reduce inequality in academic outcomes, attendance and attitudes to learning; to enable all to let their light shine.</w:t>
                            </w:r>
                          </w:p>
                          <w:p w14:paraId="06E558BC" w14:textId="77777777"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We aim to do this through</w:t>
                            </w:r>
                          </w:p>
                          <w:p w14:paraId="2789C6FE" w14:textId="77777777" w:rsidR="006019F0" w:rsidRPr="006019F0" w:rsidRDefault="006019F0" w:rsidP="006019F0">
                            <w:pPr>
                              <w:numPr>
                                <w:ilvl w:val="0"/>
                                <w:numId w:val="21"/>
                              </w:numPr>
                              <w:spacing w:before="280"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Ensuring that teaching and learning opportunities meet the needs of all the pupils</w:t>
                            </w:r>
                          </w:p>
                          <w:p w14:paraId="6BA3B591" w14:textId="77777777" w:rsidR="006019F0" w:rsidRPr="006019F0" w:rsidRDefault="006019F0" w:rsidP="006019F0">
                            <w:pPr>
                              <w:numPr>
                                <w:ilvl w:val="0"/>
                                <w:numId w:val="21"/>
                              </w:numPr>
                              <w:spacing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Ensuring that appropriate provision is made for pupils who belong to vulnerable groups, this includes ensuring that the needs of socially disadvantaged pupils are adequately assessed and addressed</w:t>
                            </w:r>
                          </w:p>
                          <w:p w14:paraId="02797DD5" w14:textId="77777777" w:rsidR="006019F0" w:rsidRPr="006019F0" w:rsidRDefault="006019F0" w:rsidP="006019F0">
                            <w:pPr>
                              <w:numPr>
                                <w:ilvl w:val="0"/>
                                <w:numId w:val="21"/>
                              </w:numPr>
                              <w:spacing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When making provision for socially disadvantaged pupils, we recognise that not all pupils who receive free school meals will be socially disadvantaged</w:t>
                            </w:r>
                          </w:p>
                          <w:p w14:paraId="09DCF520" w14:textId="77777777" w:rsidR="006019F0" w:rsidRPr="006019F0" w:rsidRDefault="006019F0" w:rsidP="006019F0">
                            <w:pPr>
                              <w:spacing w:after="0" w:line="240" w:lineRule="auto"/>
                              <w:rPr>
                                <w:rFonts w:eastAsia="Times New Roman" w:cstheme="minorHAnsi"/>
                                <w:sz w:val="24"/>
                                <w:szCs w:val="24"/>
                              </w:rPr>
                            </w:pPr>
                          </w:p>
                          <w:p w14:paraId="7CB48E90" w14:textId="327AACF9"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At Selwood we recognise that not all pupils who are socially disadvantaged are registered or qualify for free school meals. We reserve the right to allocate Pupil Premium funding to support any pupil or groups of pupils the school has legitimately identified as being socially disadvantaged.</w:t>
                            </w:r>
                          </w:p>
                          <w:p w14:paraId="24D6FDAB" w14:textId="77777777" w:rsidR="006019F0" w:rsidRPr="001744C9" w:rsidRDefault="006019F0" w:rsidP="001744C9">
                            <w:pP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FC3EE" id="_x0000_t202" coordsize="21600,21600" o:spt="202" path="m,l,21600r21600,l21600,xe">
                <v:stroke joinstyle="miter"/>
                <v:path gradientshapeok="t" o:connecttype="rect"/>
              </v:shapetype>
              <v:shape id="Text Box 2" o:spid="_x0000_s1026" type="#_x0000_t202" style="position:absolute;margin-left:-1.45pt;margin-top:50.15pt;width:48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m4Ig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Il8tZzN0MfTls+lsUST1Miifn1vnw3tuFImHijoUP8HD&#10;8cGHmA6UzyHxN2+kaHZCymS4fb2VjhwBG2WXVqrgRZjUpK/ozbyYjwz8FWKa1p8glAjY8VKoiq4u&#10;QVBG3t7pJvVjACHHM6Ys9ZnIyN3IYhjq4SxMbZoTUurM2Nk4iXjojPtBSY9dXVH//QCOUyI/aJTl&#10;Jk8chmTM5kvkkLhrT33tAc0QqqKBkvG4DWl0EmH2DuXbiURs1HnM5Jwrdmvi+zxZcRyu7RT1a/43&#10;PwEAAP//AwBQSwMEFAAGAAgAAAAhAHxHQ7reAAAACgEAAA8AAABkcnMvZG93bnJldi54bWxMj01P&#10;wzAMhu9I/IfISFymLVmrDlaaTjBpJ04r4541pq1onNJkW/fvMSd288ej14+LzeR6ccYxdJ40LBcK&#10;BFLtbUeNhsPHbv4MIkRD1vSeUMMVA2zK+7vC5NZfaI/nKjaCQyjkRkMb45BLGeoWnQkLPyDx7suP&#10;zkRux0ba0Vw43PUyUWolnemIL7RmwG2L9Xd1chpWP1U6e/+0M9pfd29j7TK7PWRaPz5Mry8gIk7x&#10;H4Y/fVaHkp2O/kQ2iF7DPFkzyXOlUhAMrJ+WGYijhjThQpaFvH2h/AUAAP//AwBQSwECLQAUAAYA&#10;CAAAACEAtoM4kv4AAADhAQAAEwAAAAAAAAAAAAAAAAAAAAAAW0NvbnRlbnRfVHlwZXNdLnhtbFBL&#10;AQItABQABgAIAAAAIQA4/SH/1gAAAJQBAAALAAAAAAAAAAAAAAAAAC8BAABfcmVscy8ucmVsc1BL&#10;AQItABQABgAIAAAAIQCJC2m4IgIAAEcEAAAOAAAAAAAAAAAAAAAAAC4CAABkcnMvZTJvRG9jLnht&#10;bFBLAQItABQABgAIAAAAIQB8R0O63gAAAAoBAAAPAAAAAAAAAAAAAAAAAHwEAABkcnMvZG93bnJl&#10;di54bWxQSwUGAAAAAAQABADzAAAAhwUAAAAA&#10;">
                <v:textbox style="mso-fit-shape-to-text:t">
                  <w:txbxContent>
                    <w:p w14:paraId="7638C9D6" w14:textId="77777777" w:rsidR="006019F0" w:rsidRPr="006019F0" w:rsidRDefault="006019F0" w:rsidP="006019F0">
                      <w:pPr>
                        <w:spacing w:before="120" w:after="240" w:line="240" w:lineRule="auto"/>
                        <w:rPr>
                          <w:rFonts w:eastAsia="Times New Roman" w:cstheme="minorHAnsi"/>
                          <w:sz w:val="24"/>
                          <w:szCs w:val="24"/>
                        </w:rPr>
                      </w:pPr>
                      <w:r w:rsidRPr="006019F0">
                        <w:rPr>
                          <w:rFonts w:eastAsia="Times New Roman" w:cstheme="minorHAnsi"/>
                          <w:color w:val="000000"/>
                          <w:sz w:val="24"/>
                          <w:szCs w:val="24"/>
                        </w:rPr>
                        <w:t>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7BA3FB25" w14:textId="77777777" w:rsidR="006019F0" w:rsidRPr="006019F0" w:rsidRDefault="006019F0" w:rsidP="006019F0">
                      <w:pPr>
                        <w:spacing w:before="120" w:after="240" w:line="240" w:lineRule="auto"/>
                        <w:rPr>
                          <w:rFonts w:eastAsia="Times New Roman" w:cstheme="minorHAnsi"/>
                          <w:sz w:val="24"/>
                          <w:szCs w:val="24"/>
                        </w:rPr>
                      </w:pPr>
                      <w:r w:rsidRPr="006019F0">
                        <w:rPr>
                          <w:rFonts w:eastAsia="Times New Roman" w:cstheme="minorHAnsi"/>
                          <w:color w:val="000000"/>
                          <w:sz w:val="24"/>
                          <w:szCs w:val="24"/>
                        </w:rPr>
                        <w:t>We will consider the challenges faced by vulnerable pupils, such as those who have poor attendance, a social worker and young carers. The activities outlined in this statement are intended to support their needs, regardless of whether they are disadvantaged or not.</w:t>
                      </w:r>
                    </w:p>
                    <w:p w14:paraId="5CE6A390" w14:textId="77777777"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p>
                    <w:p w14:paraId="171DC586" w14:textId="77777777" w:rsidR="006019F0" w:rsidRPr="006019F0" w:rsidRDefault="006019F0" w:rsidP="006019F0">
                      <w:pPr>
                        <w:spacing w:line="240" w:lineRule="auto"/>
                        <w:rPr>
                          <w:rFonts w:eastAsia="Times New Roman" w:cstheme="minorHAnsi"/>
                          <w:sz w:val="24"/>
                          <w:szCs w:val="24"/>
                        </w:rPr>
                      </w:pPr>
                      <w:r w:rsidRPr="006019F0">
                        <w:rPr>
                          <w:rFonts w:eastAsia="Times New Roman" w:cstheme="minorHAnsi"/>
                          <w:color w:val="000000"/>
                          <w:sz w:val="24"/>
                          <w:szCs w:val="24"/>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C2F62F8" w14:textId="77777777" w:rsidR="006019F0" w:rsidRPr="006019F0" w:rsidRDefault="006019F0" w:rsidP="006019F0">
                      <w:pPr>
                        <w:numPr>
                          <w:ilvl w:val="0"/>
                          <w:numId w:val="19"/>
                        </w:numPr>
                        <w:spacing w:after="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ensure disadvantaged pupils are challenged in the work that they’re set</w:t>
                      </w:r>
                    </w:p>
                    <w:p w14:paraId="70F4B442" w14:textId="77777777" w:rsidR="006019F0" w:rsidRPr="006019F0" w:rsidRDefault="006019F0" w:rsidP="006019F0">
                      <w:pPr>
                        <w:numPr>
                          <w:ilvl w:val="0"/>
                          <w:numId w:val="19"/>
                        </w:numPr>
                        <w:spacing w:after="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act early to intervene at the point need is identified</w:t>
                      </w:r>
                    </w:p>
                    <w:p w14:paraId="76B44507" w14:textId="77777777" w:rsidR="006019F0" w:rsidRPr="006019F0" w:rsidRDefault="006019F0" w:rsidP="006019F0">
                      <w:pPr>
                        <w:numPr>
                          <w:ilvl w:val="0"/>
                          <w:numId w:val="19"/>
                        </w:numPr>
                        <w:spacing w:after="24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adopt a whole school approach in which all staff take responsibility for disadvantaged pupils’ outcomes and raise expectations of what they can achieve</w:t>
                      </w:r>
                    </w:p>
                    <w:p w14:paraId="7CC923E3" w14:textId="21FDBF8E" w:rsidR="006019F0" w:rsidRPr="006019F0" w:rsidRDefault="006019F0" w:rsidP="006019F0">
                      <w:pPr>
                        <w:spacing w:after="240" w:line="240" w:lineRule="auto"/>
                        <w:rPr>
                          <w:rFonts w:eastAsia="Times New Roman" w:cstheme="minorHAnsi"/>
                          <w:sz w:val="24"/>
                          <w:szCs w:val="24"/>
                        </w:rPr>
                      </w:pPr>
                      <w:r w:rsidRPr="006019F0">
                        <w:rPr>
                          <w:rFonts w:cstheme="minorHAnsi"/>
                          <w:sz w:val="24"/>
                        </w:rPr>
                        <w:t>Our ultimate aim is to reduce inequality in academic outcomes, attendance and attitudes to learning; to enable all to let their light shine.</w:t>
                      </w:r>
                    </w:p>
                    <w:p w14:paraId="06E558BC" w14:textId="77777777"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We aim to do this through</w:t>
                      </w:r>
                    </w:p>
                    <w:p w14:paraId="2789C6FE" w14:textId="77777777" w:rsidR="006019F0" w:rsidRPr="006019F0" w:rsidRDefault="006019F0" w:rsidP="006019F0">
                      <w:pPr>
                        <w:numPr>
                          <w:ilvl w:val="0"/>
                          <w:numId w:val="21"/>
                        </w:numPr>
                        <w:spacing w:before="280"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Ensuring that teaching and learning opportunities meet the needs of all the pupils</w:t>
                      </w:r>
                    </w:p>
                    <w:p w14:paraId="6BA3B591" w14:textId="77777777" w:rsidR="006019F0" w:rsidRPr="006019F0" w:rsidRDefault="006019F0" w:rsidP="006019F0">
                      <w:pPr>
                        <w:numPr>
                          <w:ilvl w:val="0"/>
                          <w:numId w:val="21"/>
                        </w:numPr>
                        <w:spacing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Ensuring that appropriate provision is made for pupils who belong to vulnerable groups, this includes ensuring that the needs of socially disadvantaged pupils are adequately assessed and addressed</w:t>
                      </w:r>
                    </w:p>
                    <w:p w14:paraId="02797DD5" w14:textId="77777777" w:rsidR="006019F0" w:rsidRPr="006019F0" w:rsidRDefault="006019F0" w:rsidP="006019F0">
                      <w:pPr>
                        <w:numPr>
                          <w:ilvl w:val="0"/>
                          <w:numId w:val="21"/>
                        </w:numPr>
                        <w:spacing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When making provision for socially disadvantaged pupils, we recognise that not all pupils who receive free school meals will be socially disadvantaged</w:t>
                      </w:r>
                    </w:p>
                    <w:p w14:paraId="09DCF520" w14:textId="77777777" w:rsidR="006019F0" w:rsidRPr="006019F0" w:rsidRDefault="006019F0" w:rsidP="006019F0">
                      <w:pPr>
                        <w:spacing w:after="0" w:line="240" w:lineRule="auto"/>
                        <w:rPr>
                          <w:rFonts w:eastAsia="Times New Roman" w:cstheme="minorHAnsi"/>
                          <w:sz w:val="24"/>
                          <w:szCs w:val="24"/>
                        </w:rPr>
                      </w:pPr>
                    </w:p>
                    <w:p w14:paraId="7CB48E90" w14:textId="327AACF9"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At Selwood we recognise that not all pupils who are socially disadvantaged are registered or qualify for free school meals. We reserve the right to allocate Pupil Premium funding to support any pupil or groups of pupils the school has legitimately identified as being socially disadvantaged.</w:t>
                      </w:r>
                    </w:p>
                    <w:p w14:paraId="24D6FDAB" w14:textId="77777777" w:rsidR="006019F0" w:rsidRPr="001744C9" w:rsidRDefault="006019F0" w:rsidP="001744C9">
                      <w:pPr>
                        <w:rPr>
                          <w:sz w:val="24"/>
                        </w:rPr>
                      </w:pPr>
                    </w:p>
                  </w:txbxContent>
                </v:textbox>
                <w10:wrap type="square"/>
              </v:shape>
            </w:pict>
          </mc:Fallback>
        </mc:AlternateContent>
      </w:r>
      <w:r w:rsidR="00DC5805">
        <w:t>Statement of Intent</w:t>
      </w:r>
    </w:p>
    <w:p w14:paraId="730DB3C4" w14:textId="77777777" w:rsidR="00A82DCF" w:rsidRDefault="00A82DCF" w:rsidP="00162234">
      <w:pPr>
        <w:pStyle w:val="Heading1"/>
      </w:pPr>
    </w:p>
    <w:p w14:paraId="2A7D54EB" w14:textId="2C9BE0D9" w:rsidR="00E66558" w:rsidRDefault="009D71E8" w:rsidP="00162234">
      <w:pPr>
        <w:pStyle w:val="Heading1"/>
      </w:pPr>
      <w:r>
        <w:lastRenderedPageBreak/>
        <w:t>Challenges</w:t>
      </w:r>
    </w:p>
    <w:p w14:paraId="2A7D54EC" w14:textId="4253FBC4" w:rsidR="00E66558" w:rsidRDefault="009D71E8">
      <w:pPr>
        <w:spacing w:before="120" w:line="240" w:lineRule="auto"/>
        <w:textAlignment w:val="baseline"/>
        <w:outlineLvl w:val="0"/>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p w14:paraId="0ECCC675" w14:textId="77777777" w:rsidR="00A968FB" w:rsidRDefault="00A968FB">
      <w:pPr>
        <w:spacing w:before="120" w:line="240" w:lineRule="auto"/>
        <w:textAlignment w:val="baseline"/>
        <w:outlineLvl w:val="0"/>
      </w:pPr>
    </w:p>
    <w:tbl>
      <w:tblPr>
        <w:tblW w:w="5127" w:type="pct"/>
        <w:tblCellMar>
          <w:left w:w="10" w:type="dxa"/>
          <w:right w:w="10" w:type="dxa"/>
        </w:tblCellMar>
        <w:tblLook w:val="04A0" w:firstRow="1" w:lastRow="0" w:firstColumn="1" w:lastColumn="0" w:noHBand="0" w:noVBand="1"/>
      </w:tblPr>
      <w:tblGrid>
        <w:gridCol w:w="3256"/>
        <w:gridCol w:w="6471"/>
      </w:tblGrid>
      <w:tr w:rsidR="00E66558" w14:paraId="2A7D54EF" w14:textId="77777777" w:rsidTr="00CB3D5B">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64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907A3" w14:paraId="2A7D54F2" w14:textId="77777777" w:rsidTr="0083705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E6F11DD" w:rsidR="00E907A3" w:rsidRDefault="00E907A3">
            <w:pPr>
              <w:pStyle w:val="TableRow"/>
              <w:rPr>
                <w:sz w:val="22"/>
                <w:szCs w:val="22"/>
              </w:rPr>
            </w:pPr>
            <w:r>
              <w:rPr>
                <w:b/>
              </w:rPr>
              <w:t>1 Attainment Reading</w:t>
            </w:r>
          </w:p>
        </w:tc>
        <w:tc>
          <w:tcPr>
            <w:tcW w:w="64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4F1" w14:textId="1F4F47F8" w:rsidR="00E907A3" w:rsidRPr="00CB3D5B" w:rsidRDefault="00E907A3" w:rsidP="00837056">
            <w:pPr>
              <w:pStyle w:val="TableRowCentered"/>
              <w:jc w:val="left"/>
            </w:pPr>
            <w:r w:rsidRPr="007B1BD7">
              <w:rPr>
                <w:szCs w:val="24"/>
              </w:rPr>
              <w:t xml:space="preserve">A </w:t>
            </w:r>
            <w:r>
              <w:rPr>
                <w:szCs w:val="24"/>
              </w:rPr>
              <w:t xml:space="preserve">significant </w:t>
            </w:r>
            <w:r w:rsidRPr="007B1BD7">
              <w:rPr>
                <w:szCs w:val="24"/>
              </w:rPr>
              <w:t xml:space="preserve">gap in attainment </w:t>
            </w:r>
            <w:r>
              <w:rPr>
                <w:szCs w:val="24"/>
              </w:rPr>
              <w:t>remains</w:t>
            </w:r>
            <w:r w:rsidRPr="007B1BD7">
              <w:rPr>
                <w:szCs w:val="24"/>
              </w:rPr>
              <w:t xml:space="preserve"> between pupils eligible for PPG funding and those who are not. This gap exists on entry in year 5 in literacy and numeracy</w:t>
            </w:r>
            <w:r>
              <w:rPr>
                <w:szCs w:val="24"/>
              </w:rPr>
              <w:t>.</w:t>
            </w:r>
          </w:p>
        </w:tc>
      </w:tr>
      <w:tr w:rsidR="00E907A3" w14:paraId="2A7D54F5" w14:textId="77777777" w:rsidTr="0083705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E5C62F5" w:rsidR="00E907A3" w:rsidRPr="000B154A" w:rsidRDefault="00E907A3">
            <w:pPr>
              <w:pStyle w:val="TableRow"/>
              <w:rPr>
                <w:b/>
                <w:sz w:val="22"/>
                <w:szCs w:val="22"/>
              </w:rPr>
            </w:pPr>
            <w:r>
              <w:rPr>
                <w:b/>
                <w:szCs w:val="22"/>
              </w:rPr>
              <w:t xml:space="preserve">2 </w:t>
            </w:r>
            <w:r>
              <w:rPr>
                <w:b/>
              </w:rPr>
              <w:t>Attainment Writing</w:t>
            </w:r>
          </w:p>
        </w:tc>
        <w:tc>
          <w:tcPr>
            <w:tcW w:w="6471"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4F4" w14:textId="5597100B" w:rsidR="00E907A3" w:rsidRDefault="00E907A3">
            <w:pPr>
              <w:pStyle w:val="TableRowCentered"/>
              <w:jc w:val="left"/>
              <w:rPr>
                <w:sz w:val="22"/>
                <w:szCs w:val="22"/>
              </w:rPr>
            </w:pPr>
          </w:p>
        </w:tc>
      </w:tr>
      <w:tr w:rsidR="00E907A3" w14:paraId="2A7D54F8" w14:textId="77777777" w:rsidTr="00837056">
        <w:trPr>
          <w:trHeight w:val="65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890ADC2" w:rsidR="00E907A3" w:rsidRDefault="00E907A3">
            <w:pPr>
              <w:pStyle w:val="TableRow"/>
              <w:rPr>
                <w:sz w:val="22"/>
                <w:szCs w:val="22"/>
              </w:rPr>
            </w:pPr>
            <w:r>
              <w:rPr>
                <w:b/>
              </w:rPr>
              <w:t>3 Attainment Maths</w:t>
            </w:r>
          </w:p>
        </w:tc>
        <w:tc>
          <w:tcPr>
            <w:tcW w:w="64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E44DC6D" w:rsidR="00E907A3" w:rsidRDefault="00E907A3">
            <w:pPr>
              <w:pStyle w:val="TableRowCentered"/>
              <w:jc w:val="left"/>
              <w:rPr>
                <w:sz w:val="22"/>
                <w:szCs w:val="22"/>
              </w:rPr>
            </w:pPr>
          </w:p>
        </w:tc>
      </w:tr>
      <w:tr w:rsidR="00E66558" w14:paraId="2A7D54FB" w14:textId="77777777" w:rsidTr="00CB3D5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637C84D" w:rsidR="00E66558" w:rsidRPr="00CB3D5B" w:rsidRDefault="009D71E8">
            <w:pPr>
              <w:pStyle w:val="TableRow"/>
              <w:rPr>
                <w:b/>
                <w:sz w:val="22"/>
                <w:szCs w:val="22"/>
              </w:rPr>
            </w:pPr>
            <w:r w:rsidRPr="00CB3D5B">
              <w:rPr>
                <w:b/>
                <w:sz w:val="22"/>
                <w:szCs w:val="22"/>
              </w:rPr>
              <w:t>4</w:t>
            </w:r>
            <w:r w:rsidR="00DE461E">
              <w:rPr>
                <w:b/>
                <w:sz w:val="22"/>
                <w:szCs w:val="22"/>
              </w:rPr>
              <w:t xml:space="preserve"> </w:t>
            </w:r>
            <w:r w:rsidR="00E907A3">
              <w:rPr>
                <w:b/>
              </w:rPr>
              <w:t>SEND</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8D0A701" w:rsidR="00E66558" w:rsidRDefault="00E907A3">
            <w:pPr>
              <w:pStyle w:val="TableRowCentered"/>
              <w:jc w:val="left"/>
              <w:rPr>
                <w:iCs/>
                <w:sz w:val="22"/>
              </w:rPr>
            </w:pPr>
            <w:r w:rsidRPr="00B47507">
              <w:rPr>
                <w:iCs/>
                <w:sz w:val="22"/>
                <w:szCs w:val="22"/>
              </w:rPr>
              <w:t>41%</w:t>
            </w:r>
            <w:r>
              <w:rPr>
                <w:i/>
                <w:iCs/>
                <w:sz w:val="22"/>
                <w:szCs w:val="22"/>
              </w:rPr>
              <w:t xml:space="preserve"> </w:t>
            </w:r>
            <w:r>
              <w:rPr>
                <w:iCs/>
                <w:sz w:val="22"/>
                <w:szCs w:val="22"/>
              </w:rPr>
              <w:t>of disadvantaged pupils are also SEND</w:t>
            </w:r>
          </w:p>
        </w:tc>
      </w:tr>
      <w:tr w:rsidR="001705B4" w14:paraId="7610CAA7" w14:textId="77777777" w:rsidTr="00CB3D5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1B0C" w14:textId="2A194AD4" w:rsidR="001705B4" w:rsidRPr="00CB3D5B" w:rsidRDefault="001705B4">
            <w:pPr>
              <w:pStyle w:val="TableRow"/>
              <w:rPr>
                <w:b/>
                <w:sz w:val="22"/>
                <w:szCs w:val="22"/>
              </w:rPr>
            </w:pPr>
            <w:bookmarkStart w:id="17" w:name="_Toc443397160"/>
            <w:r>
              <w:rPr>
                <w:b/>
                <w:sz w:val="22"/>
                <w:szCs w:val="22"/>
              </w:rPr>
              <w:t xml:space="preserve">5 Engagement with learning and </w:t>
            </w:r>
            <w:r w:rsidR="00114895">
              <w:rPr>
                <w:b/>
                <w:sz w:val="22"/>
                <w:szCs w:val="22"/>
              </w:rPr>
              <w:t>C</w:t>
            </w:r>
            <w:r>
              <w:rPr>
                <w:b/>
                <w:sz w:val="22"/>
                <w:szCs w:val="22"/>
              </w:rPr>
              <w:t xml:space="preserve">ultural </w:t>
            </w:r>
            <w:r w:rsidR="00114895">
              <w:rPr>
                <w:b/>
                <w:sz w:val="22"/>
                <w:szCs w:val="22"/>
              </w:rPr>
              <w:t>C</w:t>
            </w:r>
            <w:r>
              <w:rPr>
                <w:b/>
                <w:sz w:val="22"/>
                <w:szCs w:val="22"/>
              </w:rPr>
              <w:t>apital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D2335" w14:textId="77777777" w:rsidR="001705B4" w:rsidRDefault="001705B4">
            <w:pPr>
              <w:pStyle w:val="TableRowCentered"/>
              <w:jc w:val="left"/>
              <w:rPr>
                <w:iCs/>
                <w:sz w:val="22"/>
                <w:szCs w:val="22"/>
              </w:rPr>
            </w:pPr>
            <w:r>
              <w:rPr>
                <w:iCs/>
                <w:sz w:val="22"/>
                <w:szCs w:val="22"/>
              </w:rPr>
              <w:t>Pupils from more disadvantaged backgrounds are less able to afford classroom resources and uniform and food-products, limiting capacity to engage effectively with day-to-day learning.</w:t>
            </w:r>
          </w:p>
          <w:p w14:paraId="0A017C78" w14:textId="28727752" w:rsidR="001705B4" w:rsidRPr="00B47507" w:rsidRDefault="001705B4">
            <w:pPr>
              <w:pStyle w:val="TableRowCentered"/>
              <w:jc w:val="left"/>
              <w:rPr>
                <w:iCs/>
                <w:sz w:val="22"/>
                <w:szCs w:val="22"/>
              </w:rPr>
            </w:pPr>
            <w:r>
              <w:rPr>
                <w:iCs/>
                <w:sz w:val="22"/>
                <w:szCs w:val="22"/>
              </w:rPr>
              <w:t>Pupils from disadvantaged families are less likely to support costs associated with extra-curricular activities and</w:t>
            </w:r>
            <w:r w:rsidR="00114895">
              <w:rPr>
                <w:iCs/>
                <w:sz w:val="22"/>
                <w:szCs w:val="22"/>
              </w:rPr>
              <w:t xml:space="preserve"> enrichment, limiting capacity to access cultural capital.</w:t>
            </w:r>
          </w:p>
        </w:tc>
      </w:tr>
    </w:tbl>
    <w:p w14:paraId="2A7D54FF" w14:textId="77777777" w:rsidR="00E66558" w:rsidRDefault="009D71E8">
      <w:pPr>
        <w:pStyle w:val="Heading2"/>
        <w:spacing w:before="600"/>
      </w:pPr>
      <w:r>
        <w:t xml:space="preserve">Intended outcomes </w:t>
      </w:r>
    </w:p>
    <w:p w14:paraId="2A7D5500" w14:textId="77777777" w:rsidR="00E66558" w:rsidRDefault="009D71E8">
      <w:r>
        <w:t xml:space="preserve">This explains the outcomes we are aiming for </w:t>
      </w:r>
      <w:r>
        <w:rPr>
          <w:b/>
          <w:bCs/>
        </w:rPr>
        <w:t>by the end of our current strategy plan</w:t>
      </w:r>
      <w:r>
        <w:t>, and how we will measure whether they have been achieved.</w:t>
      </w:r>
    </w:p>
    <w:tbl>
      <w:tblPr>
        <w:tblW w:w="5127" w:type="pct"/>
        <w:tblCellMar>
          <w:left w:w="10" w:type="dxa"/>
          <w:right w:w="10" w:type="dxa"/>
        </w:tblCellMar>
        <w:tblLook w:val="04A0" w:firstRow="1" w:lastRow="0" w:firstColumn="1" w:lastColumn="0" w:noHBand="0" w:noVBand="1"/>
      </w:tblPr>
      <w:tblGrid>
        <w:gridCol w:w="2830"/>
        <w:gridCol w:w="67"/>
        <w:gridCol w:w="6629"/>
        <w:gridCol w:w="201"/>
      </w:tblGrid>
      <w:tr w:rsidR="00E66558" w14:paraId="2A7D5503"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705B4" w14:paraId="2A7D5506"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83EC7A7" w:rsidR="001705B4" w:rsidRDefault="001705B4" w:rsidP="001705B4">
            <w:pPr>
              <w:pStyle w:val="TableRow"/>
            </w:pPr>
            <w:r>
              <w:rPr>
                <w:b/>
              </w:rPr>
              <w:t>1 Attainment Reading</w:t>
            </w:r>
          </w:p>
        </w:tc>
        <w:tc>
          <w:tcPr>
            <w:tcW w:w="66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B6F9E2" w14:textId="77777777" w:rsidR="001705B4" w:rsidRPr="00CB3D5B" w:rsidRDefault="001705B4" w:rsidP="001705B4">
            <w:pPr>
              <w:pStyle w:val="ListParagraph"/>
              <w:numPr>
                <w:ilvl w:val="0"/>
                <w:numId w:val="14"/>
              </w:numPr>
              <w:spacing w:after="0" w:line="240" w:lineRule="auto"/>
              <w:rPr>
                <w:rFonts w:eastAsia="Arial"/>
                <w:bCs/>
                <w:sz w:val="24"/>
                <w:szCs w:val="24"/>
              </w:rPr>
            </w:pPr>
            <w:r w:rsidRPr="00CB3D5B">
              <w:rPr>
                <w:rFonts w:eastAsia="Arial"/>
                <w:bCs/>
                <w:sz w:val="24"/>
                <w:szCs w:val="24"/>
              </w:rPr>
              <w:t>The gap in achievement between PP pupils and non-PP pupils is narrowed, so that achievement is in line with non-PP achievement in reading, writing and mathematics.</w:t>
            </w:r>
          </w:p>
          <w:p w14:paraId="2A7D5505" w14:textId="6F5F3EBE" w:rsidR="00114895" w:rsidRPr="00114895" w:rsidRDefault="001705B4" w:rsidP="00114895">
            <w:pPr>
              <w:pStyle w:val="ListParagraph"/>
              <w:numPr>
                <w:ilvl w:val="0"/>
                <w:numId w:val="14"/>
              </w:numPr>
              <w:spacing w:after="0" w:line="240" w:lineRule="auto"/>
              <w:rPr>
                <w:szCs w:val="24"/>
              </w:rPr>
            </w:pPr>
            <w:r w:rsidRPr="00CB3D5B">
              <w:rPr>
                <w:rFonts w:eastAsia="Arial"/>
                <w:bCs/>
                <w:sz w:val="24"/>
                <w:szCs w:val="24"/>
              </w:rPr>
              <w:t>PP achievement meets or exceeds individualised progress and attainment estimations.</w:t>
            </w:r>
          </w:p>
        </w:tc>
      </w:tr>
      <w:tr w:rsidR="001705B4" w14:paraId="2A7D5509"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B7E3B05" w:rsidR="001705B4" w:rsidRDefault="001705B4" w:rsidP="001705B4">
            <w:pPr>
              <w:pStyle w:val="TableRow"/>
              <w:rPr>
                <w:sz w:val="22"/>
                <w:szCs w:val="22"/>
              </w:rPr>
            </w:pPr>
            <w:r>
              <w:rPr>
                <w:b/>
                <w:szCs w:val="22"/>
              </w:rPr>
              <w:t xml:space="preserve">2 </w:t>
            </w:r>
            <w:r>
              <w:rPr>
                <w:b/>
              </w:rPr>
              <w:t>Attainment Writing</w:t>
            </w:r>
          </w:p>
        </w:tc>
        <w:tc>
          <w:tcPr>
            <w:tcW w:w="6629"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08" w14:textId="04FDFBF1" w:rsidR="001705B4" w:rsidRPr="00CB3D5B" w:rsidRDefault="001705B4" w:rsidP="001705B4">
            <w:pPr>
              <w:pStyle w:val="ListParagraph"/>
              <w:numPr>
                <w:ilvl w:val="0"/>
                <w:numId w:val="14"/>
              </w:numPr>
              <w:spacing w:after="0" w:line="240" w:lineRule="auto"/>
              <w:rPr>
                <w:rFonts w:eastAsia="Arial"/>
                <w:bCs/>
                <w:sz w:val="24"/>
                <w:szCs w:val="24"/>
              </w:rPr>
            </w:pPr>
          </w:p>
        </w:tc>
      </w:tr>
      <w:tr w:rsidR="001705B4" w14:paraId="2A7D550C"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4AAF147" w:rsidR="001705B4" w:rsidRDefault="001705B4" w:rsidP="001705B4">
            <w:pPr>
              <w:pStyle w:val="TableRow"/>
              <w:rPr>
                <w:sz w:val="22"/>
                <w:szCs w:val="22"/>
              </w:rPr>
            </w:pPr>
            <w:r>
              <w:rPr>
                <w:b/>
              </w:rPr>
              <w:t>3 Attainment Maths</w:t>
            </w:r>
          </w:p>
        </w:tc>
        <w:tc>
          <w:tcPr>
            <w:tcW w:w="66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618E529" w:rsidR="001705B4" w:rsidRPr="00837151" w:rsidRDefault="001705B4" w:rsidP="001705B4">
            <w:pPr>
              <w:pStyle w:val="ListParagraph"/>
              <w:numPr>
                <w:ilvl w:val="0"/>
                <w:numId w:val="14"/>
              </w:numPr>
              <w:spacing w:after="0" w:line="240" w:lineRule="auto"/>
              <w:rPr>
                <w:sz w:val="24"/>
                <w:szCs w:val="24"/>
              </w:rPr>
            </w:pPr>
          </w:p>
        </w:tc>
      </w:tr>
      <w:tr w:rsidR="001705B4" w14:paraId="2A7D550F"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CF70F0E" w:rsidR="001705B4" w:rsidRPr="00CB3D5B" w:rsidRDefault="001705B4" w:rsidP="001705B4">
            <w:pPr>
              <w:pStyle w:val="TableRow"/>
              <w:rPr>
                <w:b/>
                <w:sz w:val="22"/>
                <w:szCs w:val="22"/>
              </w:rPr>
            </w:pPr>
            <w:r w:rsidRPr="00CB3D5B">
              <w:rPr>
                <w:b/>
                <w:sz w:val="22"/>
                <w:szCs w:val="22"/>
              </w:rPr>
              <w:t>4</w:t>
            </w:r>
            <w:r>
              <w:rPr>
                <w:b/>
                <w:sz w:val="22"/>
                <w:szCs w:val="22"/>
              </w:rPr>
              <w:t xml:space="preserve"> </w:t>
            </w:r>
            <w:r>
              <w:rPr>
                <w:b/>
              </w:rPr>
              <w:t>SEND</w:t>
            </w:r>
          </w:p>
        </w:tc>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C03C07D" w:rsidR="001705B4" w:rsidRPr="00CB3D5B" w:rsidRDefault="001705B4" w:rsidP="001705B4">
            <w:pPr>
              <w:pStyle w:val="TableRowCentered"/>
              <w:numPr>
                <w:ilvl w:val="0"/>
                <w:numId w:val="14"/>
              </w:numPr>
              <w:jc w:val="left"/>
              <w:rPr>
                <w:szCs w:val="24"/>
              </w:rPr>
            </w:pPr>
            <w:r w:rsidRPr="00CB3D5B">
              <w:rPr>
                <w:color w:val="000000" w:themeColor="text1"/>
                <w:szCs w:val="24"/>
              </w:rPr>
              <w:t xml:space="preserve">Progress and attainment of pupils with SEND is in line or exceeds </w:t>
            </w:r>
            <w:r>
              <w:rPr>
                <w:color w:val="000000" w:themeColor="text1"/>
                <w:szCs w:val="24"/>
              </w:rPr>
              <w:t xml:space="preserve">the </w:t>
            </w:r>
            <w:r w:rsidRPr="00CB3D5B">
              <w:rPr>
                <w:color w:val="000000" w:themeColor="text1"/>
                <w:szCs w:val="24"/>
              </w:rPr>
              <w:t>national average</w:t>
            </w:r>
          </w:p>
        </w:tc>
      </w:tr>
      <w:tr w:rsidR="00114895" w14:paraId="1AAED613" w14:textId="77777777" w:rsidTr="00A82DC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76FD" w14:textId="77777777" w:rsidR="00114895" w:rsidRPr="00CB3D5B" w:rsidRDefault="00114895" w:rsidP="00DA6E60">
            <w:pPr>
              <w:pStyle w:val="TableRow"/>
              <w:rPr>
                <w:b/>
                <w:sz w:val="22"/>
                <w:szCs w:val="22"/>
              </w:rPr>
            </w:pPr>
            <w:r>
              <w:rPr>
                <w:b/>
                <w:sz w:val="22"/>
                <w:szCs w:val="22"/>
              </w:rPr>
              <w:t>5 Engagement with learning and Cultural Capital</w:t>
            </w:r>
          </w:p>
        </w:tc>
        <w:tc>
          <w:tcPr>
            <w:tcW w:w="6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09C23" w14:textId="77777777" w:rsidR="00114895" w:rsidRDefault="00114895" w:rsidP="00DA6E60">
            <w:pPr>
              <w:pStyle w:val="TableRowCentered"/>
              <w:jc w:val="left"/>
              <w:rPr>
                <w:iCs/>
                <w:sz w:val="22"/>
                <w:szCs w:val="22"/>
              </w:rPr>
            </w:pPr>
            <w:r>
              <w:rPr>
                <w:iCs/>
                <w:sz w:val="22"/>
                <w:szCs w:val="22"/>
              </w:rPr>
              <w:t xml:space="preserve">Funding support to assist pupils in engagement with extra-curricular and enrichment activity. Participation in enrichment activities to be closely monitored, with </w:t>
            </w:r>
            <w:r w:rsidR="00700CF8">
              <w:rPr>
                <w:iCs/>
                <w:sz w:val="22"/>
                <w:szCs w:val="22"/>
              </w:rPr>
              <w:t xml:space="preserve">direct contact </w:t>
            </w:r>
            <w:r w:rsidR="00F17EAF">
              <w:rPr>
                <w:iCs/>
                <w:sz w:val="22"/>
                <w:szCs w:val="22"/>
              </w:rPr>
              <w:t>maintained to promote engagement.</w:t>
            </w:r>
          </w:p>
          <w:p w14:paraId="79039D1A" w14:textId="7D21AA6A" w:rsidR="00F17EAF" w:rsidRPr="00B47507" w:rsidRDefault="00F17EAF" w:rsidP="00DA6E60">
            <w:pPr>
              <w:pStyle w:val="TableRowCentered"/>
              <w:jc w:val="left"/>
              <w:rPr>
                <w:iCs/>
                <w:sz w:val="22"/>
                <w:szCs w:val="22"/>
              </w:rPr>
            </w:pPr>
            <w:r>
              <w:rPr>
                <w:iCs/>
                <w:sz w:val="22"/>
                <w:szCs w:val="22"/>
              </w:rPr>
              <w:t>Introduction of homework support clubs</w:t>
            </w:r>
            <w:r w:rsidR="00C37F59">
              <w:rPr>
                <w:iCs/>
                <w:sz w:val="22"/>
                <w:szCs w:val="22"/>
              </w:rPr>
              <w:t xml:space="preserve">- </w:t>
            </w:r>
            <w:r>
              <w:rPr>
                <w:iCs/>
                <w:sz w:val="22"/>
                <w:szCs w:val="22"/>
              </w:rPr>
              <w:t>offered primarily to PP pupils, to provide a supportive and calm environment for learning</w:t>
            </w:r>
          </w:p>
        </w:tc>
      </w:tr>
    </w:tbl>
    <w:p w14:paraId="60BAD9F6" w14:textId="77777777" w:rsidR="00120AB1" w:rsidRDefault="00120AB1">
      <w:pPr>
        <w:pStyle w:val="Heading2"/>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9E05AFB" w:rsidR="00E66558" w:rsidRDefault="009D71E8">
      <w:r>
        <w:t xml:space="preserve">Budgeted cost: £ </w:t>
      </w:r>
      <w:r w:rsidR="00867AC1">
        <w:t>151,785</w:t>
      </w:r>
    </w:p>
    <w:tbl>
      <w:tblPr>
        <w:tblW w:w="5021" w:type="pct"/>
        <w:tblCellMar>
          <w:left w:w="10" w:type="dxa"/>
          <w:right w:w="10" w:type="dxa"/>
        </w:tblCellMar>
        <w:tblLook w:val="04A0" w:firstRow="1" w:lastRow="0" w:firstColumn="1" w:lastColumn="0" w:noHBand="0" w:noVBand="1"/>
      </w:tblPr>
      <w:tblGrid>
        <w:gridCol w:w="1948"/>
        <w:gridCol w:w="5793"/>
        <w:gridCol w:w="1785"/>
      </w:tblGrid>
      <w:tr w:rsidR="00C37F59" w14:paraId="2A7D5519" w14:textId="77777777" w:rsidTr="006564A3">
        <w:tc>
          <w:tcPr>
            <w:tcW w:w="19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7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37F59" w14:paraId="2A7D551D" w14:textId="77777777" w:rsidTr="006564A3">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FEEA92D" w:rsidR="00E66558" w:rsidRPr="007D1EC2" w:rsidRDefault="0035095D">
            <w:pPr>
              <w:pStyle w:val="TableRow"/>
              <w:rPr>
                <w:rFonts w:cstheme="minorHAnsi"/>
                <w:sz w:val="22"/>
                <w:szCs w:val="22"/>
              </w:rPr>
            </w:pPr>
            <w:r>
              <w:rPr>
                <w:rFonts w:cstheme="minorHAnsi"/>
                <w:sz w:val="22"/>
                <w:szCs w:val="22"/>
              </w:rPr>
              <w:t xml:space="preserve">Additional </w:t>
            </w:r>
            <w:r w:rsidR="00C37F59">
              <w:rPr>
                <w:rFonts w:cstheme="minorHAnsi"/>
                <w:sz w:val="22"/>
                <w:szCs w:val="22"/>
              </w:rPr>
              <w:t>specialist t</w:t>
            </w:r>
            <w:r>
              <w:rPr>
                <w:rFonts w:cstheme="minorHAnsi"/>
                <w:sz w:val="22"/>
                <w:szCs w:val="22"/>
              </w:rPr>
              <w:t>eaching Capacity</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0A940" w14:textId="3C292395" w:rsidR="00C37F59" w:rsidRPr="00C37F59" w:rsidRDefault="00C37F59" w:rsidP="00C37F59">
            <w:pPr>
              <w:rPr>
                <w:rFonts w:cstheme="minorHAnsi"/>
                <w:sz w:val="24"/>
                <w:szCs w:val="24"/>
              </w:rPr>
            </w:pPr>
            <w:r w:rsidRPr="00C37F59">
              <w:rPr>
                <w:rFonts w:cstheme="minorHAnsi"/>
                <w:sz w:val="24"/>
                <w:szCs w:val="24"/>
              </w:rPr>
              <w:t xml:space="preserve">Increase capacity of specialist teaching in year 5 and year 6 to support the recovery of missed learning, by reducing class sizes and targeted specialist and intensive teaching for pupils identified as most in need </w:t>
            </w:r>
          </w:p>
          <w:p w14:paraId="633304AE" w14:textId="77777777" w:rsidR="00AA0B56" w:rsidRPr="00AA0B56" w:rsidRDefault="004E0D4E" w:rsidP="00C37F59">
            <w:pPr>
              <w:rPr>
                <w:rFonts w:cstheme="minorHAnsi"/>
                <w:i/>
                <w:sz w:val="22"/>
                <w:szCs w:val="24"/>
              </w:rPr>
            </w:pPr>
            <w:hyperlink r:id="rId7" w:history="1">
              <w:r w:rsidR="00AA0B56" w:rsidRPr="00AA0B56">
                <w:rPr>
                  <w:rStyle w:val="Hyperlink"/>
                  <w:rFonts w:asciiTheme="minorHAnsi" w:hAnsiTheme="minorHAnsi" w:cstheme="minorHAnsi"/>
                  <w:i/>
                  <w:sz w:val="22"/>
                  <w:szCs w:val="24"/>
                </w:rPr>
                <w:t>https://educationendowmentfoundation.org.uk/education-evidence/teaching-learning-toolkit/reducing-class-size</w:t>
              </w:r>
            </w:hyperlink>
            <w:r w:rsidR="00AA0B56" w:rsidRPr="00AA0B56">
              <w:rPr>
                <w:rFonts w:cstheme="minorHAnsi"/>
                <w:i/>
                <w:sz w:val="22"/>
                <w:szCs w:val="24"/>
              </w:rPr>
              <w:t xml:space="preserve"> </w:t>
            </w:r>
          </w:p>
          <w:p w14:paraId="5141C2D1" w14:textId="397BF356" w:rsidR="00C37F59" w:rsidRPr="00C37F59" w:rsidRDefault="00AA0B56" w:rsidP="00C37F59">
            <w:pPr>
              <w:rPr>
                <w:rFonts w:cstheme="minorHAnsi"/>
                <w:i/>
                <w:sz w:val="24"/>
                <w:szCs w:val="24"/>
              </w:rPr>
            </w:pPr>
            <w:r>
              <w:rPr>
                <w:rFonts w:cstheme="minorHAnsi"/>
                <w:i/>
                <w:sz w:val="24"/>
                <w:szCs w:val="24"/>
              </w:rPr>
              <w:t xml:space="preserve"> ‘</w:t>
            </w:r>
            <w:r w:rsidR="00C37F59" w:rsidRPr="00C37F59">
              <w:rPr>
                <w:rFonts w:cstheme="minorHAnsi"/>
                <w:i/>
                <w:sz w:val="24"/>
                <w:szCs w:val="24"/>
              </w:rPr>
              <w:t>reduced numbers allow teachers to teach differently – for example, having higher quality interactions with pupils or minimising disruption</w:t>
            </w:r>
            <w:r>
              <w:rPr>
                <w:rFonts w:cstheme="minorHAnsi"/>
                <w:i/>
                <w:sz w:val="24"/>
                <w:szCs w:val="24"/>
              </w:rPr>
              <w:t>’</w:t>
            </w:r>
            <w:r w:rsidR="00C37F59" w:rsidRPr="00C37F59">
              <w:rPr>
                <w:rFonts w:cstheme="minorHAnsi"/>
                <w:i/>
                <w:sz w:val="24"/>
                <w:szCs w:val="24"/>
              </w:rPr>
              <w:t xml:space="preserve">. </w:t>
            </w:r>
          </w:p>
          <w:p w14:paraId="2A7D551B" w14:textId="31B967A4" w:rsidR="00C37F59" w:rsidRPr="00C37F59" w:rsidRDefault="00AA0B56" w:rsidP="00C37F59">
            <w:r>
              <w:rPr>
                <w:rFonts w:cstheme="minorHAnsi"/>
                <w:i/>
                <w:sz w:val="24"/>
                <w:szCs w:val="24"/>
              </w:rPr>
              <w:t>‘</w:t>
            </w:r>
            <w:r w:rsidR="00C37F59" w:rsidRPr="00C37F59">
              <w:rPr>
                <w:rFonts w:cstheme="minorHAnsi"/>
                <w:i/>
                <w:sz w:val="24"/>
                <w:szCs w:val="24"/>
              </w:rPr>
              <w:t>Gains from smaller class sizes are likely to come from the increased flexibility for organising learners and the quality and quantity of feedback the pupils receive</w:t>
            </w:r>
            <w:r>
              <w:rPr>
                <w:rFonts w:cstheme="minorHAnsi"/>
                <w:i/>
                <w:sz w:val="24"/>
                <w:szCs w:val="24"/>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B23CC" w14:textId="77777777" w:rsidR="004233F0" w:rsidRDefault="00C37F59">
            <w:pPr>
              <w:pStyle w:val="TableRowCentered"/>
              <w:jc w:val="left"/>
              <w:rPr>
                <w:rFonts w:cstheme="minorHAnsi"/>
                <w:sz w:val="22"/>
                <w:szCs w:val="22"/>
              </w:rPr>
            </w:pPr>
            <w:r>
              <w:rPr>
                <w:rFonts w:cstheme="minorHAnsi"/>
                <w:sz w:val="22"/>
                <w:szCs w:val="22"/>
              </w:rPr>
              <w:t>1</w:t>
            </w:r>
          </w:p>
          <w:p w14:paraId="63020432" w14:textId="77777777" w:rsidR="00C37F59" w:rsidRDefault="00C37F59">
            <w:pPr>
              <w:pStyle w:val="TableRowCentered"/>
              <w:jc w:val="left"/>
              <w:rPr>
                <w:rFonts w:cstheme="minorHAnsi"/>
                <w:sz w:val="22"/>
                <w:szCs w:val="22"/>
              </w:rPr>
            </w:pPr>
            <w:r>
              <w:rPr>
                <w:rFonts w:cstheme="minorHAnsi"/>
                <w:sz w:val="22"/>
                <w:szCs w:val="22"/>
              </w:rPr>
              <w:t>2</w:t>
            </w:r>
          </w:p>
          <w:p w14:paraId="68315F5A" w14:textId="77777777" w:rsidR="00C37F59" w:rsidRDefault="00C37F59">
            <w:pPr>
              <w:pStyle w:val="TableRowCentered"/>
              <w:jc w:val="left"/>
              <w:rPr>
                <w:rFonts w:cstheme="minorHAnsi"/>
                <w:sz w:val="22"/>
                <w:szCs w:val="22"/>
              </w:rPr>
            </w:pPr>
            <w:r>
              <w:rPr>
                <w:rFonts w:cstheme="minorHAnsi"/>
                <w:sz w:val="22"/>
                <w:szCs w:val="22"/>
              </w:rPr>
              <w:t>3</w:t>
            </w:r>
          </w:p>
          <w:p w14:paraId="2A7D551C" w14:textId="4923DC02" w:rsidR="00C37F59" w:rsidRPr="007D1EC2" w:rsidRDefault="00C37F59">
            <w:pPr>
              <w:pStyle w:val="TableRowCentered"/>
              <w:jc w:val="left"/>
              <w:rPr>
                <w:rFonts w:cstheme="minorHAnsi"/>
                <w:sz w:val="22"/>
                <w:szCs w:val="22"/>
              </w:rPr>
            </w:pPr>
            <w:r>
              <w:rPr>
                <w:rFonts w:cstheme="minorHAnsi"/>
                <w:sz w:val="22"/>
                <w:szCs w:val="22"/>
              </w:rPr>
              <w:t>4</w:t>
            </w:r>
          </w:p>
        </w:tc>
      </w:tr>
      <w:tr w:rsidR="00C37F59" w14:paraId="2A7D5521" w14:textId="77777777" w:rsidTr="006564A3">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AB3D38E" w:rsidR="00E66558" w:rsidRPr="007D1EC2" w:rsidRDefault="00B0593D">
            <w:pPr>
              <w:pStyle w:val="TableRow"/>
              <w:rPr>
                <w:rFonts w:cstheme="minorHAnsi"/>
                <w:i/>
                <w:sz w:val="22"/>
                <w:szCs w:val="22"/>
              </w:rPr>
            </w:pPr>
            <w:r>
              <w:rPr>
                <w:rFonts w:cstheme="minorHAnsi"/>
                <w:i/>
                <w:sz w:val="22"/>
                <w:szCs w:val="22"/>
              </w:rPr>
              <w:t xml:space="preserve">Weekly intervention </w:t>
            </w:r>
            <w:r w:rsidR="00663BE5">
              <w:rPr>
                <w:rFonts w:cstheme="minorHAnsi"/>
                <w:i/>
                <w:sz w:val="22"/>
                <w:szCs w:val="22"/>
              </w:rPr>
              <w:t>c</w:t>
            </w:r>
            <w:r>
              <w:rPr>
                <w:rFonts w:cstheme="minorHAnsi"/>
                <w:i/>
                <w:sz w:val="22"/>
                <w:szCs w:val="22"/>
              </w:rPr>
              <w:t>ycles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E6F4" w14:textId="77777777" w:rsidR="00AA0B56" w:rsidRDefault="00B0593D">
            <w:pPr>
              <w:pStyle w:val="TableRowCentered"/>
              <w:jc w:val="left"/>
              <w:rPr>
                <w:rFonts w:cstheme="minorHAnsi"/>
                <w:sz w:val="22"/>
                <w:szCs w:val="22"/>
              </w:rPr>
            </w:pPr>
            <w:r>
              <w:rPr>
                <w:rFonts w:cstheme="minorHAnsi"/>
                <w:sz w:val="22"/>
                <w:szCs w:val="22"/>
              </w:rPr>
              <w:t xml:space="preserve">Provide 9 to 11 hours of timetabled additional intervention in </w:t>
            </w:r>
            <w:r w:rsidR="00AA0B56">
              <w:rPr>
                <w:rFonts w:cstheme="minorHAnsi"/>
                <w:sz w:val="22"/>
                <w:szCs w:val="22"/>
              </w:rPr>
              <w:t xml:space="preserve">both </w:t>
            </w:r>
            <w:r>
              <w:rPr>
                <w:rFonts w:cstheme="minorHAnsi"/>
                <w:sz w:val="22"/>
                <w:szCs w:val="22"/>
              </w:rPr>
              <w:t xml:space="preserve">literacy and numeracy every two weeks. </w:t>
            </w:r>
            <w:r w:rsidR="00AA0B56">
              <w:rPr>
                <w:rFonts w:cstheme="minorHAnsi"/>
                <w:sz w:val="22"/>
                <w:szCs w:val="22"/>
              </w:rPr>
              <w:t>R</w:t>
            </w:r>
            <w:r>
              <w:rPr>
                <w:rFonts w:cstheme="minorHAnsi"/>
                <w:sz w:val="22"/>
                <w:szCs w:val="22"/>
              </w:rPr>
              <w:t xml:space="preserve">ecruitment of additional specialist teachers will provide capacity for this to take place. Interventions will respond proactively to the needs of pupils, with diagnostic information provided by the class teacher. </w:t>
            </w:r>
          </w:p>
          <w:p w14:paraId="2A7D551F" w14:textId="7013D5C2" w:rsidR="00392CF8" w:rsidRPr="007D1EC2" w:rsidRDefault="004E0D4E">
            <w:pPr>
              <w:pStyle w:val="TableRowCentered"/>
              <w:jc w:val="left"/>
              <w:rPr>
                <w:rFonts w:cstheme="minorHAnsi"/>
                <w:sz w:val="22"/>
                <w:szCs w:val="22"/>
              </w:rPr>
            </w:pPr>
            <w:hyperlink r:id="rId8" w:history="1">
              <w:r w:rsidR="00AA0B56" w:rsidRPr="008E1C16">
                <w:rPr>
                  <w:rStyle w:val="Hyperlink"/>
                  <w:rFonts w:asciiTheme="minorHAnsi" w:hAnsiTheme="minorHAnsi" w:cstheme="minorHAnsi"/>
                  <w:sz w:val="22"/>
                  <w:szCs w:val="22"/>
                </w:rPr>
                <w:t>https://educationendowmentfoundation.org.uk/education-evidence/teaching-learning-toolkit/small-group-tuition</w:t>
              </w:r>
            </w:hyperlink>
            <w:r w:rsidR="00AA0B56">
              <w:rPr>
                <w:rFonts w:cstheme="minorHAnsi"/>
                <w:sz w:val="22"/>
                <w:szCs w:val="22"/>
              </w:rPr>
              <w:t xml:space="preserve"> </w:t>
            </w:r>
            <w:r w:rsidR="00B0593D">
              <w:rPr>
                <w:rFonts w:cstheme="minorHAnsi"/>
                <w:sz w:val="22"/>
                <w:szCs w:val="22"/>
              </w:rPr>
              <w:t xml:space="preserve">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2C533" w14:textId="77777777" w:rsidR="00E66558" w:rsidRDefault="00AA0B56">
            <w:pPr>
              <w:pStyle w:val="TableRowCentered"/>
              <w:jc w:val="left"/>
              <w:rPr>
                <w:rFonts w:cstheme="minorHAnsi"/>
                <w:sz w:val="22"/>
                <w:szCs w:val="22"/>
              </w:rPr>
            </w:pPr>
            <w:r>
              <w:rPr>
                <w:rFonts w:cstheme="minorHAnsi"/>
                <w:sz w:val="22"/>
                <w:szCs w:val="22"/>
              </w:rPr>
              <w:t>1</w:t>
            </w:r>
          </w:p>
          <w:p w14:paraId="21DD8D59" w14:textId="77777777" w:rsidR="00AA0B56" w:rsidRDefault="00AA0B56">
            <w:pPr>
              <w:pStyle w:val="TableRowCentered"/>
              <w:jc w:val="left"/>
              <w:rPr>
                <w:rFonts w:cstheme="minorHAnsi"/>
                <w:sz w:val="22"/>
                <w:szCs w:val="22"/>
              </w:rPr>
            </w:pPr>
            <w:r>
              <w:rPr>
                <w:rFonts w:cstheme="minorHAnsi"/>
                <w:sz w:val="22"/>
                <w:szCs w:val="22"/>
              </w:rPr>
              <w:t>2</w:t>
            </w:r>
          </w:p>
          <w:p w14:paraId="2A7D5520" w14:textId="4B845098" w:rsidR="00AA0B56" w:rsidRPr="007D1EC2" w:rsidRDefault="00AA0B56">
            <w:pPr>
              <w:pStyle w:val="TableRowCentered"/>
              <w:jc w:val="left"/>
              <w:rPr>
                <w:rFonts w:cstheme="minorHAnsi"/>
                <w:sz w:val="22"/>
                <w:szCs w:val="22"/>
              </w:rPr>
            </w:pPr>
            <w:r>
              <w:rPr>
                <w:rFonts w:cstheme="minorHAnsi"/>
                <w:sz w:val="22"/>
                <w:szCs w:val="22"/>
              </w:rPr>
              <w:t>3</w:t>
            </w:r>
          </w:p>
        </w:tc>
      </w:tr>
      <w:tr w:rsidR="00C37F59" w14:paraId="2D07C884" w14:textId="77777777" w:rsidTr="006564A3">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39B6" w14:textId="26BA5821" w:rsidR="002B2BF5" w:rsidRPr="007D1EC2" w:rsidRDefault="00AA0B56" w:rsidP="002B2BF5">
            <w:pPr>
              <w:pStyle w:val="TableRow"/>
              <w:rPr>
                <w:rFonts w:cstheme="minorHAnsi"/>
                <w:i/>
                <w:sz w:val="22"/>
                <w:szCs w:val="22"/>
              </w:rPr>
            </w:pPr>
            <w:r>
              <w:rPr>
                <w:rFonts w:cstheme="minorHAnsi"/>
                <w:i/>
                <w:sz w:val="22"/>
                <w:szCs w:val="22"/>
              </w:rPr>
              <w:t>Phonics Development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CC8B" w14:textId="77777777" w:rsidR="00016B54" w:rsidRDefault="00AA0B56" w:rsidP="00016B54">
            <w:pPr>
              <w:pStyle w:val="TableRowCentered"/>
              <w:jc w:val="left"/>
              <w:rPr>
                <w:rFonts w:cstheme="minorHAnsi"/>
                <w:sz w:val="22"/>
                <w:szCs w:val="22"/>
              </w:rPr>
            </w:pPr>
            <w:r>
              <w:rPr>
                <w:rFonts w:cstheme="minorHAnsi"/>
                <w:sz w:val="22"/>
                <w:szCs w:val="22"/>
              </w:rPr>
              <w:t xml:space="preserve">Recruitment teacher </w:t>
            </w:r>
            <w:r w:rsidR="00663BE5">
              <w:rPr>
                <w:rFonts w:cstheme="minorHAnsi"/>
                <w:sz w:val="22"/>
                <w:szCs w:val="22"/>
              </w:rPr>
              <w:t xml:space="preserve">with specialist knowledge </w:t>
            </w:r>
            <w:r>
              <w:rPr>
                <w:rFonts w:cstheme="minorHAnsi"/>
                <w:sz w:val="22"/>
                <w:szCs w:val="22"/>
              </w:rPr>
              <w:t>in phonics in addition to timetabled intervention sessions to support phonics development for pupils requiring additional support</w:t>
            </w:r>
          </w:p>
          <w:p w14:paraId="2EA8F0D7" w14:textId="77777777" w:rsidR="009C4087" w:rsidRPr="009C4087" w:rsidRDefault="009C4087" w:rsidP="00016B54">
            <w:pPr>
              <w:pStyle w:val="TableRowCentered"/>
              <w:jc w:val="left"/>
              <w:rPr>
                <w:rFonts w:cstheme="minorHAnsi"/>
                <w:color w:val="auto"/>
                <w:sz w:val="16"/>
                <w:szCs w:val="22"/>
              </w:rPr>
            </w:pPr>
          </w:p>
          <w:p w14:paraId="52B659DD" w14:textId="77777777" w:rsidR="009C4087" w:rsidRDefault="009C4087" w:rsidP="00016B54">
            <w:pPr>
              <w:pStyle w:val="TableRowCentered"/>
              <w:jc w:val="left"/>
              <w:rPr>
                <w:rFonts w:cstheme="minorHAnsi"/>
                <w:i/>
                <w:color w:val="auto"/>
                <w:sz w:val="22"/>
                <w:szCs w:val="30"/>
                <w:shd w:val="clear" w:color="auto" w:fill="FAFAFA"/>
              </w:rPr>
            </w:pPr>
            <w:r>
              <w:rPr>
                <w:rFonts w:cstheme="minorHAnsi"/>
                <w:i/>
                <w:color w:val="auto"/>
                <w:sz w:val="22"/>
                <w:szCs w:val="30"/>
                <w:shd w:val="clear" w:color="auto" w:fill="FAFAFA"/>
              </w:rPr>
              <w:t>‘</w:t>
            </w:r>
            <w:r w:rsidRPr="009C4087">
              <w:rPr>
                <w:rFonts w:cstheme="minorHAnsi"/>
                <w:i/>
                <w:color w:val="auto"/>
                <w:sz w:val="22"/>
                <w:szCs w:val="30"/>
                <w:shd w:val="clear" w:color="auto" w:fill="FAFAFA"/>
              </w:rPr>
              <w:t>Phonics has a positive impact overall (+5 months) with very extensive evidence and is an important component in the development of early reading skills, particularly for children from disadvantaged backgrounds</w:t>
            </w:r>
            <w:r>
              <w:rPr>
                <w:rFonts w:cstheme="minorHAnsi"/>
                <w:i/>
                <w:color w:val="auto"/>
                <w:sz w:val="22"/>
                <w:szCs w:val="30"/>
                <w:shd w:val="clear" w:color="auto" w:fill="FAFAFA"/>
              </w:rPr>
              <w:t>’</w:t>
            </w:r>
          </w:p>
          <w:p w14:paraId="1455A83A" w14:textId="2801A98D" w:rsidR="009C4087" w:rsidRPr="009C4087" w:rsidRDefault="004E0D4E" w:rsidP="00016B54">
            <w:pPr>
              <w:pStyle w:val="TableRowCentered"/>
              <w:jc w:val="left"/>
              <w:rPr>
                <w:rFonts w:cstheme="minorHAnsi"/>
                <w:b/>
                <w:i/>
                <w:sz w:val="22"/>
                <w:szCs w:val="22"/>
              </w:rPr>
            </w:pPr>
            <w:hyperlink r:id="rId9" w:history="1">
              <w:r w:rsidR="009C4087" w:rsidRPr="004945FE">
                <w:rPr>
                  <w:rStyle w:val="Hyperlink"/>
                  <w:rFonts w:asciiTheme="minorHAnsi" w:hAnsiTheme="minorHAnsi" w:cstheme="minorHAnsi"/>
                  <w:b/>
                  <w:i/>
                  <w:sz w:val="22"/>
                  <w:szCs w:val="22"/>
                </w:rPr>
                <w:t>https://educationendowmentfoundation.org.uk/education-evidence/teaching-learning-toolkit/phonics</w:t>
              </w:r>
            </w:hyperlink>
            <w:r w:rsidR="009C4087">
              <w:rPr>
                <w:rFonts w:cstheme="minorHAnsi"/>
                <w:b/>
                <w:i/>
                <w:sz w:val="22"/>
                <w:szCs w:val="22"/>
              </w:rPr>
              <w:t xml:space="preserve">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59627" w14:textId="6B4FB29B" w:rsidR="00A82DCF" w:rsidRDefault="00A82DCF" w:rsidP="00016B54">
            <w:pPr>
              <w:pStyle w:val="TableRowCentered"/>
              <w:jc w:val="left"/>
              <w:rPr>
                <w:rFonts w:cstheme="minorHAnsi"/>
                <w:sz w:val="22"/>
                <w:szCs w:val="22"/>
              </w:rPr>
            </w:pPr>
            <w:r>
              <w:rPr>
                <w:rFonts w:cstheme="minorHAnsi"/>
                <w:sz w:val="22"/>
                <w:szCs w:val="22"/>
              </w:rPr>
              <w:t>1</w:t>
            </w:r>
          </w:p>
          <w:p w14:paraId="6B83E70E" w14:textId="3E4402F1" w:rsidR="00A82DCF" w:rsidRDefault="00A82DCF" w:rsidP="00016B54">
            <w:pPr>
              <w:pStyle w:val="TableRowCentered"/>
              <w:jc w:val="left"/>
              <w:rPr>
                <w:rFonts w:cstheme="minorHAnsi"/>
                <w:sz w:val="22"/>
                <w:szCs w:val="22"/>
              </w:rPr>
            </w:pPr>
            <w:r>
              <w:rPr>
                <w:rFonts w:cstheme="minorHAnsi"/>
                <w:sz w:val="22"/>
                <w:szCs w:val="22"/>
              </w:rPr>
              <w:t>2</w:t>
            </w:r>
          </w:p>
          <w:p w14:paraId="352379E3" w14:textId="73B958EE" w:rsidR="00016B54" w:rsidRPr="007D1EC2" w:rsidRDefault="00AA0B56" w:rsidP="00016B54">
            <w:pPr>
              <w:pStyle w:val="TableRowCentered"/>
              <w:jc w:val="left"/>
              <w:rPr>
                <w:rFonts w:cstheme="minorHAnsi"/>
                <w:sz w:val="22"/>
                <w:szCs w:val="22"/>
              </w:rPr>
            </w:pPr>
            <w:r>
              <w:rPr>
                <w:rFonts w:cstheme="minorHAnsi"/>
                <w:sz w:val="22"/>
                <w:szCs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37CD7BB" w:rsidR="00E66558" w:rsidRPr="00AA0B56" w:rsidRDefault="009D71E8">
      <w:pPr>
        <w:rPr>
          <w:i/>
        </w:rPr>
      </w:pPr>
      <w:r>
        <w:t xml:space="preserve">Budgeted cost: £ </w:t>
      </w:r>
      <w:r w:rsidR="00867AC1">
        <w:rPr>
          <w:rFonts w:ascii="Arial" w:hAnsi="Arial" w:cs="Arial"/>
          <w:color w:val="0D0D0D"/>
          <w:sz w:val="24"/>
          <w:szCs w:val="24"/>
        </w:rPr>
        <w:t>50</w:t>
      </w:r>
      <w:r w:rsidR="00867AC1" w:rsidRPr="00867AC1">
        <w:rPr>
          <w:rFonts w:ascii="Arial" w:hAnsi="Arial" w:cs="Arial"/>
          <w:color w:val="0D0D0D"/>
          <w:sz w:val="24"/>
          <w:szCs w:val="24"/>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61571E" w14:paraId="2A7D5528" w14:textId="77777777" w:rsidTr="000B08C7">
        <w:tc>
          <w:tcPr>
            <w:tcW w:w="6942"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E6F88DB" w:rsidR="0061571E" w:rsidRDefault="0061571E">
            <w:pPr>
              <w:pStyle w:val="TableHeader"/>
              <w:jc w:val="left"/>
            </w:pPr>
            <w:r>
              <w:t>Activity</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61571E" w:rsidRDefault="0061571E">
            <w:pPr>
              <w:pStyle w:val="TableHeader"/>
              <w:jc w:val="left"/>
            </w:pPr>
            <w:r>
              <w:t>Challenge number(s) addressed</w:t>
            </w:r>
          </w:p>
        </w:tc>
      </w:tr>
      <w:tr w:rsidR="00B0593D" w14:paraId="2A7D552C" w14:textId="77777777" w:rsidTr="00516FB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58E46C5" w:rsidR="00B0593D" w:rsidRPr="007D1EC2" w:rsidRDefault="00B0593D" w:rsidP="00F15D35">
            <w:pPr>
              <w:pStyle w:val="TableRow"/>
              <w:rPr>
                <w:sz w:val="22"/>
                <w:szCs w:val="22"/>
              </w:rPr>
            </w:pPr>
            <w:r>
              <w:rPr>
                <w:sz w:val="22"/>
                <w:szCs w:val="22"/>
              </w:rPr>
              <w:t xml:space="preserve">Maths tuition </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15C781" w14:textId="350A663D" w:rsidR="00B0593D" w:rsidRDefault="00B0593D" w:rsidP="00F15D35">
            <w:pPr>
              <w:pStyle w:val="TableRowCentered"/>
              <w:jc w:val="left"/>
              <w:rPr>
                <w:sz w:val="22"/>
                <w:szCs w:val="22"/>
              </w:rPr>
            </w:pPr>
            <w:r>
              <w:rPr>
                <w:sz w:val="22"/>
                <w:szCs w:val="22"/>
              </w:rPr>
              <w:t xml:space="preserve">Provision additional tutoring for up to 90 pupils (66% PP) identified from internal assessment and diagnosis of gaps in learning. Additional capacity for a further 30 to receive tutoring in both literacy and/or numeracy, based on ongoing assessments </w:t>
            </w:r>
          </w:p>
          <w:p w14:paraId="784A1E44" w14:textId="77777777" w:rsidR="00EE43A7" w:rsidRDefault="00EE43A7" w:rsidP="00F15D35">
            <w:pPr>
              <w:pStyle w:val="TableRowCentered"/>
              <w:jc w:val="left"/>
              <w:rPr>
                <w:sz w:val="22"/>
                <w:szCs w:val="22"/>
              </w:rPr>
            </w:pPr>
          </w:p>
          <w:p w14:paraId="456869C4" w14:textId="77777777" w:rsidR="00EE43A7" w:rsidRPr="00EE43A7" w:rsidRDefault="00EE43A7" w:rsidP="00EE43A7">
            <w:pPr>
              <w:spacing w:before="60" w:after="60" w:line="240" w:lineRule="auto"/>
              <w:ind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EEF (+4)</w:t>
            </w:r>
          </w:p>
          <w:p w14:paraId="51AE4FF4" w14:textId="77777777" w:rsidR="00EE43A7" w:rsidRPr="00EE43A7" w:rsidRDefault="00EE43A7" w:rsidP="00EE43A7">
            <w:pPr>
              <w:spacing w:after="0" w:line="240" w:lineRule="auto"/>
              <w:rPr>
                <w:rFonts w:ascii="Times New Roman" w:eastAsia="Times New Roman" w:hAnsi="Times New Roman" w:cs="Times New Roman"/>
                <w:sz w:val="24"/>
                <w:szCs w:val="24"/>
              </w:rPr>
            </w:pPr>
            <w:r w:rsidRPr="00EE43A7">
              <w:rPr>
                <w:rFonts w:ascii="Arial" w:eastAsia="Times New Roman" w:hAnsi="Arial" w:cs="Arial"/>
                <w:color w:val="000000"/>
                <w:sz w:val="22"/>
                <w:szCs w:val="22"/>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273E35FC" w14:textId="77777777" w:rsidR="00EE43A7" w:rsidRPr="00EE43A7" w:rsidRDefault="00EE43A7" w:rsidP="00EE43A7">
            <w:pPr>
              <w:spacing w:after="0" w:line="240" w:lineRule="auto"/>
              <w:rPr>
                <w:rFonts w:ascii="Times New Roman" w:eastAsia="Times New Roman" w:hAnsi="Times New Roman" w:cs="Times New Roman"/>
                <w:sz w:val="24"/>
                <w:szCs w:val="24"/>
              </w:rPr>
            </w:pPr>
          </w:p>
          <w:p w14:paraId="18A9BF12" w14:textId="77777777" w:rsidR="00EE43A7" w:rsidRPr="00EE43A7" w:rsidRDefault="00EE43A7" w:rsidP="00EE43A7">
            <w:pPr>
              <w:spacing w:after="0" w:line="240" w:lineRule="auto"/>
              <w:rPr>
                <w:rFonts w:ascii="Times New Roman" w:eastAsia="Times New Roman" w:hAnsi="Times New Roman" w:cs="Times New Roman"/>
                <w:sz w:val="24"/>
                <w:szCs w:val="24"/>
              </w:rPr>
            </w:pPr>
            <w:r w:rsidRPr="00EE43A7">
              <w:rPr>
                <w:rFonts w:ascii="Arial" w:eastAsia="Times New Roman" w:hAnsi="Arial" w:cs="Arial"/>
                <w:color w:val="000000"/>
                <w:sz w:val="22"/>
                <w:szCs w:val="22"/>
              </w:rPr>
              <w:t>Having analysed our cohorts we have identified that all years groups have gaps in maths, phonics, writing and reading.  A list of children and the areas of weakness has been drawn up and the School Led Tutoring funding will be used for these interventions which will be both in and outside of the school day.</w:t>
            </w:r>
          </w:p>
          <w:p w14:paraId="4313C3B2" w14:textId="77777777" w:rsidR="00EE43A7" w:rsidRPr="00EE43A7" w:rsidRDefault="00EE43A7" w:rsidP="00EE43A7">
            <w:pPr>
              <w:spacing w:after="0" w:line="240" w:lineRule="auto"/>
              <w:rPr>
                <w:rFonts w:ascii="Times New Roman" w:eastAsia="Times New Roman" w:hAnsi="Times New Roman" w:cs="Times New Roman"/>
                <w:sz w:val="24"/>
                <w:szCs w:val="24"/>
              </w:rPr>
            </w:pPr>
          </w:p>
          <w:p w14:paraId="6847594E"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u w:val="single"/>
                <w:shd w:val="clear" w:color="auto" w:fill="FFFFFF"/>
              </w:rPr>
              <w:t>https://www.bloomsbury.com/uk/what-works-9781472965639/</w:t>
            </w:r>
          </w:p>
          <w:p w14:paraId="2A7D552A" w14:textId="5D9355A9" w:rsidR="00EE43A7" w:rsidRPr="007D1EC2" w:rsidRDefault="00EE43A7" w:rsidP="00F15D35">
            <w:pPr>
              <w:pStyle w:val="TableRowCentered"/>
              <w:jc w:val="left"/>
              <w:rPr>
                <w:sz w:val="22"/>
                <w:szCs w:val="22"/>
              </w:rPr>
            </w:pP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44C975" w14:textId="77777777" w:rsidR="00B0593D" w:rsidRDefault="00B0593D" w:rsidP="00B0593D">
            <w:pPr>
              <w:pStyle w:val="TableRowCentered"/>
              <w:jc w:val="left"/>
              <w:rPr>
                <w:sz w:val="22"/>
                <w:szCs w:val="22"/>
              </w:rPr>
            </w:pPr>
            <w:r>
              <w:rPr>
                <w:sz w:val="22"/>
                <w:szCs w:val="22"/>
              </w:rPr>
              <w:t>1</w:t>
            </w:r>
          </w:p>
          <w:p w14:paraId="6F567CE9" w14:textId="52319EF5" w:rsidR="00B0593D" w:rsidRDefault="00B0593D" w:rsidP="00B0593D">
            <w:pPr>
              <w:pStyle w:val="TableRowCentered"/>
              <w:jc w:val="left"/>
              <w:rPr>
                <w:sz w:val="22"/>
                <w:szCs w:val="22"/>
              </w:rPr>
            </w:pPr>
            <w:r>
              <w:rPr>
                <w:sz w:val="22"/>
                <w:szCs w:val="22"/>
              </w:rPr>
              <w:t>2</w:t>
            </w:r>
          </w:p>
          <w:p w14:paraId="19366891" w14:textId="6EC33240" w:rsidR="00A82DCF" w:rsidRDefault="00A82DCF" w:rsidP="00A82DCF">
            <w:pPr>
              <w:pStyle w:val="TableRowCentered"/>
              <w:ind w:left="0"/>
              <w:jc w:val="left"/>
              <w:rPr>
                <w:sz w:val="22"/>
                <w:szCs w:val="22"/>
              </w:rPr>
            </w:pPr>
          </w:p>
          <w:p w14:paraId="36FE92CC" w14:textId="516BAD12" w:rsidR="00B0593D" w:rsidRDefault="00B0593D" w:rsidP="00B0593D">
            <w:pPr>
              <w:pStyle w:val="TableRowCentered"/>
              <w:jc w:val="left"/>
              <w:rPr>
                <w:sz w:val="22"/>
                <w:szCs w:val="22"/>
              </w:rPr>
            </w:pPr>
            <w:r>
              <w:rPr>
                <w:sz w:val="22"/>
                <w:szCs w:val="22"/>
              </w:rPr>
              <w:t>3</w:t>
            </w:r>
          </w:p>
          <w:p w14:paraId="2ADB7411" w14:textId="40007290" w:rsidR="00A82DCF" w:rsidRDefault="00A82DCF" w:rsidP="00B0593D">
            <w:pPr>
              <w:pStyle w:val="TableRowCentered"/>
              <w:jc w:val="left"/>
              <w:rPr>
                <w:sz w:val="22"/>
                <w:szCs w:val="22"/>
              </w:rPr>
            </w:pPr>
            <w:r>
              <w:rPr>
                <w:sz w:val="22"/>
                <w:szCs w:val="22"/>
              </w:rPr>
              <w:t>4</w:t>
            </w:r>
          </w:p>
          <w:p w14:paraId="2A7D552B" w14:textId="5C9764B0" w:rsidR="00B0593D" w:rsidRPr="007D1EC2" w:rsidRDefault="00B0593D" w:rsidP="00B0593D">
            <w:pPr>
              <w:pStyle w:val="TableRowCentered"/>
              <w:jc w:val="left"/>
              <w:rPr>
                <w:sz w:val="22"/>
                <w:szCs w:val="22"/>
              </w:rPr>
            </w:pPr>
          </w:p>
        </w:tc>
      </w:tr>
      <w:tr w:rsidR="00B0593D" w14:paraId="2A7D5530" w14:textId="77777777" w:rsidTr="00516FB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C787E34" w:rsidR="00B0593D" w:rsidRPr="007D1EC2" w:rsidRDefault="00B0593D" w:rsidP="00F15D35">
            <w:pPr>
              <w:pStyle w:val="TableRow"/>
              <w:rPr>
                <w:i/>
                <w:sz w:val="22"/>
                <w:szCs w:val="22"/>
              </w:rPr>
            </w:pPr>
            <w:r>
              <w:rPr>
                <w:i/>
                <w:sz w:val="22"/>
                <w:szCs w:val="22"/>
              </w:rPr>
              <w:t>Literacy tuition</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53F5D07" w:rsidR="00B0593D" w:rsidRPr="007D1EC2" w:rsidRDefault="00B0593D" w:rsidP="00F15D35">
            <w:pPr>
              <w:pStyle w:val="TableRowCentered"/>
              <w:jc w:val="left"/>
              <w:rPr>
                <w:sz w:val="22"/>
                <w:szCs w:val="22"/>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B808989" w:rsidR="00B0593D" w:rsidRPr="007D1EC2" w:rsidRDefault="00B0593D" w:rsidP="005D4803">
            <w:pPr>
              <w:pStyle w:val="TableRowCentered"/>
              <w:numPr>
                <w:ilvl w:val="0"/>
                <w:numId w:val="18"/>
              </w:numPr>
              <w:jc w:val="left"/>
              <w:rPr>
                <w:sz w:val="22"/>
                <w:szCs w:val="22"/>
              </w:rPr>
            </w:pPr>
          </w:p>
        </w:tc>
      </w:tr>
      <w:tr w:rsidR="0061571E" w14:paraId="0A62DD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4B57F" w14:textId="390D3D85" w:rsidR="0061571E" w:rsidRDefault="00EE43A7" w:rsidP="00F15D35">
            <w:pPr>
              <w:pStyle w:val="TableRow"/>
              <w:rPr>
                <w:i/>
                <w:sz w:val="22"/>
              </w:rPr>
            </w:pPr>
            <w:r>
              <w:rPr>
                <w:rFonts w:ascii="Arial" w:hAnsi="Arial" w:cs="Arial"/>
                <w:color w:val="000000"/>
                <w:sz w:val="22"/>
                <w:szCs w:val="22"/>
              </w:rPr>
              <w:t>Thrive and Elsa staff to support children who are having difficulty accessing learning through behavioural issues, using the Thrive approach to support their management of their own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578B"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EEF (+4)</w:t>
            </w:r>
          </w:p>
          <w:p w14:paraId="03242D2B"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 xml:space="preserve">Social and Emotional Learning – interventions which target social and emotional learning seek to improve pupil’s interaction with others and </w:t>
            </w:r>
            <w:proofErr w:type="spellStart"/>
            <w:r w:rsidRPr="00EE43A7">
              <w:rPr>
                <w:rFonts w:ascii="Arial" w:eastAsia="Times New Roman" w:hAnsi="Arial" w:cs="Arial"/>
                <w:color w:val="000000"/>
                <w:sz w:val="22"/>
                <w:szCs w:val="22"/>
              </w:rPr>
              <w:t>self management</w:t>
            </w:r>
            <w:proofErr w:type="spellEnd"/>
            <w:r w:rsidRPr="00EE43A7">
              <w:rPr>
                <w:rFonts w:ascii="Arial" w:eastAsia="Times New Roman" w:hAnsi="Arial" w:cs="Arial"/>
                <w:color w:val="000000"/>
                <w:sz w:val="22"/>
                <w:szCs w:val="22"/>
              </w:rPr>
              <w:t xml:space="preserve"> of emotions, rather than focusing directly on the academic or cognitive elements of learning.  SEL interventions might focus on the ways in which students work with (and alongside) their peers, teachers, family and community.  These include : specialised programmes which are targeted at students with particular social or emotional needs.</w:t>
            </w:r>
          </w:p>
          <w:p w14:paraId="1DE56A8B" w14:textId="77777777" w:rsidR="00EE43A7" w:rsidRPr="00EE43A7" w:rsidRDefault="00EE43A7" w:rsidP="00EE43A7">
            <w:pPr>
              <w:spacing w:after="0" w:line="240" w:lineRule="auto"/>
              <w:rPr>
                <w:rFonts w:ascii="Times New Roman" w:eastAsia="Times New Roman" w:hAnsi="Times New Roman" w:cs="Times New Roman"/>
                <w:sz w:val="24"/>
                <w:szCs w:val="24"/>
              </w:rPr>
            </w:pPr>
          </w:p>
          <w:p w14:paraId="05351884"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shd w:val="clear" w:color="auto" w:fill="FFFFFF"/>
              </w:rPr>
              <w:t xml:space="preserve">Think of yourself: </w:t>
            </w:r>
            <w:proofErr w:type="spellStart"/>
            <w:r w:rsidRPr="00EE43A7">
              <w:rPr>
                <w:rFonts w:ascii="Arial" w:eastAsia="Times New Roman" w:hAnsi="Arial" w:cs="Arial"/>
                <w:color w:val="000000"/>
                <w:sz w:val="22"/>
                <w:szCs w:val="22"/>
                <w:shd w:val="clear" w:color="auto" w:fill="FFFFFF"/>
              </w:rPr>
              <w:t>self regulation</w:t>
            </w:r>
            <w:proofErr w:type="spellEnd"/>
            <w:r w:rsidRPr="00EE43A7">
              <w:rPr>
                <w:rFonts w:ascii="Arial" w:eastAsia="Times New Roman" w:hAnsi="Arial" w:cs="Arial"/>
                <w:color w:val="000000"/>
                <w:sz w:val="22"/>
                <w:szCs w:val="22"/>
                <w:shd w:val="clear" w:color="auto" w:fill="FFFFFF"/>
              </w:rPr>
              <w:t xml:space="preserve"> and metacognition from What Works? Research and evidence for successful teaching - Lee Elliot Major and Steve Higgins p35-40</w:t>
            </w:r>
          </w:p>
          <w:p w14:paraId="60FA250A"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u w:val="single"/>
                <w:shd w:val="clear" w:color="auto" w:fill="FFFFFF"/>
              </w:rPr>
              <w:t>https://www.bloomsbury.com/uk/what-works-9781472965639/</w:t>
            </w:r>
          </w:p>
          <w:p w14:paraId="0C1397E4" w14:textId="55146EDC" w:rsidR="009C4087" w:rsidRPr="009C4087" w:rsidRDefault="009C4087" w:rsidP="00F15D35">
            <w:pPr>
              <w:pStyle w:val="TableRowCentered"/>
              <w:jc w:val="left"/>
              <w:rPr>
                <w:b/>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4578" w14:textId="50E6DD24" w:rsidR="00A82DCF" w:rsidRDefault="00A82DCF" w:rsidP="008B034B">
            <w:pPr>
              <w:pStyle w:val="TableRowCentered"/>
              <w:ind w:left="0"/>
              <w:jc w:val="left"/>
              <w:rPr>
                <w:sz w:val="22"/>
              </w:rPr>
            </w:pPr>
            <w:r>
              <w:rPr>
                <w:sz w:val="22"/>
              </w:rPr>
              <w:t>4</w:t>
            </w:r>
          </w:p>
          <w:p w14:paraId="66B6B5A1" w14:textId="6B00FE36" w:rsidR="0061571E" w:rsidRDefault="008B034B" w:rsidP="008B034B">
            <w:pPr>
              <w:pStyle w:val="TableRowCentered"/>
              <w:ind w:left="0"/>
              <w:jc w:val="left"/>
              <w:rPr>
                <w:sz w:val="22"/>
              </w:rPr>
            </w:pPr>
            <w:r>
              <w:rPr>
                <w:sz w:val="22"/>
              </w:rPr>
              <w:t>5</w:t>
            </w:r>
          </w:p>
        </w:tc>
      </w:tr>
      <w:tr w:rsidR="00EE43A7" w14:paraId="52AB39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EA96" w14:textId="77777777" w:rsidR="00EE43A7" w:rsidRDefault="00EE43A7" w:rsidP="00F15D35">
            <w:pPr>
              <w:pStyle w:val="TableRow"/>
              <w:rPr>
                <w:rFonts w:ascii="Arial" w:hAnsi="Arial" w:cs="Arial"/>
                <w:sz w:val="22"/>
                <w:szCs w:val="22"/>
              </w:rPr>
            </w:pPr>
            <w:r>
              <w:rPr>
                <w:rFonts w:ascii="Arial" w:hAnsi="Arial" w:cs="Arial"/>
                <w:sz w:val="22"/>
                <w:szCs w:val="22"/>
              </w:rPr>
              <w:t xml:space="preserve">Purchases Accelerated Reader to help support pupils with their comprehension and vocabulary. </w:t>
            </w:r>
          </w:p>
          <w:p w14:paraId="70ED8B24" w14:textId="77777777" w:rsidR="00EE43A7" w:rsidRDefault="00EE43A7" w:rsidP="00F15D35">
            <w:pPr>
              <w:pStyle w:val="TableRow"/>
              <w:rPr>
                <w:rFonts w:ascii="Arial" w:hAnsi="Arial" w:cs="Arial"/>
                <w:color w:val="000000"/>
                <w:sz w:val="22"/>
                <w:szCs w:val="22"/>
              </w:rPr>
            </w:pPr>
          </w:p>
          <w:p w14:paraId="736AE687" w14:textId="5A74FD87" w:rsidR="00EE43A7" w:rsidRDefault="00EE43A7" w:rsidP="00F15D35">
            <w:pPr>
              <w:pStyle w:val="TableRow"/>
              <w:rPr>
                <w:rFonts w:ascii="Arial" w:hAnsi="Arial" w:cs="Arial"/>
                <w:color w:val="000000"/>
                <w:sz w:val="22"/>
                <w:szCs w:val="22"/>
              </w:rPr>
            </w:pPr>
            <w:r>
              <w:rPr>
                <w:rFonts w:ascii="Arial" w:hAnsi="Arial" w:cs="Arial"/>
                <w:color w:val="000000"/>
                <w:sz w:val="22"/>
                <w:szCs w:val="22"/>
              </w:rPr>
              <w:t xml:space="preserve">This also acts as a diagnostic and assessment tool to support pupils needs.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5492" w14:textId="77777777" w:rsidR="00EE43A7" w:rsidRDefault="00EE43A7" w:rsidP="00EE43A7">
            <w:pPr>
              <w:pStyle w:val="NormalWeb"/>
              <w:spacing w:before="60" w:beforeAutospacing="0" w:after="60" w:afterAutospacing="0"/>
              <w:ind w:left="57" w:right="57"/>
            </w:pPr>
            <w:r>
              <w:rPr>
                <w:rFonts w:ascii="Arial" w:hAnsi="Arial" w:cs="Arial"/>
                <w:color w:val="0D0D0D"/>
                <w:sz w:val="22"/>
                <w:szCs w:val="22"/>
              </w:rPr>
              <w:t>Accelerated Reader supports all children in making progress in reading. </w:t>
            </w:r>
          </w:p>
          <w:p w14:paraId="07AA525E" w14:textId="77777777" w:rsidR="00EE43A7" w:rsidRDefault="00EE43A7" w:rsidP="00EE43A7"/>
          <w:p w14:paraId="2C2684CA" w14:textId="77777777" w:rsidR="00EE43A7" w:rsidRDefault="004E0D4E" w:rsidP="00EE43A7">
            <w:pPr>
              <w:pStyle w:val="NormalWeb"/>
              <w:numPr>
                <w:ilvl w:val="0"/>
                <w:numId w:val="1"/>
              </w:numPr>
              <w:spacing w:before="60" w:after="60"/>
              <w:ind w:left="57" w:right="57"/>
            </w:pPr>
            <w:hyperlink r:id="rId10" w:history="1">
              <w:r w:rsidR="00EE43A7">
                <w:rPr>
                  <w:rStyle w:val="Hyperlink"/>
                  <w:rFonts w:eastAsiaTheme="majorEastAsia" w:cs="Arial"/>
                  <w:color w:val="1155CC"/>
                  <w:sz w:val="22"/>
                  <w:szCs w:val="22"/>
                </w:rPr>
                <w:t>https://www.renaissance.com/products/accelerated-reader/evidence/</w:t>
              </w:r>
            </w:hyperlink>
            <w:r w:rsidR="00EE43A7">
              <w:rPr>
                <w:rFonts w:ascii="Arial" w:hAnsi="Arial" w:cs="Arial"/>
                <w:color w:val="0D0D0D"/>
                <w:sz w:val="22"/>
                <w:szCs w:val="22"/>
              </w:rPr>
              <w:t> </w:t>
            </w:r>
          </w:p>
          <w:p w14:paraId="671AACB2" w14:textId="77777777" w:rsidR="00EE43A7" w:rsidRPr="00EE43A7" w:rsidRDefault="00EE43A7" w:rsidP="00EE43A7">
            <w:pPr>
              <w:spacing w:before="60" w:after="60" w:line="240" w:lineRule="auto"/>
              <w:ind w:left="57" w:right="57"/>
              <w:rPr>
                <w:rFonts w:ascii="Arial" w:eastAsia="Times New Roman" w:hAnsi="Arial" w:cs="Arial"/>
                <w:color w:val="000000"/>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018FC" w14:textId="43BE9208" w:rsidR="00EE43A7" w:rsidRDefault="00A82DCF" w:rsidP="008B034B">
            <w:pPr>
              <w:pStyle w:val="TableRowCentered"/>
              <w:ind w:left="0"/>
              <w:jc w:val="left"/>
              <w:rPr>
                <w:sz w:val="22"/>
              </w:rPr>
            </w:pPr>
            <w:r>
              <w:rPr>
                <w:sz w:val="22"/>
              </w:rPr>
              <w:t>1</w:t>
            </w:r>
          </w:p>
        </w:tc>
      </w:tr>
      <w:tr w:rsidR="00663BE5" w14:paraId="1F96B2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F97B" w14:textId="1A3A69C2" w:rsidR="00663BE5" w:rsidRDefault="00663BE5" w:rsidP="00F15D35">
            <w:pPr>
              <w:pStyle w:val="TableRow"/>
              <w:rPr>
                <w:i/>
                <w:sz w:val="22"/>
              </w:rPr>
            </w:pPr>
            <w:r>
              <w:rPr>
                <w:i/>
                <w:sz w:val="22"/>
              </w:rPr>
              <w:t xml:space="preserve">Teaching equipment and materials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5A00" w14:textId="77777777" w:rsidR="00800FDB" w:rsidRDefault="002B0385" w:rsidP="00F15D35">
            <w:pPr>
              <w:pStyle w:val="TableRowCentered"/>
              <w:jc w:val="left"/>
              <w:rPr>
                <w:sz w:val="22"/>
              </w:rPr>
            </w:pPr>
            <w:r>
              <w:rPr>
                <w:sz w:val="22"/>
              </w:rPr>
              <w:t>Provision of additional materials</w:t>
            </w:r>
            <w:r w:rsidR="00800FDB">
              <w:rPr>
                <w:sz w:val="22"/>
              </w:rPr>
              <w:t xml:space="preserve"> to support access to curriculum and enrichment. Including: </w:t>
            </w:r>
          </w:p>
          <w:p w14:paraId="6DB939AB" w14:textId="77777777" w:rsidR="00800FDB" w:rsidRDefault="00800FDB" w:rsidP="00800FDB">
            <w:pPr>
              <w:pStyle w:val="TableRowCentered"/>
              <w:numPr>
                <w:ilvl w:val="0"/>
                <w:numId w:val="14"/>
              </w:numPr>
              <w:jc w:val="left"/>
              <w:rPr>
                <w:sz w:val="22"/>
              </w:rPr>
            </w:pPr>
            <w:r>
              <w:rPr>
                <w:sz w:val="22"/>
              </w:rPr>
              <w:t>Blended Learning provision and access to technology, for future school closures.</w:t>
            </w:r>
          </w:p>
          <w:p w14:paraId="50067F2D" w14:textId="237DED3B" w:rsidR="00800FDB" w:rsidRDefault="00800FDB" w:rsidP="00800FDB">
            <w:pPr>
              <w:pStyle w:val="TableRowCentered"/>
              <w:numPr>
                <w:ilvl w:val="0"/>
                <w:numId w:val="14"/>
              </w:numPr>
              <w:jc w:val="left"/>
              <w:rPr>
                <w:sz w:val="22"/>
              </w:rPr>
            </w:pPr>
            <w:r>
              <w:rPr>
                <w:sz w:val="22"/>
              </w:rPr>
              <w:t>Food a</w:t>
            </w:r>
            <w:r w:rsidR="008B034B">
              <w:rPr>
                <w:sz w:val="22"/>
              </w:rPr>
              <w:t>n</w:t>
            </w:r>
            <w:r>
              <w:rPr>
                <w:sz w:val="22"/>
              </w:rPr>
              <w:t>d DT resources</w:t>
            </w:r>
          </w:p>
          <w:p w14:paraId="42A759E7" w14:textId="77777777" w:rsidR="00800FDB" w:rsidRDefault="00800FDB" w:rsidP="00800FDB">
            <w:pPr>
              <w:pStyle w:val="TableRowCentered"/>
              <w:numPr>
                <w:ilvl w:val="0"/>
                <w:numId w:val="14"/>
              </w:numPr>
              <w:jc w:val="left"/>
              <w:rPr>
                <w:sz w:val="22"/>
              </w:rPr>
            </w:pPr>
            <w:r>
              <w:rPr>
                <w:sz w:val="22"/>
              </w:rPr>
              <w:t>Art provision</w:t>
            </w:r>
          </w:p>
          <w:p w14:paraId="37AEC47E" w14:textId="77777777" w:rsidR="00800FDB" w:rsidRDefault="00800FDB" w:rsidP="00800FDB">
            <w:pPr>
              <w:pStyle w:val="TableRowCentered"/>
              <w:numPr>
                <w:ilvl w:val="0"/>
                <w:numId w:val="14"/>
              </w:numPr>
              <w:jc w:val="left"/>
              <w:rPr>
                <w:sz w:val="22"/>
              </w:rPr>
            </w:pPr>
            <w:r>
              <w:rPr>
                <w:sz w:val="22"/>
              </w:rPr>
              <w:t>School Uniform</w:t>
            </w:r>
          </w:p>
          <w:p w14:paraId="408ECE15" w14:textId="0151E6C5" w:rsidR="00663BE5" w:rsidRDefault="00800FDB" w:rsidP="00800FDB">
            <w:pPr>
              <w:pStyle w:val="TableRowCentered"/>
              <w:numPr>
                <w:ilvl w:val="0"/>
                <w:numId w:val="14"/>
              </w:numPr>
              <w:jc w:val="left"/>
              <w:rPr>
                <w:sz w:val="22"/>
              </w:rPr>
            </w:pPr>
            <w:r>
              <w:rPr>
                <w:sz w:val="22"/>
              </w:rPr>
              <w:t>Music tuition</w:t>
            </w:r>
            <w:r w:rsidR="002B0385">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7233D" w14:textId="77777777" w:rsidR="00663BE5" w:rsidRDefault="00800FDB" w:rsidP="00800FDB">
            <w:pPr>
              <w:pStyle w:val="TableRowCentered"/>
              <w:jc w:val="left"/>
              <w:rPr>
                <w:sz w:val="22"/>
              </w:rPr>
            </w:pPr>
            <w:r>
              <w:rPr>
                <w:sz w:val="22"/>
              </w:rPr>
              <w:t>1</w:t>
            </w:r>
          </w:p>
          <w:p w14:paraId="7B4076AE" w14:textId="77777777" w:rsidR="00800FDB" w:rsidRDefault="00800FDB" w:rsidP="00800FDB">
            <w:pPr>
              <w:pStyle w:val="TableRowCentered"/>
              <w:jc w:val="left"/>
              <w:rPr>
                <w:sz w:val="22"/>
              </w:rPr>
            </w:pPr>
            <w:r>
              <w:rPr>
                <w:sz w:val="22"/>
              </w:rPr>
              <w:t>2</w:t>
            </w:r>
          </w:p>
          <w:p w14:paraId="190F0633" w14:textId="00F52297" w:rsidR="00800FDB" w:rsidRDefault="00800FDB" w:rsidP="00800FDB">
            <w:pPr>
              <w:pStyle w:val="TableRowCentered"/>
              <w:jc w:val="left"/>
              <w:rPr>
                <w:sz w:val="22"/>
              </w:rPr>
            </w:pPr>
            <w:r>
              <w:rPr>
                <w:sz w:val="22"/>
              </w:rPr>
              <w:t>3</w:t>
            </w:r>
          </w:p>
          <w:p w14:paraId="573C9AA0" w14:textId="114270D6" w:rsidR="00A82DCF" w:rsidRDefault="00A82DCF" w:rsidP="00800FDB">
            <w:pPr>
              <w:pStyle w:val="TableRowCentered"/>
              <w:jc w:val="left"/>
              <w:rPr>
                <w:sz w:val="22"/>
              </w:rPr>
            </w:pPr>
            <w:r>
              <w:rPr>
                <w:sz w:val="22"/>
              </w:rPr>
              <w:t>4</w:t>
            </w:r>
          </w:p>
          <w:p w14:paraId="3CEF7225" w14:textId="48FADC51" w:rsidR="00A82DCF" w:rsidRDefault="00A82DCF" w:rsidP="00800FDB">
            <w:pPr>
              <w:pStyle w:val="TableRowCentered"/>
              <w:jc w:val="left"/>
              <w:rPr>
                <w:sz w:val="22"/>
              </w:rPr>
            </w:pPr>
            <w:r>
              <w:rPr>
                <w:sz w:val="22"/>
              </w:rPr>
              <w:t>5</w:t>
            </w:r>
          </w:p>
          <w:p w14:paraId="4184D2C5" w14:textId="2D650F77" w:rsidR="00800FDB" w:rsidRDefault="00800FDB" w:rsidP="00800FDB">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C8252A2" w:rsidR="00E66558" w:rsidRDefault="009D71E8">
      <w:pPr>
        <w:spacing w:before="240"/>
      </w:pPr>
      <w:r>
        <w:t xml:space="preserve">Budgeted cost: </w:t>
      </w:r>
      <w:r w:rsidRPr="00867AC1">
        <w:t xml:space="preserve">£ </w:t>
      </w:r>
      <w:r w:rsidR="00867AC1" w:rsidRPr="00867AC1">
        <w:t>1</w:t>
      </w:r>
      <w:r w:rsidR="00867AC1">
        <w:t>52</w:t>
      </w:r>
      <w:r w:rsidR="00867AC1" w:rsidRPr="00867AC1">
        <w:t>,000</w:t>
      </w:r>
    </w:p>
    <w:tbl>
      <w:tblPr>
        <w:tblW w:w="5000" w:type="pct"/>
        <w:tblCellMar>
          <w:left w:w="10" w:type="dxa"/>
          <w:right w:w="10" w:type="dxa"/>
        </w:tblCellMar>
        <w:tblLook w:val="04A0" w:firstRow="1" w:lastRow="0" w:firstColumn="1" w:lastColumn="0" w:noHBand="0" w:noVBand="1"/>
      </w:tblPr>
      <w:tblGrid>
        <w:gridCol w:w="1948"/>
        <w:gridCol w:w="5668"/>
        <w:gridCol w:w="1870"/>
      </w:tblGrid>
      <w:tr w:rsidR="00E66558" w14:paraId="2A7D5537"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564A3" w14:paraId="2A7D553B" w14:textId="77777777" w:rsidTr="00880571">
        <w:tc>
          <w:tcPr>
            <w:tcW w:w="19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8" w14:textId="3B90A19A" w:rsidR="006564A3" w:rsidRDefault="006564A3">
            <w:pPr>
              <w:pStyle w:val="TableRow"/>
            </w:pPr>
            <w:r>
              <w:rPr>
                <w:i/>
                <w:iCs/>
                <w:sz w:val="22"/>
                <w:szCs w:val="22"/>
              </w:rPr>
              <w:t>Wellbeing</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8E6E84F" w:rsidR="006564A3" w:rsidRDefault="006564A3" w:rsidP="008B034B">
            <w:pPr>
              <w:pStyle w:val="TableRowCentered"/>
              <w:jc w:val="left"/>
              <w:rPr>
                <w:sz w:val="22"/>
              </w:rPr>
            </w:pPr>
            <w:r>
              <w:rPr>
                <w:sz w:val="22"/>
              </w:rPr>
              <w:t>Forest School and additional training for staff as required to support transition of year 5 pupils and SEMH</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6D58296" w:rsidR="006564A3" w:rsidRDefault="006564A3">
            <w:pPr>
              <w:pStyle w:val="TableRowCentered"/>
              <w:jc w:val="left"/>
              <w:rPr>
                <w:sz w:val="22"/>
              </w:rPr>
            </w:pPr>
            <w:r>
              <w:rPr>
                <w:sz w:val="22"/>
              </w:rPr>
              <w:t>5</w:t>
            </w:r>
          </w:p>
        </w:tc>
      </w:tr>
      <w:tr w:rsidR="006564A3" w14:paraId="2A7D553F" w14:textId="77777777" w:rsidTr="00880571">
        <w:tc>
          <w:tcPr>
            <w:tcW w:w="19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1EDADBB" w:rsidR="006564A3" w:rsidRPr="00405301" w:rsidRDefault="006564A3">
            <w:pPr>
              <w:pStyle w:val="TableRow"/>
              <w:rPr>
                <w:sz w:val="22"/>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6C2C8" w14:textId="77777777" w:rsidR="006564A3" w:rsidRDefault="006564A3">
            <w:pPr>
              <w:pStyle w:val="TableRowCentered"/>
              <w:jc w:val="left"/>
              <w:rPr>
                <w:sz w:val="22"/>
              </w:rPr>
            </w:pPr>
            <w:r>
              <w:rPr>
                <w:sz w:val="22"/>
              </w:rPr>
              <w:t>Mindfulness timetabled for all groups in year 8 to support SEMH and wellbeing</w:t>
            </w:r>
          </w:p>
          <w:p w14:paraId="1F5DF041" w14:textId="6C8E8795" w:rsidR="006564A3" w:rsidRDefault="006564A3">
            <w:pPr>
              <w:pStyle w:val="TableRowCentered"/>
              <w:jc w:val="left"/>
              <w:rPr>
                <w:rFonts w:cstheme="minorHAnsi"/>
                <w:i/>
                <w:color w:val="auto"/>
                <w:sz w:val="22"/>
                <w:szCs w:val="22"/>
                <w:shd w:val="clear" w:color="auto" w:fill="FFFFFF"/>
              </w:rPr>
            </w:pPr>
            <w:r w:rsidRPr="009C4087">
              <w:rPr>
                <w:rFonts w:cstheme="minorHAnsi"/>
                <w:i/>
                <w:color w:val="auto"/>
                <w:sz w:val="22"/>
                <w:szCs w:val="22"/>
                <w:shd w:val="clear" w:color="auto" w:fill="FFFFFF"/>
              </w:rPr>
              <w:t>Practical problem-solving, explicit reflection and discussion of thinking and emotion may also be involved.</w:t>
            </w:r>
          </w:p>
          <w:p w14:paraId="2A7D553D" w14:textId="2274BE84" w:rsidR="006564A3" w:rsidRPr="009C4087" w:rsidRDefault="004E0D4E">
            <w:pPr>
              <w:pStyle w:val="TableRowCentered"/>
              <w:jc w:val="left"/>
              <w:rPr>
                <w:rFonts w:cstheme="minorHAnsi"/>
                <w:i/>
                <w:sz w:val="22"/>
                <w:szCs w:val="22"/>
              </w:rPr>
            </w:pPr>
            <w:hyperlink r:id="rId11" w:history="1">
              <w:r w:rsidR="006564A3" w:rsidRPr="004945FE">
                <w:rPr>
                  <w:rStyle w:val="Hyperlink"/>
                  <w:rFonts w:asciiTheme="minorHAnsi" w:hAnsiTheme="minorHAnsi" w:cstheme="minorHAnsi"/>
                  <w:i/>
                  <w:sz w:val="22"/>
                  <w:szCs w:val="22"/>
                </w:rPr>
                <w:t>https://educationendowmentfoundation.org.uk/education-evidence/teaching-learning-toolkit/metacognition-and-self-regulation</w:t>
              </w:r>
            </w:hyperlink>
            <w:r w:rsidR="006564A3">
              <w:rPr>
                <w:rFonts w:cstheme="minorHAnsi"/>
                <w:i/>
                <w:sz w:val="22"/>
                <w:szCs w:val="22"/>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94A7015" w:rsidR="006564A3" w:rsidRDefault="006564A3">
            <w:pPr>
              <w:pStyle w:val="TableRowCentered"/>
              <w:jc w:val="left"/>
              <w:rPr>
                <w:sz w:val="22"/>
              </w:rPr>
            </w:pPr>
            <w:r>
              <w:rPr>
                <w:sz w:val="22"/>
              </w:rPr>
              <w:t>5</w:t>
            </w:r>
          </w:p>
        </w:tc>
      </w:tr>
      <w:tr w:rsidR="0098264C" w14:paraId="2A6538E9"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BD35" w14:textId="1D1F0155" w:rsidR="0098264C" w:rsidRPr="00405301" w:rsidRDefault="00B02133">
            <w:pPr>
              <w:pStyle w:val="TableRow"/>
              <w:rPr>
                <w:sz w:val="22"/>
              </w:rPr>
            </w:pPr>
            <w:r w:rsidRPr="00405301">
              <w:rPr>
                <w:sz w:val="22"/>
              </w:rPr>
              <w:t>Year 5 &amp; 8 transitions</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8660" w14:textId="209CE232" w:rsidR="0098264C" w:rsidRDefault="008B034B">
            <w:pPr>
              <w:pStyle w:val="TableRowCentered"/>
              <w:jc w:val="left"/>
              <w:rPr>
                <w:sz w:val="22"/>
              </w:rPr>
            </w:pPr>
            <w:r>
              <w:rPr>
                <w:sz w:val="22"/>
              </w:rPr>
              <w:t xml:space="preserve">Allocated funding to support enhanced transition in year 5 and 8 in support of vulnerable pupils and families.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0B4A" w14:textId="77777777" w:rsidR="00A82DCF" w:rsidRDefault="00A82DCF">
            <w:pPr>
              <w:pStyle w:val="TableRowCentered"/>
              <w:jc w:val="left"/>
              <w:rPr>
                <w:sz w:val="22"/>
              </w:rPr>
            </w:pPr>
            <w:r>
              <w:rPr>
                <w:sz w:val="22"/>
              </w:rPr>
              <w:t>4</w:t>
            </w:r>
          </w:p>
          <w:p w14:paraId="6B07EEE8" w14:textId="505D6D61" w:rsidR="0098264C" w:rsidRDefault="006564A3">
            <w:pPr>
              <w:pStyle w:val="TableRowCentered"/>
              <w:jc w:val="left"/>
              <w:rPr>
                <w:sz w:val="22"/>
              </w:rPr>
            </w:pPr>
            <w:r>
              <w:rPr>
                <w:sz w:val="22"/>
              </w:rPr>
              <w:t>5</w:t>
            </w:r>
          </w:p>
        </w:tc>
      </w:tr>
      <w:tr w:rsidR="008B034B" w14:paraId="75060A4A"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6E957" w14:textId="3D0635E7" w:rsidR="008B034B" w:rsidRPr="00405301" w:rsidRDefault="008B034B">
            <w:pPr>
              <w:pStyle w:val="TableRow"/>
              <w:rPr>
                <w:sz w:val="22"/>
              </w:rPr>
            </w:pPr>
            <w:r>
              <w:rPr>
                <w:sz w:val="22"/>
              </w:rPr>
              <w:t xml:space="preserve">Pastoral and behavioural support manager </w:t>
            </w:r>
            <w:r w:rsidR="00F45D93">
              <w:rPr>
                <w:sz w:val="22"/>
              </w:rPr>
              <w:t>and team</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C2E6" w14:textId="77777777" w:rsidR="008B034B" w:rsidRDefault="008B034B">
            <w:pPr>
              <w:pStyle w:val="TableRowCentered"/>
              <w:jc w:val="left"/>
              <w:rPr>
                <w:sz w:val="22"/>
              </w:rPr>
            </w:pPr>
            <w:r>
              <w:rPr>
                <w:sz w:val="22"/>
              </w:rPr>
              <w:t xml:space="preserve">Dedicated support for pupils facing behavioural and emotional barriers to learning </w:t>
            </w:r>
          </w:p>
          <w:p w14:paraId="41D2AEE2" w14:textId="5C0BD6CB" w:rsidR="009C4087" w:rsidRDefault="004E0D4E">
            <w:pPr>
              <w:pStyle w:val="TableRowCentered"/>
              <w:jc w:val="left"/>
              <w:rPr>
                <w:sz w:val="22"/>
              </w:rPr>
            </w:pPr>
            <w:hyperlink r:id="rId12" w:history="1">
              <w:r w:rsidR="009C4087" w:rsidRPr="004945FE">
                <w:rPr>
                  <w:rStyle w:val="Hyperlink"/>
                  <w:rFonts w:asciiTheme="minorHAnsi" w:hAnsiTheme="minorHAnsi"/>
                  <w:sz w:val="22"/>
                </w:rPr>
                <w:t>https://educationendowmentfoundation.org.uk/education-evidence/teaching-learning-toolkit/behaviour-interventions</w:t>
              </w:r>
            </w:hyperlink>
            <w:r w:rsidR="009C4087">
              <w:rPr>
                <w:sz w:val="22"/>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6127" w14:textId="77777777" w:rsidR="00A82DCF" w:rsidRDefault="00A82DCF">
            <w:pPr>
              <w:pStyle w:val="TableRowCentered"/>
              <w:jc w:val="left"/>
              <w:rPr>
                <w:sz w:val="22"/>
              </w:rPr>
            </w:pPr>
            <w:r>
              <w:rPr>
                <w:sz w:val="22"/>
              </w:rPr>
              <w:t>4</w:t>
            </w:r>
          </w:p>
          <w:p w14:paraId="4A8BECBE" w14:textId="7E383461" w:rsidR="008B034B" w:rsidRDefault="006564A3">
            <w:pPr>
              <w:pStyle w:val="TableRowCentered"/>
              <w:jc w:val="left"/>
              <w:rPr>
                <w:sz w:val="22"/>
              </w:rPr>
            </w:pPr>
            <w:r>
              <w:rPr>
                <w:sz w:val="22"/>
              </w:rPr>
              <w:t>5</w:t>
            </w:r>
          </w:p>
        </w:tc>
      </w:tr>
      <w:tr w:rsidR="00BA093E" w14:paraId="34E19E0E"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1D1BC" w14:textId="32028BFA" w:rsidR="00BA093E" w:rsidRDefault="00EE43A7">
            <w:pPr>
              <w:pStyle w:val="TableRow"/>
              <w:rPr>
                <w:sz w:val="22"/>
              </w:rPr>
            </w:pPr>
            <w:r>
              <w:rPr>
                <w:rFonts w:ascii="Arial" w:hAnsi="Arial" w:cs="Arial"/>
                <w:color w:val="000000"/>
                <w:sz w:val="22"/>
                <w:szCs w:val="22"/>
              </w:rPr>
              <w:t>Peripatetic instrumental lessons or access to after school clubs</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34AF"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Children who are able to follow their hobbies and passions without finance being a barrier will be able to foster their love of music, raising their self-esteem.</w:t>
            </w:r>
          </w:p>
          <w:p w14:paraId="753A1887" w14:textId="77777777" w:rsidR="00EE43A7" w:rsidRPr="00EE43A7" w:rsidRDefault="00EE43A7" w:rsidP="00EE43A7">
            <w:pPr>
              <w:spacing w:after="0" w:line="240" w:lineRule="auto"/>
              <w:rPr>
                <w:rFonts w:ascii="Times New Roman" w:eastAsia="Times New Roman" w:hAnsi="Times New Roman" w:cs="Times New Roman"/>
                <w:sz w:val="24"/>
                <w:szCs w:val="24"/>
              </w:rPr>
            </w:pPr>
          </w:p>
          <w:p w14:paraId="50CBF604"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shd w:val="clear" w:color="auto" w:fill="FFFFFF"/>
              </w:rPr>
              <w:t>Sport for health and wider outcomes from What Works? Research and evidence for successful teaching - Lee Elliot Major and Steve Higgins p115-118</w:t>
            </w:r>
          </w:p>
          <w:p w14:paraId="3BA9E4C6"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u w:val="single"/>
                <w:shd w:val="clear" w:color="auto" w:fill="FFFFFF"/>
              </w:rPr>
              <w:t>https://www.bloomsbury.com/uk/what-works-9781472965639/</w:t>
            </w:r>
          </w:p>
          <w:p w14:paraId="49E80C03" w14:textId="77777777" w:rsidR="00BA093E" w:rsidRDefault="00BA093E">
            <w:pPr>
              <w:pStyle w:val="TableRowCentered"/>
              <w:jc w:val="left"/>
              <w:rPr>
                <w:sz w:val="22"/>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1AC73" w14:textId="6D21EF01" w:rsidR="00BA093E" w:rsidRDefault="00A82DCF">
            <w:pPr>
              <w:pStyle w:val="TableRowCentered"/>
              <w:jc w:val="left"/>
              <w:rPr>
                <w:sz w:val="22"/>
              </w:rPr>
            </w:pPr>
            <w:r>
              <w:rPr>
                <w:sz w:val="22"/>
              </w:rPr>
              <w:t>5</w:t>
            </w:r>
          </w:p>
        </w:tc>
      </w:tr>
      <w:tr w:rsidR="00BA093E" w14:paraId="158B029B"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E69F2" w14:textId="49DAF166" w:rsidR="00BA093E" w:rsidRDefault="00EE43A7">
            <w:pPr>
              <w:pStyle w:val="TableRow"/>
              <w:rPr>
                <w:sz w:val="22"/>
              </w:rPr>
            </w:pPr>
            <w:r>
              <w:rPr>
                <w:rFonts w:ascii="Arial" w:hAnsi="Arial" w:cs="Arial"/>
                <w:color w:val="000000"/>
                <w:sz w:val="22"/>
                <w:szCs w:val="22"/>
              </w:rPr>
              <w:t>Pupils are able to participate fully in school trips and residential trips which support learning and enhance the school’s curriculum</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342D" w14:textId="77777777" w:rsidR="00EE43A7" w:rsidRPr="00EE43A7" w:rsidRDefault="00EE43A7" w:rsidP="00EE43A7">
            <w:pPr>
              <w:spacing w:before="56" w:after="0" w:line="240" w:lineRule="auto"/>
              <w:ind w:left="113" w:right="146"/>
              <w:rPr>
                <w:rFonts w:ascii="Times New Roman" w:eastAsia="Times New Roman" w:hAnsi="Times New Roman" w:cs="Times New Roman"/>
                <w:sz w:val="24"/>
                <w:szCs w:val="24"/>
              </w:rPr>
            </w:pPr>
            <w:r w:rsidRPr="00EE43A7">
              <w:rPr>
                <w:rFonts w:ascii="Arial" w:eastAsia="Times New Roman" w:hAnsi="Arial" w:cs="Arial"/>
                <w:color w:val="000000"/>
                <w:sz w:val="22"/>
                <w:szCs w:val="22"/>
              </w:rPr>
              <w:t>PP children may not have access to the range of activities that non-PP children have.  This limits their wider life experiences e.g. access to the arts, restricting the development of knowledge, vocabulary and skills which they need to be able to draw upon to be successful. </w:t>
            </w:r>
          </w:p>
          <w:p w14:paraId="2D888FF8" w14:textId="77777777" w:rsidR="00EE43A7" w:rsidRPr="00EE43A7" w:rsidRDefault="00EE43A7" w:rsidP="00EE43A7">
            <w:pPr>
              <w:spacing w:before="56" w:after="0" w:line="240" w:lineRule="auto"/>
              <w:ind w:left="113" w:right="146"/>
              <w:rPr>
                <w:rFonts w:ascii="Times New Roman" w:eastAsia="Times New Roman" w:hAnsi="Times New Roman" w:cs="Times New Roman"/>
                <w:sz w:val="24"/>
                <w:szCs w:val="24"/>
              </w:rPr>
            </w:pPr>
            <w:r w:rsidRPr="00EE43A7">
              <w:rPr>
                <w:rFonts w:ascii="Arial" w:eastAsia="Times New Roman" w:hAnsi="Arial" w:cs="Arial"/>
                <w:color w:val="000000"/>
                <w:sz w:val="22"/>
                <w:szCs w:val="22"/>
              </w:rPr>
              <w:t> </w:t>
            </w:r>
          </w:p>
          <w:p w14:paraId="6B07ED0A"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 xml:space="preserve">https://educationendowmentfoundation.org.uk/eviden </w:t>
            </w:r>
            <w:proofErr w:type="spellStart"/>
            <w:r w:rsidRPr="00EE43A7">
              <w:rPr>
                <w:rFonts w:ascii="Arial" w:eastAsia="Times New Roman" w:hAnsi="Arial" w:cs="Arial"/>
                <w:color w:val="000000"/>
                <w:sz w:val="22"/>
                <w:szCs w:val="22"/>
              </w:rPr>
              <w:t>ce</w:t>
            </w:r>
            <w:proofErr w:type="spellEnd"/>
            <w:r w:rsidRPr="00EE43A7">
              <w:rPr>
                <w:rFonts w:ascii="Arial" w:eastAsia="Times New Roman" w:hAnsi="Arial" w:cs="Arial"/>
                <w:color w:val="000000"/>
                <w:sz w:val="22"/>
                <w:szCs w:val="22"/>
              </w:rPr>
              <w:t>-summaries/teaching-learning-toolkit/arts participation/ EEF suggests pupil who participate in adventure learning interventions make approximately +4 months progress over the course of a year</w:t>
            </w:r>
          </w:p>
          <w:p w14:paraId="02D32EC0" w14:textId="77777777" w:rsidR="00BA093E" w:rsidRDefault="00BA093E">
            <w:pPr>
              <w:pStyle w:val="TableRowCentered"/>
              <w:jc w:val="left"/>
              <w:rPr>
                <w:sz w:val="22"/>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3A50" w14:textId="6F6BAF97" w:rsidR="00BA093E" w:rsidRDefault="00A82DCF">
            <w:pPr>
              <w:pStyle w:val="TableRowCentered"/>
              <w:jc w:val="left"/>
              <w:rPr>
                <w:sz w:val="22"/>
              </w:rPr>
            </w:pPr>
            <w:r>
              <w:rPr>
                <w:sz w:val="22"/>
              </w:rPr>
              <w:t>5</w:t>
            </w:r>
          </w:p>
        </w:tc>
      </w:tr>
    </w:tbl>
    <w:p w14:paraId="704B0B4D" w14:textId="09FD777F" w:rsidR="00F17EAF" w:rsidRDefault="00F17EAF" w:rsidP="00120AB1"/>
    <w:p w14:paraId="6CD7BBE1" w14:textId="77777777" w:rsidR="00F17EAF" w:rsidRDefault="00F17EAF" w:rsidP="00F17EAF">
      <w:pPr>
        <w:pStyle w:val="Heading1"/>
      </w:pPr>
      <w:r>
        <w:t>Part B: Review of outcomes in the previous academic year</w:t>
      </w:r>
    </w:p>
    <w:p w14:paraId="2B4F8B85" w14:textId="77777777" w:rsidR="00F17EAF" w:rsidRDefault="00F17EAF" w:rsidP="00F17EAF">
      <w:pPr>
        <w:pStyle w:val="Heading2"/>
      </w:pPr>
      <w:r>
        <w:t>Pupil premium strategy outcomes</w:t>
      </w:r>
    </w:p>
    <w:p w14:paraId="25A82CA2" w14:textId="1A319239" w:rsidR="00F17EAF" w:rsidRDefault="00F17EAF" w:rsidP="00F17EAF">
      <w:r>
        <w:t>This details the impact that our pupil premium activity had on pupils in the 202</w:t>
      </w:r>
      <w:r w:rsidR="00A950F4">
        <w:t>1</w:t>
      </w:r>
      <w:r>
        <w:t xml:space="preserve"> to 202</w:t>
      </w:r>
      <w:r w:rsidR="00A950F4">
        <w:t>2</w:t>
      </w:r>
      <w:r>
        <w:t xml:space="preserve"> academic year. </w:t>
      </w:r>
    </w:p>
    <w:tbl>
      <w:tblPr>
        <w:tblW w:w="9493" w:type="dxa"/>
        <w:tblCellMar>
          <w:left w:w="10" w:type="dxa"/>
          <w:right w:w="10" w:type="dxa"/>
        </w:tblCellMar>
        <w:tblLook w:val="04A0" w:firstRow="1" w:lastRow="0" w:firstColumn="1" w:lastColumn="0" w:noHBand="0" w:noVBand="1"/>
      </w:tblPr>
      <w:tblGrid>
        <w:gridCol w:w="10002"/>
      </w:tblGrid>
      <w:tr w:rsidR="00F17EAF" w14:paraId="04F685FD" w14:textId="77777777" w:rsidTr="00DA6E60">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D1A8" w14:textId="4631B5AA" w:rsidR="005F42F2" w:rsidRDefault="005F42F2" w:rsidP="00DA6E60">
            <w:pPr>
              <w:rPr>
                <w:b/>
                <w:sz w:val="22"/>
                <w:szCs w:val="24"/>
              </w:rPr>
            </w:pPr>
            <w:r w:rsidRPr="005F42F2">
              <w:rPr>
                <w:b/>
                <w:sz w:val="22"/>
                <w:szCs w:val="24"/>
              </w:rPr>
              <w:t>Teaching impact:</w:t>
            </w:r>
          </w:p>
          <w:p w14:paraId="7C131D96" w14:textId="664D80F1" w:rsidR="005F42F2" w:rsidRDefault="005F42F2" w:rsidP="00DA6E60">
            <w:pPr>
              <w:rPr>
                <w:sz w:val="22"/>
                <w:szCs w:val="24"/>
              </w:rPr>
            </w:pPr>
            <w:r>
              <w:rPr>
                <w:sz w:val="22"/>
                <w:szCs w:val="24"/>
              </w:rPr>
              <w:t xml:space="preserve">We have used our Pupil Premium money effectively </w:t>
            </w:r>
            <w:r w:rsidR="001A537F">
              <w:rPr>
                <w:sz w:val="22"/>
                <w:szCs w:val="24"/>
              </w:rPr>
              <w:t>to</w:t>
            </w:r>
            <w:r>
              <w:rPr>
                <w:sz w:val="22"/>
                <w:szCs w:val="24"/>
              </w:rPr>
              <w:t xml:space="preserve"> reduc</w:t>
            </w:r>
            <w:r w:rsidR="001A537F">
              <w:rPr>
                <w:sz w:val="22"/>
                <w:szCs w:val="24"/>
              </w:rPr>
              <w:t>e</w:t>
            </w:r>
            <w:r>
              <w:rPr>
                <w:sz w:val="22"/>
                <w:szCs w:val="24"/>
              </w:rPr>
              <w:t xml:space="preserve"> class sizes and provide targeted academic support. We have also employed a specialist phonics teacher to help support our non-readers. The phonics teacher has had a positive impact on all selected </w:t>
            </w:r>
            <w:r w:rsidR="007E0B1E">
              <w:rPr>
                <w:sz w:val="22"/>
                <w:szCs w:val="24"/>
              </w:rPr>
              <w:t>pupils’</w:t>
            </w:r>
            <w:r>
              <w:rPr>
                <w:sz w:val="22"/>
                <w:szCs w:val="24"/>
              </w:rPr>
              <w:t xml:space="preserve"> ability to read and decode words. However, this did not translate into more positive SATs outcomes due to the pupil’s ability to access the whole text. </w:t>
            </w:r>
          </w:p>
          <w:p w14:paraId="7F9BE759" w14:textId="46588746" w:rsidR="005F42F2" w:rsidRDefault="005F42F2" w:rsidP="00DA6E60">
            <w:pPr>
              <w:rPr>
                <w:sz w:val="22"/>
                <w:szCs w:val="24"/>
              </w:rPr>
            </w:pPr>
            <w:r>
              <w:rPr>
                <w:sz w:val="22"/>
                <w:szCs w:val="24"/>
              </w:rPr>
              <w:t xml:space="preserve">Overall SATs outcomes for the year 21-22 have been positive despite having two years of disruptive learning due to the pandemic. </w:t>
            </w:r>
          </w:p>
          <w:p w14:paraId="4D4A6D95" w14:textId="5EB0BCD1" w:rsidR="001A537F" w:rsidRDefault="001A537F" w:rsidP="00DA6E60">
            <w:pPr>
              <w:rPr>
                <w:sz w:val="22"/>
                <w:szCs w:val="24"/>
              </w:rPr>
            </w:pPr>
            <w:r>
              <w:rPr>
                <w:sz w:val="22"/>
                <w:szCs w:val="24"/>
              </w:rPr>
              <w:t>Reading 60%</w:t>
            </w:r>
            <w:r w:rsidR="00576FC3">
              <w:rPr>
                <w:sz w:val="22"/>
                <w:szCs w:val="24"/>
              </w:rPr>
              <w:t xml:space="preserve"> PP 43%</w:t>
            </w:r>
            <w:r w:rsidR="007713FD">
              <w:rPr>
                <w:sz w:val="22"/>
                <w:szCs w:val="24"/>
              </w:rPr>
              <w:t xml:space="preserve"> (national PP- 62%)</w:t>
            </w:r>
          </w:p>
          <w:p w14:paraId="77F29CA1" w14:textId="582FA2AC" w:rsidR="00576FC3" w:rsidRDefault="00576FC3" w:rsidP="00DA6E60">
            <w:pPr>
              <w:rPr>
                <w:sz w:val="22"/>
                <w:szCs w:val="24"/>
              </w:rPr>
            </w:pPr>
            <w:r>
              <w:rPr>
                <w:sz w:val="22"/>
                <w:szCs w:val="24"/>
              </w:rPr>
              <w:t>Writing 72% (above national) PP 52%</w:t>
            </w:r>
            <w:r w:rsidR="007713FD">
              <w:rPr>
                <w:sz w:val="22"/>
                <w:szCs w:val="24"/>
              </w:rPr>
              <w:t xml:space="preserve"> (National PP- 55%)</w:t>
            </w:r>
          </w:p>
          <w:p w14:paraId="47743237" w14:textId="42B71C91" w:rsidR="00576FC3" w:rsidRDefault="00576FC3" w:rsidP="00DA6E60">
            <w:pPr>
              <w:rPr>
                <w:sz w:val="22"/>
                <w:szCs w:val="24"/>
              </w:rPr>
            </w:pPr>
            <w:r>
              <w:rPr>
                <w:sz w:val="22"/>
                <w:szCs w:val="24"/>
              </w:rPr>
              <w:t>Maths 63% (highest in school’s history) PP 41%</w:t>
            </w:r>
            <w:r w:rsidR="007713FD">
              <w:rPr>
                <w:sz w:val="22"/>
                <w:szCs w:val="24"/>
              </w:rPr>
              <w:t xml:space="preserve"> (National PP- 56%)</w:t>
            </w:r>
          </w:p>
          <w:p w14:paraId="6CE34428" w14:textId="77777777" w:rsidR="00576FC3" w:rsidRDefault="00576FC3" w:rsidP="00DA6E60">
            <w:pPr>
              <w:rPr>
                <w:sz w:val="22"/>
                <w:szCs w:val="24"/>
              </w:rPr>
            </w:pPr>
          </w:p>
          <w:p w14:paraId="1E5BF64F" w14:textId="4CFDF2AA" w:rsidR="00576FC3" w:rsidRDefault="00576FC3" w:rsidP="00DA6E60">
            <w:pPr>
              <w:rPr>
                <w:b/>
                <w:sz w:val="22"/>
              </w:rPr>
            </w:pPr>
            <w:r w:rsidRPr="00576FC3">
              <w:rPr>
                <w:b/>
                <w:sz w:val="22"/>
              </w:rPr>
              <w:t xml:space="preserve">Pastoral and behavioural support </w:t>
            </w:r>
          </w:p>
          <w:p w14:paraId="455344A4" w14:textId="3C804AE4" w:rsidR="00576FC3" w:rsidRPr="00576FC3" w:rsidRDefault="00576FC3" w:rsidP="00DA6E60">
            <w:pPr>
              <w:rPr>
                <w:sz w:val="22"/>
                <w:szCs w:val="22"/>
              </w:rPr>
            </w:pPr>
            <w:r w:rsidRPr="00576FC3">
              <w:rPr>
                <w:sz w:val="22"/>
                <w:szCs w:val="22"/>
              </w:rPr>
              <w:t xml:space="preserve">Our new relationship policy that is supported by our inclusion lead and pastoral manager has seen vast improvements in behaviour. </w:t>
            </w:r>
            <w:r>
              <w:rPr>
                <w:sz w:val="22"/>
                <w:szCs w:val="22"/>
              </w:rPr>
              <w:t>This has improved learning environments for pupils making the class room a disruption free environment providing a better space for learning for all. We have seen a decrease in the use of isolation throughout the year</w:t>
            </w:r>
          </w:p>
          <w:tbl>
            <w:tblPr>
              <w:tblStyle w:val="TableGrid"/>
              <w:tblW w:w="9776" w:type="dxa"/>
              <w:tblLook w:val="04A0" w:firstRow="1" w:lastRow="0" w:firstColumn="1" w:lastColumn="0" w:noHBand="0" w:noVBand="1"/>
            </w:tblPr>
            <w:tblGrid>
              <w:gridCol w:w="3599"/>
              <w:gridCol w:w="847"/>
              <w:gridCol w:w="764"/>
              <w:gridCol w:w="764"/>
              <w:gridCol w:w="779"/>
              <w:gridCol w:w="780"/>
              <w:gridCol w:w="849"/>
              <w:gridCol w:w="1394"/>
            </w:tblGrid>
            <w:tr w:rsidR="004E65BA" w14:paraId="22A66837" w14:textId="77777777" w:rsidTr="00816236">
              <w:tc>
                <w:tcPr>
                  <w:tcW w:w="3681" w:type="dxa"/>
                  <w:shd w:val="clear" w:color="auto" w:fill="92D050"/>
                </w:tcPr>
                <w:p w14:paraId="04945C7D" w14:textId="77777777" w:rsidR="004E65BA" w:rsidRPr="002C45CF" w:rsidRDefault="004E65BA" w:rsidP="004E65BA">
                  <w:pPr>
                    <w:jc w:val="center"/>
                    <w:rPr>
                      <w:b/>
                    </w:rPr>
                  </w:pPr>
                  <w:r>
                    <w:rPr>
                      <w:b/>
                    </w:rPr>
                    <w:t>Compass Centre DATA</w:t>
                  </w:r>
                </w:p>
              </w:tc>
              <w:tc>
                <w:tcPr>
                  <w:tcW w:w="850" w:type="dxa"/>
                </w:tcPr>
                <w:p w14:paraId="4AACDD8C" w14:textId="77777777" w:rsidR="004E65BA" w:rsidRPr="002C45CF" w:rsidRDefault="004E65BA" w:rsidP="004E65BA">
                  <w:pPr>
                    <w:jc w:val="center"/>
                    <w:rPr>
                      <w:b/>
                    </w:rPr>
                  </w:pPr>
                  <w:r>
                    <w:rPr>
                      <w:b/>
                    </w:rPr>
                    <w:t>T1</w:t>
                  </w:r>
                </w:p>
              </w:tc>
              <w:tc>
                <w:tcPr>
                  <w:tcW w:w="709" w:type="dxa"/>
                </w:tcPr>
                <w:p w14:paraId="64BC138B" w14:textId="77777777" w:rsidR="004E65BA" w:rsidRPr="002C45CF" w:rsidRDefault="004E65BA" w:rsidP="004E65BA">
                  <w:pPr>
                    <w:jc w:val="center"/>
                    <w:rPr>
                      <w:b/>
                    </w:rPr>
                  </w:pPr>
                  <w:r>
                    <w:rPr>
                      <w:b/>
                    </w:rPr>
                    <w:t>T2</w:t>
                  </w:r>
                </w:p>
              </w:tc>
              <w:tc>
                <w:tcPr>
                  <w:tcW w:w="709" w:type="dxa"/>
                </w:tcPr>
                <w:p w14:paraId="1E46AF30" w14:textId="77777777" w:rsidR="004E65BA" w:rsidRPr="002C45CF" w:rsidRDefault="004E65BA" w:rsidP="004E65BA">
                  <w:pPr>
                    <w:jc w:val="center"/>
                    <w:rPr>
                      <w:b/>
                    </w:rPr>
                  </w:pPr>
                  <w:r>
                    <w:rPr>
                      <w:b/>
                    </w:rPr>
                    <w:t>T3</w:t>
                  </w:r>
                </w:p>
              </w:tc>
              <w:tc>
                <w:tcPr>
                  <w:tcW w:w="779" w:type="dxa"/>
                </w:tcPr>
                <w:p w14:paraId="18BB894D" w14:textId="77777777" w:rsidR="004E65BA" w:rsidRPr="002C45CF" w:rsidRDefault="004E65BA" w:rsidP="004E65BA">
                  <w:pPr>
                    <w:jc w:val="center"/>
                    <w:rPr>
                      <w:b/>
                    </w:rPr>
                  </w:pPr>
                  <w:r>
                    <w:rPr>
                      <w:b/>
                    </w:rPr>
                    <w:t>T4</w:t>
                  </w:r>
                </w:p>
              </w:tc>
              <w:tc>
                <w:tcPr>
                  <w:tcW w:w="780" w:type="dxa"/>
                </w:tcPr>
                <w:p w14:paraId="6D8EFFAC" w14:textId="77777777" w:rsidR="004E65BA" w:rsidRPr="002C45CF" w:rsidRDefault="004E65BA" w:rsidP="004E65BA">
                  <w:pPr>
                    <w:jc w:val="center"/>
                    <w:rPr>
                      <w:b/>
                    </w:rPr>
                  </w:pPr>
                  <w:r>
                    <w:rPr>
                      <w:b/>
                    </w:rPr>
                    <w:t>T5</w:t>
                  </w:r>
                </w:p>
              </w:tc>
              <w:tc>
                <w:tcPr>
                  <w:tcW w:w="851" w:type="dxa"/>
                </w:tcPr>
                <w:p w14:paraId="21F36C3D" w14:textId="77777777" w:rsidR="004E65BA" w:rsidRPr="002C45CF" w:rsidRDefault="004E65BA" w:rsidP="004E65BA">
                  <w:pPr>
                    <w:jc w:val="center"/>
                    <w:rPr>
                      <w:b/>
                    </w:rPr>
                  </w:pPr>
                  <w:r>
                    <w:rPr>
                      <w:b/>
                    </w:rPr>
                    <w:t>T6</w:t>
                  </w:r>
                </w:p>
              </w:tc>
              <w:tc>
                <w:tcPr>
                  <w:tcW w:w="1417" w:type="dxa"/>
                  <w:shd w:val="clear" w:color="auto" w:fill="FFFFFF" w:themeFill="background1"/>
                </w:tcPr>
                <w:p w14:paraId="128C124A" w14:textId="77777777" w:rsidR="004E65BA" w:rsidRPr="002C45CF" w:rsidRDefault="004E65BA" w:rsidP="004E65BA">
                  <w:pPr>
                    <w:jc w:val="center"/>
                    <w:rPr>
                      <w:b/>
                    </w:rPr>
                  </w:pPr>
                  <w:r>
                    <w:rPr>
                      <w:b/>
                    </w:rPr>
                    <w:t>Cumulative</w:t>
                  </w:r>
                </w:p>
              </w:tc>
            </w:tr>
            <w:tr w:rsidR="004E65BA" w14:paraId="5AE6CF95" w14:textId="77777777" w:rsidTr="00816236">
              <w:tc>
                <w:tcPr>
                  <w:tcW w:w="3681" w:type="dxa"/>
                </w:tcPr>
                <w:p w14:paraId="64F8DCD2" w14:textId="77777777" w:rsidR="004E65BA" w:rsidRPr="0099268C" w:rsidRDefault="004E65BA" w:rsidP="004E65BA">
                  <w:pPr>
                    <w:jc w:val="center"/>
                  </w:pPr>
                  <w:r>
                    <w:t>Number of days in Term</w:t>
                  </w:r>
                </w:p>
              </w:tc>
              <w:tc>
                <w:tcPr>
                  <w:tcW w:w="850" w:type="dxa"/>
                </w:tcPr>
                <w:p w14:paraId="3A3C5222" w14:textId="77777777" w:rsidR="004E65BA" w:rsidRPr="0099268C" w:rsidRDefault="004E65BA" w:rsidP="004E65BA">
                  <w:pPr>
                    <w:jc w:val="center"/>
                  </w:pPr>
                  <w:r>
                    <w:t>32</w:t>
                  </w:r>
                </w:p>
              </w:tc>
              <w:tc>
                <w:tcPr>
                  <w:tcW w:w="709" w:type="dxa"/>
                </w:tcPr>
                <w:p w14:paraId="3727C722" w14:textId="77777777" w:rsidR="004E65BA" w:rsidRDefault="004E65BA" w:rsidP="004E65BA">
                  <w:pPr>
                    <w:jc w:val="center"/>
                  </w:pPr>
                  <w:r>
                    <w:t>35</w:t>
                  </w:r>
                </w:p>
              </w:tc>
              <w:tc>
                <w:tcPr>
                  <w:tcW w:w="709" w:type="dxa"/>
                </w:tcPr>
                <w:p w14:paraId="0C0F2298" w14:textId="77777777" w:rsidR="004E65BA" w:rsidRPr="0099268C" w:rsidRDefault="004E65BA" w:rsidP="004E65BA">
                  <w:pPr>
                    <w:jc w:val="center"/>
                  </w:pPr>
                  <w:r>
                    <w:t>32</w:t>
                  </w:r>
                </w:p>
              </w:tc>
              <w:tc>
                <w:tcPr>
                  <w:tcW w:w="779" w:type="dxa"/>
                </w:tcPr>
                <w:p w14:paraId="3BAEE062" w14:textId="77777777" w:rsidR="004E65BA" w:rsidRPr="0099268C" w:rsidRDefault="004E65BA" w:rsidP="004E65BA">
                  <w:pPr>
                    <w:jc w:val="center"/>
                  </w:pPr>
                  <w:r>
                    <w:t>30</w:t>
                  </w:r>
                </w:p>
              </w:tc>
              <w:tc>
                <w:tcPr>
                  <w:tcW w:w="780" w:type="dxa"/>
                </w:tcPr>
                <w:p w14:paraId="3EE2EE29" w14:textId="77777777" w:rsidR="004E65BA" w:rsidRPr="0099268C" w:rsidRDefault="004E65BA" w:rsidP="004E65BA">
                  <w:pPr>
                    <w:jc w:val="center"/>
                  </w:pPr>
                  <w:r>
                    <w:t>24</w:t>
                  </w:r>
                </w:p>
              </w:tc>
              <w:tc>
                <w:tcPr>
                  <w:tcW w:w="851" w:type="dxa"/>
                </w:tcPr>
                <w:p w14:paraId="22D77D94" w14:textId="77777777" w:rsidR="004E65BA" w:rsidRPr="0099268C" w:rsidRDefault="004E65BA" w:rsidP="004E65BA">
                  <w:pPr>
                    <w:jc w:val="center"/>
                  </w:pPr>
                  <w:r>
                    <w:t>34</w:t>
                  </w:r>
                </w:p>
              </w:tc>
              <w:tc>
                <w:tcPr>
                  <w:tcW w:w="1417" w:type="dxa"/>
                </w:tcPr>
                <w:p w14:paraId="3FF952B5" w14:textId="77777777" w:rsidR="004E65BA" w:rsidRPr="002C45CF" w:rsidRDefault="004E65BA" w:rsidP="004E65BA">
                  <w:pPr>
                    <w:jc w:val="center"/>
                    <w:rPr>
                      <w:b/>
                    </w:rPr>
                  </w:pPr>
                  <w:r>
                    <w:rPr>
                      <w:b/>
                    </w:rPr>
                    <w:t>187</w:t>
                  </w:r>
                </w:p>
              </w:tc>
            </w:tr>
            <w:tr w:rsidR="004E65BA" w14:paraId="6FD5E1F5" w14:textId="77777777" w:rsidTr="00816236">
              <w:tc>
                <w:tcPr>
                  <w:tcW w:w="3681" w:type="dxa"/>
                </w:tcPr>
                <w:p w14:paraId="63B65B32" w14:textId="77777777" w:rsidR="004E65BA" w:rsidRPr="0099268C" w:rsidRDefault="004E65BA" w:rsidP="004E65BA">
                  <w:pPr>
                    <w:jc w:val="center"/>
                  </w:pPr>
                  <w:r>
                    <w:t>Pupils on roll</w:t>
                  </w:r>
                </w:p>
              </w:tc>
              <w:tc>
                <w:tcPr>
                  <w:tcW w:w="850" w:type="dxa"/>
                </w:tcPr>
                <w:p w14:paraId="65D585B9" w14:textId="77777777" w:rsidR="004E65BA" w:rsidRPr="0099268C" w:rsidRDefault="004E65BA" w:rsidP="004E65BA">
                  <w:pPr>
                    <w:jc w:val="center"/>
                  </w:pPr>
                  <w:r>
                    <w:t>624</w:t>
                  </w:r>
                </w:p>
              </w:tc>
              <w:tc>
                <w:tcPr>
                  <w:tcW w:w="709" w:type="dxa"/>
                </w:tcPr>
                <w:p w14:paraId="4B77EE03" w14:textId="77777777" w:rsidR="004E65BA" w:rsidRDefault="004E65BA" w:rsidP="004E65BA">
                  <w:pPr>
                    <w:jc w:val="center"/>
                  </w:pPr>
                  <w:r>
                    <w:t>621</w:t>
                  </w:r>
                </w:p>
              </w:tc>
              <w:tc>
                <w:tcPr>
                  <w:tcW w:w="709" w:type="dxa"/>
                </w:tcPr>
                <w:p w14:paraId="52F2C0D4" w14:textId="77777777" w:rsidR="004E65BA" w:rsidRPr="0099268C" w:rsidRDefault="004E65BA" w:rsidP="004E65BA">
                  <w:pPr>
                    <w:jc w:val="center"/>
                  </w:pPr>
                  <w:r>
                    <w:t>623</w:t>
                  </w:r>
                </w:p>
              </w:tc>
              <w:tc>
                <w:tcPr>
                  <w:tcW w:w="779" w:type="dxa"/>
                </w:tcPr>
                <w:p w14:paraId="45DC79C1" w14:textId="77777777" w:rsidR="004E65BA" w:rsidRPr="0099268C" w:rsidRDefault="004E65BA" w:rsidP="004E65BA">
                  <w:pPr>
                    <w:jc w:val="center"/>
                  </w:pPr>
                  <w:r>
                    <w:t>622</w:t>
                  </w:r>
                </w:p>
              </w:tc>
              <w:tc>
                <w:tcPr>
                  <w:tcW w:w="780" w:type="dxa"/>
                </w:tcPr>
                <w:p w14:paraId="3637BACE" w14:textId="77777777" w:rsidR="004E65BA" w:rsidRPr="0099268C" w:rsidRDefault="004E65BA" w:rsidP="004E65BA">
                  <w:pPr>
                    <w:jc w:val="center"/>
                  </w:pPr>
                  <w:r>
                    <w:t>622</w:t>
                  </w:r>
                </w:p>
              </w:tc>
              <w:tc>
                <w:tcPr>
                  <w:tcW w:w="851" w:type="dxa"/>
                </w:tcPr>
                <w:p w14:paraId="13063493" w14:textId="77777777" w:rsidR="004E65BA" w:rsidRPr="0099268C" w:rsidRDefault="004E65BA" w:rsidP="004E65BA">
                  <w:pPr>
                    <w:jc w:val="center"/>
                  </w:pPr>
                  <w:r>
                    <w:t>627</w:t>
                  </w:r>
                </w:p>
              </w:tc>
              <w:tc>
                <w:tcPr>
                  <w:tcW w:w="1417" w:type="dxa"/>
                  <w:shd w:val="clear" w:color="auto" w:fill="000000" w:themeFill="text1"/>
                </w:tcPr>
                <w:p w14:paraId="701BA6AB" w14:textId="77777777" w:rsidR="004E65BA" w:rsidRDefault="004E65BA" w:rsidP="004E65BA">
                  <w:pPr>
                    <w:jc w:val="center"/>
                    <w:rPr>
                      <w:b/>
                    </w:rPr>
                  </w:pPr>
                </w:p>
              </w:tc>
            </w:tr>
            <w:tr w:rsidR="004E65BA" w14:paraId="6F184CBE" w14:textId="77777777" w:rsidTr="00816236">
              <w:tc>
                <w:tcPr>
                  <w:tcW w:w="3681" w:type="dxa"/>
                </w:tcPr>
                <w:p w14:paraId="7B4A6D4F" w14:textId="77777777" w:rsidR="004E65BA" w:rsidRPr="0099268C" w:rsidRDefault="004E65BA" w:rsidP="004E65BA">
                  <w:pPr>
                    <w:jc w:val="center"/>
                  </w:pPr>
                  <w:r w:rsidRPr="0099268C">
                    <w:t>Total number of isolations</w:t>
                  </w:r>
                </w:p>
              </w:tc>
              <w:tc>
                <w:tcPr>
                  <w:tcW w:w="850" w:type="dxa"/>
                </w:tcPr>
                <w:p w14:paraId="715072E5" w14:textId="77777777" w:rsidR="004E65BA" w:rsidRPr="0099268C" w:rsidRDefault="004E65BA" w:rsidP="004E65BA">
                  <w:pPr>
                    <w:jc w:val="center"/>
                  </w:pPr>
                  <w:r w:rsidRPr="0099268C">
                    <w:t>124</w:t>
                  </w:r>
                </w:p>
              </w:tc>
              <w:tc>
                <w:tcPr>
                  <w:tcW w:w="709" w:type="dxa"/>
                </w:tcPr>
                <w:p w14:paraId="3654BD7E" w14:textId="77777777" w:rsidR="004E65BA" w:rsidRPr="0099268C" w:rsidRDefault="004E65BA" w:rsidP="004E65BA">
                  <w:pPr>
                    <w:jc w:val="center"/>
                  </w:pPr>
                  <w:r>
                    <w:t>125</w:t>
                  </w:r>
                </w:p>
              </w:tc>
              <w:tc>
                <w:tcPr>
                  <w:tcW w:w="709" w:type="dxa"/>
                </w:tcPr>
                <w:p w14:paraId="6BF65FD1" w14:textId="77777777" w:rsidR="004E65BA" w:rsidRPr="0099268C" w:rsidRDefault="004E65BA" w:rsidP="004E65BA">
                  <w:pPr>
                    <w:jc w:val="center"/>
                  </w:pPr>
                  <w:r>
                    <w:t>114</w:t>
                  </w:r>
                </w:p>
              </w:tc>
              <w:tc>
                <w:tcPr>
                  <w:tcW w:w="779" w:type="dxa"/>
                </w:tcPr>
                <w:p w14:paraId="65C6B4FB" w14:textId="77777777" w:rsidR="004E65BA" w:rsidRPr="0099268C" w:rsidRDefault="004E65BA" w:rsidP="004E65BA">
                  <w:pPr>
                    <w:jc w:val="center"/>
                  </w:pPr>
                  <w:r>
                    <w:t>84</w:t>
                  </w:r>
                </w:p>
              </w:tc>
              <w:tc>
                <w:tcPr>
                  <w:tcW w:w="780" w:type="dxa"/>
                </w:tcPr>
                <w:p w14:paraId="1319FC4B" w14:textId="77777777" w:rsidR="004E65BA" w:rsidRPr="0099268C" w:rsidRDefault="004E65BA" w:rsidP="004E65BA">
                  <w:pPr>
                    <w:jc w:val="center"/>
                  </w:pPr>
                  <w:r>
                    <w:t>77</w:t>
                  </w:r>
                </w:p>
              </w:tc>
              <w:tc>
                <w:tcPr>
                  <w:tcW w:w="851" w:type="dxa"/>
                </w:tcPr>
                <w:p w14:paraId="66F08D6E" w14:textId="77777777" w:rsidR="004E65BA" w:rsidRPr="0099268C" w:rsidRDefault="004E65BA" w:rsidP="004E65BA">
                  <w:pPr>
                    <w:jc w:val="center"/>
                  </w:pPr>
                  <w:r>
                    <w:t>93</w:t>
                  </w:r>
                </w:p>
              </w:tc>
              <w:tc>
                <w:tcPr>
                  <w:tcW w:w="1417" w:type="dxa"/>
                </w:tcPr>
                <w:p w14:paraId="356E9A0A" w14:textId="77777777" w:rsidR="004E65BA" w:rsidRPr="002C45CF" w:rsidRDefault="004E65BA" w:rsidP="004E65BA">
                  <w:pPr>
                    <w:jc w:val="center"/>
                    <w:rPr>
                      <w:b/>
                    </w:rPr>
                  </w:pPr>
                  <w:r>
                    <w:rPr>
                      <w:b/>
                    </w:rPr>
                    <w:t>617</w:t>
                  </w:r>
                </w:p>
              </w:tc>
            </w:tr>
            <w:tr w:rsidR="004E65BA" w14:paraId="67D12DB8" w14:textId="77777777" w:rsidTr="00816236">
              <w:tc>
                <w:tcPr>
                  <w:tcW w:w="3681" w:type="dxa"/>
                </w:tcPr>
                <w:p w14:paraId="1245106F" w14:textId="77777777" w:rsidR="004E65BA" w:rsidRPr="0099268C" w:rsidRDefault="004E65BA" w:rsidP="004E65BA">
                  <w:pPr>
                    <w:jc w:val="center"/>
                  </w:pPr>
                  <w:r w:rsidRPr="0099268C">
                    <w:t>Average number of isolations per day</w:t>
                  </w:r>
                </w:p>
              </w:tc>
              <w:tc>
                <w:tcPr>
                  <w:tcW w:w="850" w:type="dxa"/>
                </w:tcPr>
                <w:p w14:paraId="7E942C17" w14:textId="77777777" w:rsidR="004E65BA" w:rsidRPr="0099268C" w:rsidRDefault="004E65BA" w:rsidP="004E65BA">
                  <w:pPr>
                    <w:jc w:val="center"/>
                  </w:pPr>
                  <w:r w:rsidRPr="0099268C">
                    <w:t>3.9</w:t>
                  </w:r>
                </w:p>
              </w:tc>
              <w:tc>
                <w:tcPr>
                  <w:tcW w:w="709" w:type="dxa"/>
                </w:tcPr>
                <w:p w14:paraId="156C7049" w14:textId="77777777" w:rsidR="004E65BA" w:rsidRPr="0099268C" w:rsidRDefault="004E65BA" w:rsidP="004E65BA">
                  <w:pPr>
                    <w:jc w:val="center"/>
                  </w:pPr>
                  <w:r>
                    <w:t>3.6</w:t>
                  </w:r>
                </w:p>
              </w:tc>
              <w:tc>
                <w:tcPr>
                  <w:tcW w:w="709" w:type="dxa"/>
                </w:tcPr>
                <w:p w14:paraId="7C1C52CB" w14:textId="77777777" w:rsidR="004E65BA" w:rsidRPr="0099268C" w:rsidRDefault="004E65BA" w:rsidP="004E65BA">
                  <w:pPr>
                    <w:jc w:val="center"/>
                  </w:pPr>
                  <w:r>
                    <w:t>3.5</w:t>
                  </w:r>
                </w:p>
              </w:tc>
              <w:tc>
                <w:tcPr>
                  <w:tcW w:w="779" w:type="dxa"/>
                </w:tcPr>
                <w:p w14:paraId="65A13160" w14:textId="77777777" w:rsidR="004E65BA" w:rsidRPr="0099268C" w:rsidRDefault="004E65BA" w:rsidP="004E65BA">
                  <w:pPr>
                    <w:jc w:val="center"/>
                  </w:pPr>
                  <w:r>
                    <w:t>2.8</w:t>
                  </w:r>
                </w:p>
              </w:tc>
              <w:tc>
                <w:tcPr>
                  <w:tcW w:w="780" w:type="dxa"/>
                </w:tcPr>
                <w:p w14:paraId="73F024FC" w14:textId="77777777" w:rsidR="004E65BA" w:rsidRPr="0099268C" w:rsidRDefault="004E65BA" w:rsidP="004E65BA">
                  <w:pPr>
                    <w:jc w:val="center"/>
                  </w:pPr>
                  <w:r>
                    <w:t>3.2</w:t>
                  </w:r>
                </w:p>
              </w:tc>
              <w:tc>
                <w:tcPr>
                  <w:tcW w:w="851" w:type="dxa"/>
                </w:tcPr>
                <w:p w14:paraId="5EC7D413" w14:textId="77777777" w:rsidR="004E65BA" w:rsidRPr="0099268C" w:rsidRDefault="004E65BA" w:rsidP="004E65BA">
                  <w:pPr>
                    <w:jc w:val="center"/>
                  </w:pPr>
                  <w:r>
                    <w:t>2.7</w:t>
                  </w:r>
                </w:p>
              </w:tc>
              <w:tc>
                <w:tcPr>
                  <w:tcW w:w="1417" w:type="dxa"/>
                </w:tcPr>
                <w:p w14:paraId="331FD8E9" w14:textId="77777777" w:rsidR="004E65BA" w:rsidRDefault="004E65BA" w:rsidP="004E65BA">
                  <w:pPr>
                    <w:rPr>
                      <w:b/>
                    </w:rPr>
                  </w:pPr>
                </w:p>
              </w:tc>
            </w:tr>
            <w:tr w:rsidR="004E65BA" w14:paraId="0EE5415F" w14:textId="77777777" w:rsidTr="00816236">
              <w:tc>
                <w:tcPr>
                  <w:tcW w:w="3681" w:type="dxa"/>
                </w:tcPr>
                <w:p w14:paraId="5ED3EC32" w14:textId="77777777" w:rsidR="004E65BA" w:rsidRPr="0099268C" w:rsidRDefault="004E65BA" w:rsidP="004E65BA">
                  <w:pPr>
                    <w:jc w:val="center"/>
                  </w:pPr>
                  <w:r w:rsidRPr="0099268C">
                    <w:t>Average number of isolations per day as a % of whole school</w:t>
                  </w:r>
                </w:p>
              </w:tc>
              <w:tc>
                <w:tcPr>
                  <w:tcW w:w="850" w:type="dxa"/>
                </w:tcPr>
                <w:p w14:paraId="031919C7" w14:textId="77777777" w:rsidR="004E65BA" w:rsidRPr="0099268C" w:rsidRDefault="004E65BA" w:rsidP="004E65BA">
                  <w:pPr>
                    <w:jc w:val="center"/>
                  </w:pPr>
                  <w:r w:rsidRPr="0099268C">
                    <w:t>0.62%</w:t>
                  </w:r>
                </w:p>
              </w:tc>
              <w:tc>
                <w:tcPr>
                  <w:tcW w:w="709" w:type="dxa"/>
                </w:tcPr>
                <w:p w14:paraId="74FE9213" w14:textId="77777777" w:rsidR="004E65BA" w:rsidRPr="0099268C" w:rsidRDefault="004E65BA" w:rsidP="004E65BA">
                  <w:pPr>
                    <w:jc w:val="center"/>
                  </w:pPr>
                  <w:r>
                    <w:t>0.58%</w:t>
                  </w:r>
                </w:p>
              </w:tc>
              <w:tc>
                <w:tcPr>
                  <w:tcW w:w="709" w:type="dxa"/>
                </w:tcPr>
                <w:p w14:paraId="6536D83E" w14:textId="77777777" w:rsidR="004E65BA" w:rsidRPr="0099268C" w:rsidRDefault="004E65BA" w:rsidP="004E65BA">
                  <w:pPr>
                    <w:jc w:val="center"/>
                  </w:pPr>
                  <w:r>
                    <w:t>0.55%</w:t>
                  </w:r>
                </w:p>
              </w:tc>
              <w:tc>
                <w:tcPr>
                  <w:tcW w:w="779" w:type="dxa"/>
                </w:tcPr>
                <w:p w14:paraId="04129E51" w14:textId="77777777" w:rsidR="004E65BA" w:rsidRPr="0099268C" w:rsidRDefault="004E65BA" w:rsidP="004E65BA">
                  <w:pPr>
                    <w:jc w:val="center"/>
                  </w:pPr>
                  <w:r>
                    <w:t>0.45%</w:t>
                  </w:r>
                </w:p>
              </w:tc>
              <w:tc>
                <w:tcPr>
                  <w:tcW w:w="780" w:type="dxa"/>
                </w:tcPr>
                <w:p w14:paraId="59502A18" w14:textId="77777777" w:rsidR="004E65BA" w:rsidRPr="0099268C" w:rsidRDefault="004E65BA" w:rsidP="004E65BA">
                  <w:pPr>
                    <w:jc w:val="center"/>
                  </w:pPr>
                  <w:r>
                    <w:t>0.52%</w:t>
                  </w:r>
                </w:p>
              </w:tc>
              <w:tc>
                <w:tcPr>
                  <w:tcW w:w="851" w:type="dxa"/>
                </w:tcPr>
                <w:p w14:paraId="736BBC0C" w14:textId="77777777" w:rsidR="004E65BA" w:rsidRPr="0099268C" w:rsidRDefault="004E65BA" w:rsidP="004E65BA">
                  <w:pPr>
                    <w:jc w:val="center"/>
                  </w:pPr>
                  <w:r>
                    <w:t>0.44%</w:t>
                  </w:r>
                </w:p>
              </w:tc>
              <w:tc>
                <w:tcPr>
                  <w:tcW w:w="1417" w:type="dxa"/>
                </w:tcPr>
                <w:p w14:paraId="071A16B1" w14:textId="77777777" w:rsidR="004E65BA" w:rsidRDefault="004E65BA" w:rsidP="004E65BA">
                  <w:pPr>
                    <w:jc w:val="center"/>
                    <w:rPr>
                      <w:b/>
                    </w:rPr>
                  </w:pPr>
                </w:p>
              </w:tc>
            </w:tr>
          </w:tbl>
          <w:p w14:paraId="5C4BD805" w14:textId="183C3866" w:rsidR="00576FC3" w:rsidRDefault="00576FC3" w:rsidP="00DA6E60">
            <w:pPr>
              <w:rPr>
                <w:b/>
                <w:sz w:val="22"/>
                <w:szCs w:val="22"/>
              </w:rPr>
            </w:pPr>
          </w:p>
          <w:p w14:paraId="594C6922" w14:textId="7E70FA11" w:rsidR="007713FD" w:rsidRDefault="007713FD" w:rsidP="00DA6E60">
            <w:pPr>
              <w:rPr>
                <w:b/>
                <w:sz w:val="22"/>
                <w:szCs w:val="22"/>
              </w:rPr>
            </w:pPr>
            <w:r>
              <w:rPr>
                <w:noProof/>
              </w:rPr>
              <w:drawing>
                <wp:inline distT="0" distB="0" distL="0" distR="0" wp14:anchorId="4F3659E2" wp14:editId="732308BE">
                  <wp:extent cx="6029960" cy="24974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960" cy="2497455"/>
                          </a:xfrm>
                          <a:prstGeom prst="rect">
                            <a:avLst/>
                          </a:prstGeom>
                        </pic:spPr>
                      </pic:pic>
                    </a:graphicData>
                  </a:graphic>
                </wp:inline>
              </w:drawing>
            </w:r>
          </w:p>
          <w:p w14:paraId="0E9B479C" w14:textId="5B305567" w:rsidR="00DC7748" w:rsidRPr="006857E2" w:rsidRDefault="00D735AE" w:rsidP="00DA6E60">
            <w:pPr>
              <w:rPr>
                <w:sz w:val="22"/>
                <w:szCs w:val="22"/>
              </w:rPr>
            </w:pPr>
            <w:r>
              <w:rPr>
                <w:sz w:val="22"/>
                <w:szCs w:val="22"/>
              </w:rPr>
              <w:t xml:space="preserve">Suspensions </w:t>
            </w:r>
            <w:r w:rsidR="004E65BA">
              <w:rPr>
                <w:sz w:val="22"/>
                <w:szCs w:val="22"/>
              </w:rPr>
              <w:t>have also fallen over the last academic year. Overall, we are 10 sessions less than 20-21 academic year despite School being closed to pupils due to COVID between 6/1/21 - 8/3/21.</w:t>
            </w:r>
          </w:p>
          <w:p w14:paraId="470C4712" w14:textId="4904E82D" w:rsidR="0019140A" w:rsidRPr="00004D19" w:rsidRDefault="0019140A" w:rsidP="00DA6E60">
            <w:pPr>
              <w:rPr>
                <w:b/>
                <w:sz w:val="22"/>
                <w:szCs w:val="22"/>
              </w:rPr>
            </w:pPr>
            <w:r w:rsidRPr="00004D19">
              <w:rPr>
                <w:b/>
                <w:sz w:val="22"/>
                <w:szCs w:val="22"/>
              </w:rPr>
              <w:t>Attendance:</w:t>
            </w:r>
          </w:p>
          <w:p w14:paraId="2792A310" w14:textId="7438A1EC" w:rsidR="00580A80" w:rsidRDefault="00713A26" w:rsidP="00DA6E60">
            <w:pPr>
              <w:rPr>
                <w:b/>
                <w:sz w:val="22"/>
                <w:szCs w:val="22"/>
              </w:rPr>
            </w:pPr>
            <w:r>
              <w:rPr>
                <w:noProof/>
              </w:rPr>
              <w:drawing>
                <wp:inline distT="0" distB="0" distL="0" distR="0" wp14:anchorId="00B3B01B" wp14:editId="0877BA74">
                  <wp:extent cx="6029960" cy="1809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9960" cy="1809750"/>
                          </a:xfrm>
                          <a:prstGeom prst="rect">
                            <a:avLst/>
                          </a:prstGeom>
                        </pic:spPr>
                      </pic:pic>
                    </a:graphicData>
                  </a:graphic>
                </wp:inline>
              </w:drawing>
            </w:r>
          </w:p>
          <w:p w14:paraId="3BA8BF67" w14:textId="63F38F32" w:rsidR="00713A26" w:rsidRDefault="00264F5A" w:rsidP="00DA6E60">
            <w:pPr>
              <w:rPr>
                <w:b/>
                <w:sz w:val="22"/>
                <w:szCs w:val="22"/>
              </w:rPr>
            </w:pPr>
            <w:r>
              <w:rPr>
                <w:noProof/>
              </w:rPr>
              <w:drawing>
                <wp:inline distT="0" distB="0" distL="0" distR="0" wp14:anchorId="11C96BAD" wp14:editId="77347EA5">
                  <wp:extent cx="6029960" cy="10102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29960" cy="1010285"/>
                          </a:xfrm>
                          <a:prstGeom prst="rect">
                            <a:avLst/>
                          </a:prstGeom>
                        </pic:spPr>
                      </pic:pic>
                    </a:graphicData>
                  </a:graphic>
                </wp:inline>
              </w:drawing>
            </w:r>
          </w:p>
          <w:p w14:paraId="5C9E985A" w14:textId="10DAFEA8" w:rsidR="00D735AE" w:rsidRDefault="00D735AE" w:rsidP="00DA6E60">
            <w:pPr>
              <w:rPr>
                <w:sz w:val="22"/>
                <w:szCs w:val="22"/>
              </w:rPr>
            </w:pPr>
            <w:r w:rsidRPr="00D735AE">
              <w:rPr>
                <w:sz w:val="22"/>
                <w:szCs w:val="22"/>
              </w:rPr>
              <w:t>Our attendance figures are above national statistics.</w:t>
            </w:r>
          </w:p>
          <w:p w14:paraId="33EDE626" w14:textId="68493C63" w:rsidR="0019140A" w:rsidRPr="00004D19" w:rsidRDefault="00004D19" w:rsidP="00DA6E60">
            <w:pPr>
              <w:rPr>
                <w:b/>
                <w:sz w:val="22"/>
                <w:szCs w:val="22"/>
              </w:rPr>
            </w:pPr>
            <w:r w:rsidRPr="00004D19">
              <w:rPr>
                <w:b/>
                <w:sz w:val="22"/>
                <w:szCs w:val="22"/>
              </w:rPr>
              <w:t>Interventions:</w:t>
            </w:r>
          </w:p>
          <w:p w14:paraId="2EC79F23" w14:textId="4CF79C97" w:rsidR="00004D19" w:rsidRPr="007973E8" w:rsidRDefault="00004D19" w:rsidP="00DA6E60">
            <w:pPr>
              <w:rPr>
                <w:sz w:val="22"/>
                <w:szCs w:val="22"/>
              </w:rPr>
            </w:pPr>
            <w:r w:rsidRPr="007973E8">
              <w:rPr>
                <w:sz w:val="22"/>
                <w:szCs w:val="22"/>
              </w:rPr>
              <w:t>Maths interventions took place weekly, led by Third Space Learning. These took place in addition to normal maths lessons. In total 4</w:t>
            </w:r>
            <w:r w:rsidR="007973E8" w:rsidRPr="007973E8">
              <w:rPr>
                <w:sz w:val="22"/>
                <w:szCs w:val="22"/>
              </w:rPr>
              <w:t>3</w:t>
            </w:r>
            <w:r w:rsidRPr="007973E8">
              <w:rPr>
                <w:sz w:val="22"/>
                <w:szCs w:val="22"/>
              </w:rPr>
              <w:t xml:space="preserve"> pupils received online tuition, to a total of </w:t>
            </w:r>
            <w:r w:rsidR="007973E8" w:rsidRPr="007973E8">
              <w:rPr>
                <w:sz w:val="22"/>
                <w:szCs w:val="22"/>
              </w:rPr>
              <w:t xml:space="preserve">399 </w:t>
            </w:r>
            <w:r w:rsidRPr="007973E8">
              <w:rPr>
                <w:sz w:val="22"/>
                <w:szCs w:val="22"/>
              </w:rPr>
              <w:t>hours cumulative learning time.</w:t>
            </w:r>
            <w:r w:rsidR="007973E8" w:rsidRPr="007973E8">
              <w:rPr>
                <w:sz w:val="22"/>
                <w:szCs w:val="22"/>
              </w:rPr>
              <w:t xml:space="preserve"> Pupils that were involved in online tuition have a great increase in marks scored during their assessments showing the positive impact of the online tuition. </w:t>
            </w:r>
            <w:r w:rsidRPr="007973E8">
              <w:rPr>
                <w:sz w:val="22"/>
                <w:szCs w:val="22"/>
              </w:rPr>
              <w:t xml:space="preserve"> </w:t>
            </w:r>
            <w:r w:rsidR="007973E8" w:rsidRPr="007973E8">
              <w:rPr>
                <w:sz w:val="22"/>
                <w:szCs w:val="22"/>
              </w:rPr>
              <w:t>T</w:t>
            </w:r>
            <w:r w:rsidRPr="007973E8">
              <w:rPr>
                <w:sz w:val="22"/>
                <w:szCs w:val="22"/>
              </w:rPr>
              <w:t xml:space="preserve">he success of this programme means we will again be offering access to online maths tuition for up to </w:t>
            </w:r>
            <w:r w:rsidR="007973E8" w:rsidRPr="007973E8">
              <w:rPr>
                <w:sz w:val="22"/>
                <w:szCs w:val="22"/>
              </w:rPr>
              <w:t>75</w:t>
            </w:r>
            <w:r w:rsidRPr="007973E8">
              <w:rPr>
                <w:sz w:val="22"/>
                <w:szCs w:val="22"/>
              </w:rPr>
              <w:t xml:space="preserve"> pupils during 202</w:t>
            </w:r>
            <w:r w:rsidR="007973E8" w:rsidRPr="007973E8">
              <w:rPr>
                <w:sz w:val="22"/>
                <w:szCs w:val="22"/>
              </w:rPr>
              <w:t>2</w:t>
            </w:r>
            <w:r w:rsidRPr="007973E8">
              <w:rPr>
                <w:sz w:val="22"/>
                <w:szCs w:val="22"/>
              </w:rPr>
              <w:t>-202</w:t>
            </w:r>
            <w:r w:rsidR="007973E8" w:rsidRPr="007973E8">
              <w:rPr>
                <w:sz w:val="22"/>
                <w:szCs w:val="22"/>
              </w:rPr>
              <w:t>3</w:t>
            </w:r>
            <w:r w:rsidR="007973E8">
              <w:rPr>
                <w:sz w:val="22"/>
                <w:szCs w:val="22"/>
              </w:rPr>
              <w:t xml:space="preserve">. We also had some teacher led tuition taking place which had a significant impact on </w:t>
            </w:r>
            <w:r w:rsidR="00C46C41">
              <w:rPr>
                <w:sz w:val="22"/>
                <w:szCs w:val="22"/>
              </w:rPr>
              <w:t>pupils’</w:t>
            </w:r>
            <w:r w:rsidR="007973E8">
              <w:rPr>
                <w:sz w:val="22"/>
                <w:szCs w:val="22"/>
              </w:rPr>
              <w:t xml:space="preserve"> average point score. </w:t>
            </w:r>
          </w:p>
          <w:p w14:paraId="6AD8A584" w14:textId="06F8215D" w:rsidR="00004D19" w:rsidRDefault="00004D19" w:rsidP="00DA6E60">
            <w:pPr>
              <w:rPr>
                <w:sz w:val="22"/>
                <w:szCs w:val="22"/>
              </w:rPr>
            </w:pPr>
            <w:r w:rsidRPr="00BB7E27">
              <w:rPr>
                <w:sz w:val="22"/>
                <w:szCs w:val="22"/>
              </w:rPr>
              <w:t>In-school small group interventions also took place for reading</w:t>
            </w:r>
            <w:r w:rsidR="00C5394E" w:rsidRPr="00BB7E27">
              <w:rPr>
                <w:sz w:val="22"/>
                <w:szCs w:val="22"/>
              </w:rPr>
              <w:t xml:space="preserve"> and writing</w:t>
            </w:r>
            <w:r w:rsidRPr="00BB7E27">
              <w:rPr>
                <w:sz w:val="22"/>
                <w:szCs w:val="22"/>
              </w:rPr>
              <w:t xml:space="preserve">. This was led by a specialist teacher. </w:t>
            </w:r>
            <w:r w:rsidR="00BB7E27" w:rsidRPr="00BB7E27">
              <w:rPr>
                <w:sz w:val="22"/>
                <w:szCs w:val="22"/>
              </w:rPr>
              <w:t>49</w:t>
            </w:r>
            <w:r w:rsidRPr="00BB7E27">
              <w:rPr>
                <w:sz w:val="22"/>
                <w:szCs w:val="22"/>
              </w:rPr>
              <w:t xml:space="preserve"> pupils received additional intervention in addition to normal literacy lessons. Working in group of approximately </w:t>
            </w:r>
            <w:r w:rsidR="00BB7E27" w:rsidRPr="00BB7E27">
              <w:rPr>
                <w:sz w:val="22"/>
                <w:szCs w:val="22"/>
              </w:rPr>
              <w:t>6</w:t>
            </w:r>
            <w:r w:rsidRPr="00BB7E27">
              <w:rPr>
                <w:sz w:val="22"/>
                <w:szCs w:val="22"/>
              </w:rPr>
              <w:t xml:space="preserve">, groups focussed on core skills including retrieval and summarising of texts. A focus was also given to fluency and speed of reading. </w:t>
            </w:r>
          </w:p>
          <w:p w14:paraId="78249D8F" w14:textId="6A7B8B89" w:rsidR="009166C3" w:rsidRDefault="009166C3" w:rsidP="00DA6E60">
            <w:pPr>
              <w:rPr>
                <w:sz w:val="22"/>
                <w:szCs w:val="22"/>
              </w:rPr>
            </w:pPr>
            <w:r>
              <w:rPr>
                <w:sz w:val="22"/>
                <w:szCs w:val="22"/>
              </w:rPr>
              <w:t xml:space="preserve">We also had </w:t>
            </w:r>
            <w:r w:rsidR="00C46C41">
              <w:rPr>
                <w:sz w:val="22"/>
                <w:szCs w:val="22"/>
              </w:rPr>
              <w:t xml:space="preserve">20 </w:t>
            </w:r>
            <w:r>
              <w:rPr>
                <w:sz w:val="22"/>
                <w:szCs w:val="22"/>
              </w:rPr>
              <w:t xml:space="preserve">pupils receive online support from the NTP to support with reading. </w:t>
            </w:r>
            <w:r w:rsidR="00E95F0B">
              <w:rPr>
                <w:sz w:val="22"/>
                <w:szCs w:val="22"/>
              </w:rPr>
              <w:t xml:space="preserve">Due to this being in the summer term impact is hard to measure at this point. The pupils will continue with online tuition in the next academic year. </w:t>
            </w:r>
          </w:p>
          <w:p w14:paraId="4088540A" w14:textId="012E6029" w:rsidR="00004D19" w:rsidRPr="006564A3" w:rsidRDefault="00004D19" w:rsidP="00DA6E60">
            <w:pPr>
              <w:rPr>
                <w:b/>
                <w:sz w:val="22"/>
                <w:szCs w:val="24"/>
              </w:rPr>
            </w:pPr>
            <w:r w:rsidRPr="006564A3">
              <w:rPr>
                <w:b/>
                <w:sz w:val="22"/>
                <w:szCs w:val="24"/>
              </w:rPr>
              <w:t>SEND Engagement with learning:</w:t>
            </w:r>
          </w:p>
          <w:p w14:paraId="0D845CA4" w14:textId="0D842BCC" w:rsidR="00004D19" w:rsidRDefault="00576FC3" w:rsidP="00DA6E60">
            <w:pPr>
              <w:rPr>
                <w:szCs w:val="24"/>
              </w:rPr>
            </w:pPr>
            <w:r>
              <w:rPr>
                <w:szCs w:val="24"/>
              </w:rPr>
              <w:t>We have significantly changed the culture of SEND provision at school. The vast majority of SEND pupils now attend</w:t>
            </w:r>
            <w:r w:rsidR="00D735AE">
              <w:rPr>
                <w:szCs w:val="24"/>
              </w:rPr>
              <w:t xml:space="preserve"> </w:t>
            </w:r>
            <w:r>
              <w:rPr>
                <w:szCs w:val="24"/>
              </w:rPr>
              <w:t>lessons and all access the curriculum alongside their peers. We have seen a term by term reduction in pupils with SEND being sent to the compass centre</w:t>
            </w:r>
            <w:r w:rsidR="00BA57C2">
              <w:rPr>
                <w:szCs w:val="24"/>
              </w:rPr>
              <w:t xml:space="preserve"> due to their needs being met in class. </w:t>
            </w:r>
          </w:p>
          <w:tbl>
            <w:tblPr>
              <w:tblStyle w:val="TableGrid"/>
              <w:tblW w:w="9776" w:type="dxa"/>
              <w:tblLook w:val="04A0" w:firstRow="1" w:lastRow="0" w:firstColumn="1" w:lastColumn="0" w:noHBand="0" w:noVBand="1"/>
            </w:tblPr>
            <w:tblGrid>
              <w:gridCol w:w="3681"/>
              <w:gridCol w:w="691"/>
              <w:gridCol w:w="835"/>
              <w:gridCol w:w="835"/>
              <w:gridCol w:w="834"/>
              <w:gridCol w:w="835"/>
              <w:gridCol w:w="835"/>
              <w:gridCol w:w="1230"/>
            </w:tblGrid>
            <w:tr w:rsidR="004E65BA" w14:paraId="790D30FB" w14:textId="77777777" w:rsidTr="00816236">
              <w:tc>
                <w:tcPr>
                  <w:tcW w:w="9776" w:type="dxa"/>
                  <w:gridSpan w:val="8"/>
                </w:tcPr>
                <w:p w14:paraId="29E2B381" w14:textId="77777777" w:rsidR="004E65BA" w:rsidRDefault="004E65BA" w:rsidP="004E65BA">
                  <w:pPr>
                    <w:jc w:val="center"/>
                  </w:pPr>
                  <w:r>
                    <w:t>Number of pupils sent to the Compass Centre - SEND</w:t>
                  </w:r>
                </w:p>
              </w:tc>
            </w:tr>
            <w:tr w:rsidR="004E65BA" w14:paraId="73CFE3C8" w14:textId="77777777" w:rsidTr="00816236">
              <w:tc>
                <w:tcPr>
                  <w:tcW w:w="3681" w:type="dxa"/>
                </w:tcPr>
                <w:p w14:paraId="0A1CF437" w14:textId="77777777" w:rsidR="004E65BA" w:rsidRDefault="004E65BA" w:rsidP="004E65BA">
                  <w:pPr>
                    <w:tabs>
                      <w:tab w:val="left" w:pos="1695"/>
                    </w:tabs>
                    <w:jc w:val="center"/>
                  </w:pPr>
                </w:p>
              </w:tc>
              <w:tc>
                <w:tcPr>
                  <w:tcW w:w="691" w:type="dxa"/>
                </w:tcPr>
                <w:p w14:paraId="13D18C2B" w14:textId="77777777" w:rsidR="004E65BA" w:rsidRDefault="004E65BA" w:rsidP="004E65BA">
                  <w:pPr>
                    <w:jc w:val="center"/>
                  </w:pPr>
                  <w:r>
                    <w:t>T1</w:t>
                  </w:r>
                </w:p>
              </w:tc>
              <w:tc>
                <w:tcPr>
                  <w:tcW w:w="835" w:type="dxa"/>
                </w:tcPr>
                <w:p w14:paraId="68FB0B36" w14:textId="77777777" w:rsidR="004E65BA" w:rsidRDefault="004E65BA" w:rsidP="004E65BA">
                  <w:pPr>
                    <w:jc w:val="center"/>
                  </w:pPr>
                  <w:r>
                    <w:t>T2</w:t>
                  </w:r>
                </w:p>
              </w:tc>
              <w:tc>
                <w:tcPr>
                  <w:tcW w:w="835" w:type="dxa"/>
                </w:tcPr>
                <w:p w14:paraId="01E9FC4D" w14:textId="77777777" w:rsidR="004E65BA" w:rsidRDefault="004E65BA" w:rsidP="004E65BA">
                  <w:pPr>
                    <w:jc w:val="center"/>
                  </w:pPr>
                  <w:r>
                    <w:t>T3</w:t>
                  </w:r>
                </w:p>
              </w:tc>
              <w:tc>
                <w:tcPr>
                  <w:tcW w:w="834" w:type="dxa"/>
                </w:tcPr>
                <w:p w14:paraId="0880B5BF" w14:textId="77777777" w:rsidR="004E65BA" w:rsidRDefault="004E65BA" w:rsidP="004E65BA">
                  <w:pPr>
                    <w:jc w:val="center"/>
                  </w:pPr>
                  <w:r>
                    <w:t>T4</w:t>
                  </w:r>
                </w:p>
              </w:tc>
              <w:tc>
                <w:tcPr>
                  <w:tcW w:w="835" w:type="dxa"/>
                </w:tcPr>
                <w:p w14:paraId="4CC91477" w14:textId="77777777" w:rsidR="004E65BA" w:rsidRDefault="004E65BA" w:rsidP="004E65BA">
                  <w:pPr>
                    <w:jc w:val="center"/>
                  </w:pPr>
                  <w:r>
                    <w:t>T5</w:t>
                  </w:r>
                </w:p>
              </w:tc>
              <w:tc>
                <w:tcPr>
                  <w:tcW w:w="835" w:type="dxa"/>
                </w:tcPr>
                <w:p w14:paraId="5922ECEA" w14:textId="77777777" w:rsidR="004E65BA" w:rsidRDefault="004E65BA" w:rsidP="004E65BA">
                  <w:pPr>
                    <w:jc w:val="center"/>
                  </w:pPr>
                  <w:r>
                    <w:t>T6</w:t>
                  </w:r>
                </w:p>
              </w:tc>
              <w:tc>
                <w:tcPr>
                  <w:tcW w:w="1230" w:type="dxa"/>
                </w:tcPr>
                <w:p w14:paraId="2BE7B9CE" w14:textId="77777777" w:rsidR="004E65BA" w:rsidRDefault="004E65BA" w:rsidP="004E65BA">
                  <w:pPr>
                    <w:jc w:val="center"/>
                  </w:pPr>
                  <w:r>
                    <w:t>Cumulative</w:t>
                  </w:r>
                </w:p>
              </w:tc>
            </w:tr>
            <w:tr w:rsidR="004E65BA" w14:paraId="34036F48" w14:textId="77777777" w:rsidTr="00816236">
              <w:tc>
                <w:tcPr>
                  <w:tcW w:w="3681" w:type="dxa"/>
                </w:tcPr>
                <w:p w14:paraId="09626898" w14:textId="77777777" w:rsidR="004E65BA" w:rsidRDefault="004E65BA" w:rsidP="004E65BA">
                  <w:pPr>
                    <w:tabs>
                      <w:tab w:val="left" w:pos="1695"/>
                    </w:tabs>
                    <w:jc w:val="center"/>
                  </w:pPr>
                  <w:r>
                    <w:t xml:space="preserve">Year 5 </w:t>
                  </w:r>
                </w:p>
              </w:tc>
              <w:tc>
                <w:tcPr>
                  <w:tcW w:w="691" w:type="dxa"/>
                </w:tcPr>
                <w:p w14:paraId="1F53494A" w14:textId="77777777" w:rsidR="004E65BA" w:rsidRDefault="004E65BA" w:rsidP="004E65BA">
                  <w:pPr>
                    <w:jc w:val="center"/>
                  </w:pPr>
                  <w:r>
                    <w:t>4</w:t>
                  </w:r>
                </w:p>
              </w:tc>
              <w:tc>
                <w:tcPr>
                  <w:tcW w:w="835" w:type="dxa"/>
                </w:tcPr>
                <w:p w14:paraId="592F6CF4" w14:textId="77777777" w:rsidR="004E65BA" w:rsidRDefault="004E65BA" w:rsidP="004E65BA">
                  <w:pPr>
                    <w:jc w:val="center"/>
                  </w:pPr>
                  <w:r>
                    <w:t>1</w:t>
                  </w:r>
                </w:p>
              </w:tc>
              <w:tc>
                <w:tcPr>
                  <w:tcW w:w="835" w:type="dxa"/>
                </w:tcPr>
                <w:p w14:paraId="0B73BB03" w14:textId="77777777" w:rsidR="004E65BA" w:rsidRDefault="004E65BA" w:rsidP="004E65BA">
                  <w:pPr>
                    <w:jc w:val="center"/>
                  </w:pPr>
                  <w:r>
                    <w:t>4</w:t>
                  </w:r>
                </w:p>
              </w:tc>
              <w:tc>
                <w:tcPr>
                  <w:tcW w:w="834" w:type="dxa"/>
                </w:tcPr>
                <w:p w14:paraId="71DA2AEB" w14:textId="77777777" w:rsidR="004E65BA" w:rsidRDefault="004E65BA" w:rsidP="004E65BA">
                  <w:pPr>
                    <w:jc w:val="center"/>
                  </w:pPr>
                  <w:r>
                    <w:t>3</w:t>
                  </w:r>
                </w:p>
              </w:tc>
              <w:tc>
                <w:tcPr>
                  <w:tcW w:w="835" w:type="dxa"/>
                </w:tcPr>
                <w:p w14:paraId="59AD687D" w14:textId="77777777" w:rsidR="004E65BA" w:rsidRDefault="004E65BA" w:rsidP="004E65BA">
                  <w:pPr>
                    <w:jc w:val="center"/>
                  </w:pPr>
                  <w:r>
                    <w:t>3</w:t>
                  </w:r>
                </w:p>
              </w:tc>
              <w:tc>
                <w:tcPr>
                  <w:tcW w:w="835" w:type="dxa"/>
                </w:tcPr>
                <w:p w14:paraId="6C8E6BA2" w14:textId="77777777" w:rsidR="004E65BA" w:rsidRDefault="004E65BA" w:rsidP="004E65BA">
                  <w:pPr>
                    <w:jc w:val="center"/>
                  </w:pPr>
                  <w:r>
                    <w:t>4</w:t>
                  </w:r>
                </w:p>
              </w:tc>
              <w:tc>
                <w:tcPr>
                  <w:tcW w:w="1230" w:type="dxa"/>
                </w:tcPr>
                <w:p w14:paraId="2EC41918" w14:textId="77777777" w:rsidR="004E65BA" w:rsidRDefault="004E65BA" w:rsidP="004E65BA">
                  <w:pPr>
                    <w:jc w:val="center"/>
                  </w:pPr>
                  <w:r>
                    <w:t>19</w:t>
                  </w:r>
                </w:p>
              </w:tc>
            </w:tr>
            <w:tr w:rsidR="004E65BA" w14:paraId="722FBF9D" w14:textId="77777777" w:rsidTr="00816236">
              <w:tc>
                <w:tcPr>
                  <w:tcW w:w="3681" w:type="dxa"/>
                </w:tcPr>
                <w:p w14:paraId="02D0F487" w14:textId="77777777" w:rsidR="004E65BA" w:rsidRDefault="004E65BA" w:rsidP="004E65BA">
                  <w:pPr>
                    <w:tabs>
                      <w:tab w:val="left" w:pos="1695"/>
                    </w:tabs>
                    <w:jc w:val="center"/>
                  </w:pPr>
                  <w:r>
                    <w:t>Year 6</w:t>
                  </w:r>
                </w:p>
              </w:tc>
              <w:tc>
                <w:tcPr>
                  <w:tcW w:w="691" w:type="dxa"/>
                </w:tcPr>
                <w:p w14:paraId="25418A94" w14:textId="77777777" w:rsidR="004E65BA" w:rsidRDefault="004E65BA" w:rsidP="004E65BA">
                  <w:pPr>
                    <w:jc w:val="center"/>
                  </w:pPr>
                  <w:r>
                    <w:t>10</w:t>
                  </w:r>
                </w:p>
              </w:tc>
              <w:tc>
                <w:tcPr>
                  <w:tcW w:w="835" w:type="dxa"/>
                </w:tcPr>
                <w:p w14:paraId="5E6E17B3" w14:textId="77777777" w:rsidR="004E65BA" w:rsidRDefault="004E65BA" w:rsidP="004E65BA">
                  <w:pPr>
                    <w:jc w:val="center"/>
                  </w:pPr>
                  <w:r>
                    <w:t>9</w:t>
                  </w:r>
                </w:p>
              </w:tc>
              <w:tc>
                <w:tcPr>
                  <w:tcW w:w="835" w:type="dxa"/>
                </w:tcPr>
                <w:p w14:paraId="409006E5" w14:textId="77777777" w:rsidR="004E65BA" w:rsidRDefault="004E65BA" w:rsidP="004E65BA">
                  <w:pPr>
                    <w:jc w:val="center"/>
                  </w:pPr>
                  <w:r>
                    <w:t>7</w:t>
                  </w:r>
                </w:p>
              </w:tc>
              <w:tc>
                <w:tcPr>
                  <w:tcW w:w="834" w:type="dxa"/>
                </w:tcPr>
                <w:p w14:paraId="70654300" w14:textId="77777777" w:rsidR="004E65BA" w:rsidRDefault="004E65BA" w:rsidP="004E65BA">
                  <w:pPr>
                    <w:jc w:val="center"/>
                  </w:pPr>
                  <w:r>
                    <w:t>4</w:t>
                  </w:r>
                </w:p>
              </w:tc>
              <w:tc>
                <w:tcPr>
                  <w:tcW w:w="835" w:type="dxa"/>
                </w:tcPr>
                <w:p w14:paraId="77C83F99" w14:textId="77777777" w:rsidR="004E65BA" w:rsidRDefault="004E65BA" w:rsidP="004E65BA">
                  <w:pPr>
                    <w:jc w:val="center"/>
                  </w:pPr>
                  <w:r>
                    <w:t>4</w:t>
                  </w:r>
                </w:p>
              </w:tc>
              <w:tc>
                <w:tcPr>
                  <w:tcW w:w="835" w:type="dxa"/>
                </w:tcPr>
                <w:p w14:paraId="583CC04D" w14:textId="77777777" w:rsidR="004E65BA" w:rsidRDefault="004E65BA" w:rsidP="004E65BA">
                  <w:pPr>
                    <w:jc w:val="center"/>
                  </w:pPr>
                  <w:r>
                    <w:t>7</w:t>
                  </w:r>
                </w:p>
              </w:tc>
              <w:tc>
                <w:tcPr>
                  <w:tcW w:w="1230" w:type="dxa"/>
                </w:tcPr>
                <w:p w14:paraId="2DAA1D38" w14:textId="77777777" w:rsidR="004E65BA" w:rsidRDefault="004E65BA" w:rsidP="004E65BA">
                  <w:pPr>
                    <w:jc w:val="center"/>
                  </w:pPr>
                  <w:r>
                    <w:t>41</w:t>
                  </w:r>
                </w:p>
              </w:tc>
            </w:tr>
            <w:tr w:rsidR="004E65BA" w14:paraId="3F812AAF" w14:textId="77777777" w:rsidTr="00816236">
              <w:tc>
                <w:tcPr>
                  <w:tcW w:w="3681" w:type="dxa"/>
                </w:tcPr>
                <w:p w14:paraId="2CD6D4CF" w14:textId="77777777" w:rsidR="004E65BA" w:rsidRDefault="004E65BA" w:rsidP="004E65BA">
                  <w:pPr>
                    <w:tabs>
                      <w:tab w:val="left" w:pos="1695"/>
                    </w:tabs>
                    <w:jc w:val="center"/>
                  </w:pPr>
                  <w:r>
                    <w:t>Year 7</w:t>
                  </w:r>
                </w:p>
              </w:tc>
              <w:tc>
                <w:tcPr>
                  <w:tcW w:w="691" w:type="dxa"/>
                </w:tcPr>
                <w:p w14:paraId="48AEDCE5" w14:textId="77777777" w:rsidR="004E65BA" w:rsidRDefault="004E65BA" w:rsidP="004E65BA">
                  <w:pPr>
                    <w:jc w:val="center"/>
                  </w:pPr>
                  <w:r>
                    <w:t>6</w:t>
                  </w:r>
                </w:p>
              </w:tc>
              <w:tc>
                <w:tcPr>
                  <w:tcW w:w="835" w:type="dxa"/>
                </w:tcPr>
                <w:p w14:paraId="775D12E8" w14:textId="77777777" w:rsidR="004E65BA" w:rsidRDefault="004E65BA" w:rsidP="004E65BA">
                  <w:pPr>
                    <w:jc w:val="center"/>
                  </w:pPr>
                  <w:r>
                    <w:t>8</w:t>
                  </w:r>
                </w:p>
              </w:tc>
              <w:tc>
                <w:tcPr>
                  <w:tcW w:w="835" w:type="dxa"/>
                </w:tcPr>
                <w:p w14:paraId="48AB46B1" w14:textId="77777777" w:rsidR="004E65BA" w:rsidRDefault="004E65BA" w:rsidP="004E65BA">
                  <w:pPr>
                    <w:jc w:val="center"/>
                  </w:pPr>
                  <w:r>
                    <w:t>5</w:t>
                  </w:r>
                </w:p>
              </w:tc>
              <w:tc>
                <w:tcPr>
                  <w:tcW w:w="834" w:type="dxa"/>
                </w:tcPr>
                <w:p w14:paraId="6DC3CA3E" w14:textId="77777777" w:rsidR="004E65BA" w:rsidRDefault="004E65BA" w:rsidP="004E65BA">
                  <w:pPr>
                    <w:jc w:val="center"/>
                  </w:pPr>
                  <w:r>
                    <w:t>7</w:t>
                  </w:r>
                </w:p>
              </w:tc>
              <w:tc>
                <w:tcPr>
                  <w:tcW w:w="835" w:type="dxa"/>
                </w:tcPr>
                <w:p w14:paraId="0B32937A" w14:textId="77777777" w:rsidR="004E65BA" w:rsidRDefault="004E65BA" w:rsidP="004E65BA">
                  <w:pPr>
                    <w:jc w:val="center"/>
                  </w:pPr>
                  <w:r>
                    <w:t>5</w:t>
                  </w:r>
                </w:p>
              </w:tc>
              <w:tc>
                <w:tcPr>
                  <w:tcW w:w="835" w:type="dxa"/>
                </w:tcPr>
                <w:p w14:paraId="2E5078FA" w14:textId="77777777" w:rsidR="004E65BA" w:rsidRDefault="004E65BA" w:rsidP="004E65BA">
                  <w:pPr>
                    <w:jc w:val="center"/>
                  </w:pPr>
                  <w:r>
                    <w:t>5</w:t>
                  </w:r>
                </w:p>
              </w:tc>
              <w:tc>
                <w:tcPr>
                  <w:tcW w:w="1230" w:type="dxa"/>
                </w:tcPr>
                <w:p w14:paraId="603DD780" w14:textId="77777777" w:rsidR="004E65BA" w:rsidRDefault="004E65BA" w:rsidP="004E65BA">
                  <w:pPr>
                    <w:jc w:val="center"/>
                  </w:pPr>
                  <w:r>
                    <w:t>36</w:t>
                  </w:r>
                </w:p>
              </w:tc>
            </w:tr>
            <w:tr w:rsidR="004E65BA" w14:paraId="02EA5C1F" w14:textId="77777777" w:rsidTr="00816236">
              <w:tc>
                <w:tcPr>
                  <w:tcW w:w="3681" w:type="dxa"/>
                </w:tcPr>
                <w:p w14:paraId="594F459A" w14:textId="77777777" w:rsidR="004E65BA" w:rsidRDefault="004E65BA" w:rsidP="004E65BA">
                  <w:pPr>
                    <w:tabs>
                      <w:tab w:val="left" w:pos="1695"/>
                    </w:tabs>
                    <w:jc w:val="center"/>
                  </w:pPr>
                  <w:r>
                    <w:t>Year 8</w:t>
                  </w:r>
                </w:p>
              </w:tc>
              <w:tc>
                <w:tcPr>
                  <w:tcW w:w="691" w:type="dxa"/>
                </w:tcPr>
                <w:p w14:paraId="512E1077" w14:textId="77777777" w:rsidR="004E65BA" w:rsidRDefault="004E65BA" w:rsidP="004E65BA">
                  <w:pPr>
                    <w:jc w:val="center"/>
                  </w:pPr>
                  <w:r>
                    <w:t>5</w:t>
                  </w:r>
                </w:p>
              </w:tc>
              <w:tc>
                <w:tcPr>
                  <w:tcW w:w="835" w:type="dxa"/>
                </w:tcPr>
                <w:p w14:paraId="6F3A982B" w14:textId="77777777" w:rsidR="004E65BA" w:rsidRDefault="004E65BA" w:rsidP="004E65BA">
                  <w:pPr>
                    <w:jc w:val="center"/>
                  </w:pPr>
                  <w:r>
                    <w:t>7</w:t>
                  </w:r>
                </w:p>
              </w:tc>
              <w:tc>
                <w:tcPr>
                  <w:tcW w:w="835" w:type="dxa"/>
                </w:tcPr>
                <w:p w14:paraId="35EC9BE3" w14:textId="77777777" w:rsidR="004E65BA" w:rsidRDefault="004E65BA" w:rsidP="004E65BA">
                  <w:pPr>
                    <w:jc w:val="center"/>
                  </w:pPr>
                  <w:r>
                    <w:t>6</w:t>
                  </w:r>
                </w:p>
              </w:tc>
              <w:tc>
                <w:tcPr>
                  <w:tcW w:w="834" w:type="dxa"/>
                </w:tcPr>
                <w:p w14:paraId="51252D74" w14:textId="77777777" w:rsidR="004E65BA" w:rsidRDefault="004E65BA" w:rsidP="004E65BA">
                  <w:pPr>
                    <w:jc w:val="center"/>
                  </w:pPr>
                  <w:r>
                    <w:t>4</w:t>
                  </w:r>
                </w:p>
              </w:tc>
              <w:tc>
                <w:tcPr>
                  <w:tcW w:w="835" w:type="dxa"/>
                </w:tcPr>
                <w:p w14:paraId="1A4D9AC0" w14:textId="77777777" w:rsidR="004E65BA" w:rsidRDefault="004E65BA" w:rsidP="004E65BA">
                  <w:pPr>
                    <w:jc w:val="center"/>
                  </w:pPr>
                  <w:r>
                    <w:t>1</w:t>
                  </w:r>
                </w:p>
              </w:tc>
              <w:tc>
                <w:tcPr>
                  <w:tcW w:w="835" w:type="dxa"/>
                </w:tcPr>
                <w:p w14:paraId="2E3688E6" w14:textId="77777777" w:rsidR="004E65BA" w:rsidRDefault="004E65BA" w:rsidP="004E65BA">
                  <w:pPr>
                    <w:jc w:val="center"/>
                  </w:pPr>
                  <w:r>
                    <w:t>2</w:t>
                  </w:r>
                </w:p>
              </w:tc>
              <w:tc>
                <w:tcPr>
                  <w:tcW w:w="1230" w:type="dxa"/>
                </w:tcPr>
                <w:p w14:paraId="7D2EAE87" w14:textId="77777777" w:rsidR="004E65BA" w:rsidRDefault="004E65BA" w:rsidP="004E65BA">
                  <w:pPr>
                    <w:jc w:val="center"/>
                  </w:pPr>
                  <w:r>
                    <w:t>25</w:t>
                  </w:r>
                </w:p>
              </w:tc>
            </w:tr>
            <w:tr w:rsidR="004E65BA" w14:paraId="176522BA" w14:textId="77777777" w:rsidTr="00816236">
              <w:tc>
                <w:tcPr>
                  <w:tcW w:w="3681" w:type="dxa"/>
                </w:tcPr>
                <w:p w14:paraId="73DCB41A" w14:textId="77777777" w:rsidR="004E65BA" w:rsidRDefault="004E65BA" w:rsidP="004E65BA">
                  <w:pPr>
                    <w:tabs>
                      <w:tab w:val="left" w:pos="1695"/>
                    </w:tabs>
                    <w:jc w:val="center"/>
                  </w:pPr>
                  <w:r>
                    <w:t>cumulative</w:t>
                  </w:r>
                </w:p>
              </w:tc>
              <w:tc>
                <w:tcPr>
                  <w:tcW w:w="691" w:type="dxa"/>
                </w:tcPr>
                <w:p w14:paraId="74F6350B" w14:textId="77777777" w:rsidR="004E65BA" w:rsidRDefault="004E65BA" w:rsidP="004E65BA">
                  <w:pPr>
                    <w:jc w:val="center"/>
                  </w:pPr>
                  <w:r>
                    <w:t>25</w:t>
                  </w:r>
                </w:p>
              </w:tc>
              <w:tc>
                <w:tcPr>
                  <w:tcW w:w="835" w:type="dxa"/>
                </w:tcPr>
                <w:p w14:paraId="245DD19F" w14:textId="77777777" w:rsidR="004E65BA" w:rsidRDefault="004E65BA" w:rsidP="004E65BA">
                  <w:pPr>
                    <w:jc w:val="center"/>
                  </w:pPr>
                  <w:r>
                    <w:t>25</w:t>
                  </w:r>
                </w:p>
              </w:tc>
              <w:tc>
                <w:tcPr>
                  <w:tcW w:w="835" w:type="dxa"/>
                </w:tcPr>
                <w:p w14:paraId="3E3F8685" w14:textId="77777777" w:rsidR="004E65BA" w:rsidRDefault="004E65BA" w:rsidP="004E65BA">
                  <w:pPr>
                    <w:jc w:val="center"/>
                  </w:pPr>
                  <w:r>
                    <w:t>22</w:t>
                  </w:r>
                </w:p>
              </w:tc>
              <w:tc>
                <w:tcPr>
                  <w:tcW w:w="834" w:type="dxa"/>
                </w:tcPr>
                <w:p w14:paraId="26187A47" w14:textId="77777777" w:rsidR="004E65BA" w:rsidRDefault="004E65BA" w:rsidP="004E65BA">
                  <w:pPr>
                    <w:jc w:val="center"/>
                  </w:pPr>
                  <w:r>
                    <w:t>18</w:t>
                  </w:r>
                </w:p>
              </w:tc>
              <w:tc>
                <w:tcPr>
                  <w:tcW w:w="835" w:type="dxa"/>
                </w:tcPr>
                <w:p w14:paraId="1417C718" w14:textId="77777777" w:rsidR="004E65BA" w:rsidRDefault="004E65BA" w:rsidP="004E65BA">
                  <w:pPr>
                    <w:jc w:val="center"/>
                  </w:pPr>
                  <w:r>
                    <w:t>13</w:t>
                  </w:r>
                </w:p>
              </w:tc>
              <w:tc>
                <w:tcPr>
                  <w:tcW w:w="835" w:type="dxa"/>
                </w:tcPr>
                <w:p w14:paraId="6F3D9A44" w14:textId="77777777" w:rsidR="004E65BA" w:rsidRDefault="004E65BA" w:rsidP="004E65BA">
                  <w:pPr>
                    <w:jc w:val="center"/>
                  </w:pPr>
                  <w:r>
                    <w:t>18</w:t>
                  </w:r>
                </w:p>
              </w:tc>
              <w:tc>
                <w:tcPr>
                  <w:tcW w:w="1230" w:type="dxa"/>
                  <w:shd w:val="clear" w:color="auto" w:fill="000000" w:themeFill="text1"/>
                </w:tcPr>
                <w:p w14:paraId="29540589" w14:textId="77777777" w:rsidR="004E65BA" w:rsidRDefault="004E65BA" w:rsidP="004E65BA">
                  <w:pPr>
                    <w:jc w:val="center"/>
                  </w:pPr>
                </w:p>
              </w:tc>
            </w:tr>
          </w:tbl>
          <w:p w14:paraId="66BAC489" w14:textId="5F79C8AA" w:rsidR="004E65BA" w:rsidRDefault="004E65BA" w:rsidP="00DA6E60">
            <w:pPr>
              <w:rPr>
                <w:szCs w:val="24"/>
              </w:rPr>
            </w:pPr>
          </w:p>
          <w:p w14:paraId="5E1404E3" w14:textId="0D7ADD60" w:rsidR="00BA57C2" w:rsidRDefault="00BA57C2" w:rsidP="00DA6E60">
            <w:pPr>
              <w:rPr>
                <w:szCs w:val="24"/>
              </w:rPr>
            </w:pPr>
            <w:r>
              <w:rPr>
                <w:szCs w:val="24"/>
              </w:rPr>
              <w:t xml:space="preserve">SEND Exclusion remained in line throughout the year. However, this data is weighted very heavily on some individual pupils. We have made significant changed to staffing for next year to help support these pupils. </w:t>
            </w:r>
          </w:p>
          <w:p w14:paraId="3FC508FC" w14:textId="1DF1F7C3" w:rsidR="004E65BA" w:rsidRPr="000B154A" w:rsidRDefault="004E65BA" w:rsidP="00DA6E60">
            <w:pPr>
              <w:rPr>
                <w:szCs w:val="24"/>
              </w:rPr>
            </w:pPr>
          </w:p>
        </w:tc>
      </w:tr>
    </w:tbl>
    <w:p w14:paraId="2A7D555F" w14:textId="77777777" w:rsidR="00E66558" w:rsidRDefault="00E66558">
      <w:pPr>
        <w:spacing w:after="0" w:line="240" w:lineRule="auto"/>
      </w:pPr>
    </w:p>
    <w:bookmarkEnd w:id="15"/>
    <w:bookmarkEnd w:id="16"/>
    <w:bookmarkEnd w:id="17"/>
    <w:sectPr w:rsidR="00E66558">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3F15" w14:textId="77777777" w:rsidR="00E21A19" w:rsidRDefault="00E21A19">
      <w:pPr>
        <w:spacing w:after="0" w:line="240" w:lineRule="auto"/>
      </w:pPr>
      <w:r>
        <w:separator/>
      </w:r>
    </w:p>
  </w:endnote>
  <w:endnote w:type="continuationSeparator" w:id="0">
    <w:p w14:paraId="4D5FEE82" w14:textId="77777777" w:rsidR="00E21A19" w:rsidRDefault="00E2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425421AC" w:rsidR="005E28A4" w:rsidRDefault="009D71E8">
    <w:pPr>
      <w:pStyle w:val="Footer"/>
      <w:ind w:firstLine="4513"/>
    </w:pPr>
    <w:r>
      <w:fldChar w:fldCharType="begin"/>
    </w:r>
    <w:r>
      <w:instrText xml:space="preserve"> PAGE </w:instrText>
    </w:r>
    <w:r>
      <w:fldChar w:fldCharType="separate"/>
    </w:r>
    <w:r w:rsidR="00AA15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5AB6" w14:textId="77777777" w:rsidR="00E21A19" w:rsidRDefault="00E21A19">
      <w:pPr>
        <w:spacing w:after="0" w:line="240" w:lineRule="auto"/>
      </w:pPr>
      <w:r>
        <w:separator/>
      </w:r>
    </w:p>
  </w:footnote>
  <w:footnote w:type="continuationSeparator" w:id="0">
    <w:p w14:paraId="3D15CBC6" w14:textId="77777777" w:rsidR="00E21A19" w:rsidRDefault="00E2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A94"/>
    <w:multiLevelType w:val="hybridMultilevel"/>
    <w:tmpl w:val="0FE89E1A"/>
    <w:lvl w:ilvl="0" w:tplc="DF5A05C8">
      <w:start w:val="2"/>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09F51FD"/>
    <w:multiLevelType w:val="multilevel"/>
    <w:tmpl w:val="54D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255B6B"/>
    <w:multiLevelType w:val="multilevel"/>
    <w:tmpl w:val="DA0A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5E7C35"/>
    <w:multiLevelType w:val="hybridMultilevel"/>
    <w:tmpl w:val="9A66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3A152C1"/>
    <w:multiLevelType w:val="multilevel"/>
    <w:tmpl w:val="DB76E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64B0B"/>
    <w:multiLevelType w:val="multilevel"/>
    <w:tmpl w:val="5A8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E63788B"/>
    <w:multiLevelType w:val="hybridMultilevel"/>
    <w:tmpl w:val="7C1CA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224FA4"/>
    <w:multiLevelType w:val="hybridMultilevel"/>
    <w:tmpl w:val="73BEAC08"/>
    <w:lvl w:ilvl="0" w:tplc="20D4B2D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6"/>
  </w:num>
  <w:num w:numId="2">
    <w:abstractNumId w:val="3"/>
  </w:num>
  <w:num w:numId="3">
    <w:abstractNumId w:val="7"/>
  </w:num>
  <w:num w:numId="4">
    <w:abstractNumId w:val="9"/>
  </w:num>
  <w:num w:numId="5">
    <w:abstractNumId w:val="2"/>
  </w:num>
  <w:num w:numId="6">
    <w:abstractNumId w:val="12"/>
  </w:num>
  <w:num w:numId="7">
    <w:abstractNumId w:val="15"/>
  </w:num>
  <w:num w:numId="8">
    <w:abstractNumId w:val="19"/>
  </w:num>
  <w:num w:numId="9">
    <w:abstractNumId w:val="17"/>
  </w:num>
  <w:num w:numId="10">
    <w:abstractNumId w:val="16"/>
  </w:num>
  <w:num w:numId="11">
    <w:abstractNumId w:val="5"/>
  </w:num>
  <w:num w:numId="12">
    <w:abstractNumId w:val="18"/>
  </w:num>
  <w:num w:numId="13">
    <w:abstractNumId w:val="14"/>
  </w:num>
  <w:num w:numId="14">
    <w:abstractNumId w:val="13"/>
  </w:num>
  <w:num w:numId="15">
    <w:abstractNumId w:val="8"/>
  </w:num>
  <w:num w:numId="16">
    <w:abstractNumId w:val="20"/>
  </w:num>
  <w:num w:numId="17">
    <w:abstractNumId w:val="10"/>
  </w:num>
  <w:num w:numId="18">
    <w:abstractNumId w:val="0"/>
  </w:num>
  <w:num w:numId="19">
    <w:abstractNumId w:val="11"/>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D19"/>
    <w:rsid w:val="00016B54"/>
    <w:rsid w:val="00020486"/>
    <w:rsid w:val="0004202B"/>
    <w:rsid w:val="00066B73"/>
    <w:rsid w:val="000B154A"/>
    <w:rsid w:val="00114895"/>
    <w:rsid w:val="00120AB1"/>
    <w:rsid w:val="00135C79"/>
    <w:rsid w:val="00162234"/>
    <w:rsid w:val="001705B4"/>
    <w:rsid w:val="001744C9"/>
    <w:rsid w:val="00190907"/>
    <w:rsid w:val="0019140A"/>
    <w:rsid w:val="001971F7"/>
    <w:rsid w:val="001A537F"/>
    <w:rsid w:val="001D56F7"/>
    <w:rsid w:val="00222895"/>
    <w:rsid w:val="00230210"/>
    <w:rsid w:val="00252C4F"/>
    <w:rsid w:val="00253E98"/>
    <w:rsid w:val="002644DC"/>
    <w:rsid w:val="00264F5A"/>
    <w:rsid w:val="002766BC"/>
    <w:rsid w:val="002A14D1"/>
    <w:rsid w:val="002A3888"/>
    <w:rsid w:val="002B0385"/>
    <w:rsid w:val="002B2BF5"/>
    <w:rsid w:val="002E3D2F"/>
    <w:rsid w:val="002F0A06"/>
    <w:rsid w:val="002F19A6"/>
    <w:rsid w:val="00300F08"/>
    <w:rsid w:val="0033665C"/>
    <w:rsid w:val="00342778"/>
    <w:rsid w:val="0035095D"/>
    <w:rsid w:val="00362A26"/>
    <w:rsid w:val="00382303"/>
    <w:rsid w:val="003837E9"/>
    <w:rsid w:val="00392CF8"/>
    <w:rsid w:val="003C7763"/>
    <w:rsid w:val="004044AA"/>
    <w:rsid w:val="00405301"/>
    <w:rsid w:val="004208F0"/>
    <w:rsid w:val="004233F0"/>
    <w:rsid w:val="00474AF8"/>
    <w:rsid w:val="004C18E7"/>
    <w:rsid w:val="004D7DCC"/>
    <w:rsid w:val="004E0D4E"/>
    <w:rsid w:val="004E3947"/>
    <w:rsid w:val="004E65BA"/>
    <w:rsid w:val="005061C0"/>
    <w:rsid w:val="00507BD8"/>
    <w:rsid w:val="00543B03"/>
    <w:rsid w:val="00562B87"/>
    <w:rsid w:val="00576FC3"/>
    <w:rsid w:val="00580A80"/>
    <w:rsid w:val="005B5DD4"/>
    <w:rsid w:val="005D4803"/>
    <w:rsid w:val="005F42F2"/>
    <w:rsid w:val="006019F0"/>
    <w:rsid w:val="0061571E"/>
    <w:rsid w:val="006564A3"/>
    <w:rsid w:val="00663BE5"/>
    <w:rsid w:val="006857E2"/>
    <w:rsid w:val="006A05C0"/>
    <w:rsid w:val="006B27F3"/>
    <w:rsid w:val="006E7FB1"/>
    <w:rsid w:val="00700CF8"/>
    <w:rsid w:val="00713A26"/>
    <w:rsid w:val="00740E0E"/>
    <w:rsid w:val="0074157B"/>
    <w:rsid w:val="00741B9E"/>
    <w:rsid w:val="00742232"/>
    <w:rsid w:val="00744B0D"/>
    <w:rsid w:val="007713FD"/>
    <w:rsid w:val="00785F3C"/>
    <w:rsid w:val="007933FD"/>
    <w:rsid w:val="007973E8"/>
    <w:rsid w:val="007C2F04"/>
    <w:rsid w:val="007D1EC2"/>
    <w:rsid w:val="007D2094"/>
    <w:rsid w:val="007E0B1E"/>
    <w:rsid w:val="007E5381"/>
    <w:rsid w:val="007F0536"/>
    <w:rsid w:val="00800FDB"/>
    <w:rsid w:val="00801B41"/>
    <w:rsid w:val="00806580"/>
    <w:rsid w:val="008153CD"/>
    <w:rsid w:val="00837151"/>
    <w:rsid w:val="00867AC1"/>
    <w:rsid w:val="008B034B"/>
    <w:rsid w:val="008D15AB"/>
    <w:rsid w:val="008E7D68"/>
    <w:rsid w:val="008F2513"/>
    <w:rsid w:val="0091110E"/>
    <w:rsid w:val="009166C3"/>
    <w:rsid w:val="00945F16"/>
    <w:rsid w:val="0098264C"/>
    <w:rsid w:val="009C4087"/>
    <w:rsid w:val="009D71E8"/>
    <w:rsid w:val="00A25AA6"/>
    <w:rsid w:val="00A50DB2"/>
    <w:rsid w:val="00A824BE"/>
    <w:rsid w:val="00A82DCF"/>
    <w:rsid w:val="00A950F4"/>
    <w:rsid w:val="00A968FB"/>
    <w:rsid w:val="00AA03D3"/>
    <w:rsid w:val="00AA0B56"/>
    <w:rsid w:val="00AA15F6"/>
    <w:rsid w:val="00AA5381"/>
    <w:rsid w:val="00AB06AC"/>
    <w:rsid w:val="00AB7D50"/>
    <w:rsid w:val="00AC795E"/>
    <w:rsid w:val="00B02133"/>
    <w:rsid w:val="00B0593D"/>
    <w:rsid w:val="00B15A53"/>
    <w:rsid w:val="00B30D80"/>
    <w:rsid w:val="00B36165"/>
    <w:rsid w:val="00B47507"/>
    <w:rsid w:val="00B91C87"/>
    <w:rsid w:val="00B92B93"/>
    <w:rsid w:val="00BA093E"/>
    <w:rsid w:val="00BA57C2"/>
    <w:rsid w:val="00BB5EFC"/>
    <w:rsid w:val="00BB7E27"/>
    <w:rsid w:val="00BF1D24"/>
    <w:rsid w:val="00BF1D4A"/>
    <w:rsid w:val="00BF2821"/>
    <w:rsid w:val="00C22BF9"/>
    <w:rsid w:val="00C271E7"/>
    <w:rsid w:val="00C37F59"/>
    <w:rsid w:val="00C46C41"/>
    <w:rsid w:val="00C50391"/>
    <w:rsid w:val="00C5394E"/>
    <w:rsid w:val="00C80DCD"/>
    <w:rsid w:val="00C83E07"/>
    <w:rsid w:val="00CB3D5B"/>
    <w:rsid w:val="00CD208F"/>
    <w:rsid w:val="00D10992"/>
    <w:rsid w:val="00D25391"/>
    <w:rsid w:val="00D33FE5"/>
    <w:rsid w:val="00D42359"/>
    <w:rsid w:val="00D735AE"/>
    <w:rsid w:val="00DC2C44"/>
    <w:rsid w:val="00DC5805"/>
    <w:rsid w:val="00DC7748"/>
    <w:rsid w:val="00DD2576"/>
    <w:rsid w:val="00DE461E"/>
    <w:rsid w:val="00E21A19"/>
    <w:rsid w:val="00E40452"/>
    <w:rsid w:val="00E5623A"/>
    <w:rsid w:val="00E66558"/>
    <w:rsid w:val="00E907A3"/>
    <w:rsid w:val="00E95F0B"/>
    <w:rsid w:val="00ED4EDC"/>
    <w:rsid w:val="00EE43A7"/>
    <w:rsid w:val="00F15D35"/>
    <w:rsid w:val="00F17EAF"/>
    <w:rsid w:val="00F4521F"/>
    <w:rsid w:val="00F45D93"/>
    <w:rsid w:val="00F6517F"/>
    <w:rsid w:val="00F660BE"/>
    <w:rsid w:val="00FA09A1"/>
    <w:rsid w:val="00FC50C3"/>
    <w:rsid w:val="00FD568D"/>
    <w:rsid w:val="00FF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54A"/>
  </w:style>
  <w:style w:type="paragraph" w:styleId="Heading1">
    <w:name w:val="heading 1"/>
    <w:basedOn w:val="Normal"/>
    <w:next w:val="Normal"/>
    <w:link w:val="Heading1Char"/>
    <w:uiPriority w:val="9"/>
    <w:qFormat/>
    <w:rsid w:val="000B154A"/>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0B15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B154A"/>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unhideWhenUsed/>
    <w:qFormat/>
    <w:rsid w:val="000B154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B154A"/>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0B154A"/>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unhideWhenUsed/>
    <w:qFormat/>
    <w:rsid w:val="000B154A"/>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unhideWhenUsed/>
    <w:qFormat/>
    <w:rsid w:val="000B154A"/>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unhideWhenUsed/>
    <w:qFormat/>
    <w:rsid w:val="000B154A"/>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basedOn w:val="DefaultParagraphFont"/>
    <w:link w:val="Heading1"/>
    <w:uiPriority w:val="9"/>
    <w:rsid w:val="000B154A"/>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0B154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B154A"/>
    <w:rPr>
      <w:rFonts w:asciiTheme="majorHAnsi" w:eastAsiaTheme="majorEastAsia" w:hAnsiTheme="majorHAnsi" w:cstheme="majorBidi"/>
      <w:color w:val="373545" w:themeColor="text2"/>
      <w:sz w:val="24"/>
      <w:szCs w:val="24"/>
    </w:rPr>
  </w:style>
  <w:style w:type="character" w:styleId="Hyperlink">
    <w:name w:val="Hyperlink"/>
    <w:rPr>
      <w:rFonts w:ascii="Arial" w:hAnsi="Arial"/>
      <w:color w:val="0000FF"/>
      <w:sz w:val="24"/>
      <w:u w:val="single"/>
    </w:rPr>
  </w:style>
  <w:style w:type="paragraph" w:styleId="TOCHeading">
    <w:name w:val="TOC Heading"/>
    <w:basedOn w:val="Heading1"/>
    <w:next w:val="Normal"/>
    <w:uiPriority w:val="39"/>
    <w:unhideWhenUsed/>
    <w:qFormat/>
    <w:rsid w:val="000B154A"/>
    <w:pPr>
      <w:outlineLvl w:val="9"/>
    </w:p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pPr>
  </w:style>
  <w:style w:type="character" w:customStyle="1" w:styleId="CopyrightSpacingChar">
    <w:name w:val="CopyrightSpacing Char"/>
    <w:rPr>
      <w:sz w:val="24"/>
      <w:szCs w:val="24"/>
    </w:rPr>
  </w:style>
  <w:style w:type="paragraph" w:styleId="Title">
    <w:name w:val="Title"/>
    <w:basedOn w:val="Normal"/>
    <w:next w:val="Normal"/>
    <w:link w:val="TitleChar"/>
    <w:uiPriority w:val="10"/>
    <w:qFormat/>
    <w:rsid w:val="000B154A"/>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0B154A"/>
    <w:rPr>
      <w:rFonts w:asciiTheme="majorHAnsi" w:eastAsiaTheme="majorEastAsia" w:hAnsiTheme="majorHAnsi" w:cstheme="majorBidi"/>
      <w:color w:val="3494BA" w:themeColor="accent1"/>
      <w:spacing w:val="-10"/>
      <w:sz w:val="56"/>
      <w:szCs w:val="56"/>
    </w:rPr>
  </w:style>
  <w:style w:type="paragraph" w:styleId="TableofFigures">
    <w:name w:val="table of figures"/>
    <w:basedOn w:val="Normal"/>
    <w:next w:val="Normal"/>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rsid w:val="000B154A"/>
    <w:pPr>
      <w:spacing w:line="240" w:lineRule="auto"/>
    </w:pPr>
    <w:rPr>
      <w:b/>
      <w:bCs/>
      <w:smallCaps/>
      <w:color w:val="595959" w:themeColor="text1" w:themeTint="A6"/>
      <w:spacing w:val="6"/>
    </w:rPr>
  </w:style>
  <w:style w:type="character" w:customStyle="1" w:styleId="Heading4Char">
    <w:name w:val="Heading 4 Char"/>
    <w:basedOn w:val="DefaultParagraphFont"/>
    <w:link w:val="Heading4"/>
    <w:uiPriority w:val="9"/>
    <w:rsid w:val="000B15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B154A"/>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0B154A"/>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rsid w:val="000B154A"/>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rsid w:val="000B154A"/>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rsid w:val="000B154A"/>
    <w:rPr>
      <w:rFonts w:asciiTheme="majorHAnsi" w:eastAsiaTheme="majorEastAsia" w:hAnsiTheme="majorHAnsi" w:cstheme="majorBidi"/>
      <w:b/>
      <w:bCs/>
      <w:i/>
      <w:iCs/>
      <w:color w:val="373545" w:themeColor="text2"/>
    </w:rPr>
  </w:style>
  <w:style w:type="paragraph" w:styleId="BodyText">
    <w:name w:val="Body Text"/>
    <w:basedOn w:val="Normal"/>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sz w:val="22"/>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lang w:eastAsia="en-US"/>
    </w:rPr>
  </w:style>
  <w:style w:type="paragraph" w:customStyle="1" w:styleId="Numbered">
    <w:name w:val="Numbered"/>
    <w:basedOn w:val="Normal"/>
    <w:pPr>
      <w:widowControl w:val="0"/>
      <w:overflowPunct w:val="0"/>
      <w:autoSpaceDE w:val="0"/>
      <w:spacing w:line="240" w:lineRule="auto"/>
      <w:textAlignment w:val="baseline"/>
    </w:pPr>
    <w:rPr>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uiPriority w:val="11"/>
    <w:qFormat/>
    <w:rsid w:val="000B154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154A"/>
    <w:rPr>
      <w:rFonts w:asciiTheme="majorHAnsi" w:eastAsiaTheme="majorEastAsia" w:hAnsiTheme="majorHAnsi" w:cstheme="majorBidi"/>
      <w:sz w:val="24"/>
      <w:szCs w:val="24"/>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sz w:val="22"/>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0B154A"/>
    <w:rPr>
      <w:b/>
      <w:bCs/>
    </w:rPr>
  </w:style>
  <w:style w:type="character" w:styleId="Emphasis">
    <w:name w:val="Emphasis"/>
    <w:basedOn w:val="DefaultParagraphFont"/>
    <w:uiPriority w:val="20"/>
    <w:qFormat/>
    <w:rsid w:val="000B154A"/>
    <w:rPr>
      <w:i/>
      <w:iCs/>
    </w:rPr>
  </w:style>
  <w:style w:type="paragraph" w:styleId="NoSpacing">
    <w:name w:val="No Spacing"/>
    <w:uiPriority w:val="1"/>
    <w:qFormat/>
    <w:rsid w:val="000B154A"/>
    <w:pPr>
      <w:spacing w:after="0" w:line="240" w:lineRule="auto"/>
    </w:pPr>
  </w:style>
  <w:style w:type="paragraph" w:styleId="Quote">
    <w:name w:val="Quote"/>
    <w:basedOn w:val="Normal"/>
    <w:next w:val="Normal"/>
    <w:link w:val="QuoteChar"/>
    <w:uiPriority w:val="29"/>
    <w:qFormat/>
    <w:rsid w:val="000B154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154A"/>
    <w:rPr>
      <w:i/>
      <w:iCs/>
      <w:color w:val="404040" w:themeColor="text1" w:themeTint="BF"/>
    </w:rPr>
  </w:style>
  <w:style w:type="paragraph" w:styleId="IntenseQuote">
    <w:name w:val="Intense Quote"/>
    <w:basedOn w:val="Normal"/>
    <w:next w:val="Normal"/>
    <w:link w:val="IntenseQuoteChar"/>
    <w:uiPriority w:val="30"/>
    <w:qFormat/>
    <w:rsid w:val="000B154A"/>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0B154A"/>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0B154A"/>
    <w:rPr>
      <w:i/>
      <w:iCs/>
      <w:color w:val="404040" w:themeColor="text1" w:themeTint="BF"/>
    </w:rPr>
  </w:style>
  <w:style w:type="character" w:styleId="IntenseEmphasis">
    <w:name w:val="Intense Emphasis"/>
    <w:basedOn w:val="DefaultParagraphFont"/>
    <w:uiPriority w:val="21"/>
    <w:qFormat/>
    <w:rsid w:val="000B154A"/>
    <w:rPr>
      <w:b/>
      <w:bCs/>
      <w:i/>
      <w:iCs/>
    </w:rPr>
  </w:style>
  <w:style w:type="character" w:styleId="SubtleReference">
    <w:name w:val="Subtle Reference"/>
    <w:basedOn w:val="DefaultParagraphFont"/>
    <w:uiPriority w:val="31"/>
    <w:qFormat/>
    <w:rsid w:val="000B15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54A"/>
    <w:rPr>
      <w:b/>
      <w:bCs/>
      <w:smallCaps/>
      <w:spacing w:val="5"/>
      <w:u w:val="single"/>
    </w:rPr>
  </w:style>
  <w:style w:type="character" w:styleId="BookTitle">
    <w:name w:val="Book Title"/>
    <w:basedOn w:val="DefaultParagraphFont"/>
    <w:uiPriority w:val="33"/>
    <w:qFormat/>
    <w:rsid w:val="000B154A"/>
    <w:rPr>
      <w:b/>
      <w:bCs/>
      <w:smallCaps/>
    </w:rPr>
  </w:style>
  <w:style w:type="paragraph" w:customStyle="1" w:styleId="tablerow0">
    <w:name w:val="tablerow"/>
    <w:basedOn w:val="Normal"/>
    <w:rsid w:val="00E5623A"/>
    <w:pPr>
      <w:spacing w:after="0" w:line="240" w:lineRule="auto"/>
    </w:pPr>
    <w:rPr>
      <w:rFonts w:ascii="Calibri" w:eastAsiaTheme="minorHAnsi" w:hAnsi="Calibri" w:cs="Calibri"/>
      <w:sz w:val="22"/>
      <w:szCs w:val="22"/>
    </w:rPr>
  </w:style>
  <w:style w:type="paragraph" w:customStyle="1" w:styleId="xtablerow">
    <w:name w:val="x_tablerow"/>
    <w:basedOn w:val="Normal"/>
    <w:rsid w:val="00E907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19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65B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8180">
      <w:bodyDiv w:val="1"/>
      <w:marLeft w:val="0"/>
      <w:marRight w:val="0"/>
      <w:marTop w:val="0"/>
      <w:marBottom w:val="0"/>
      <w:divBdr>
        <w:top w:val="none" w:sz="0" w:space="0" w:color="auto"/>
        <w:left w:val="none" w:sz="0" w:space="0" w:color="auto"/>
        <w:bottom w:val="none" w:sz="0" w:space="0" w:color="auto"/>
        <w:right w:val="none" w:sz="0" w:space="0" w:color="auto"/>
      </w:divBdr>
    </w:div>
    <w:div w:id="378936726">
      <w:bodyDiv w:val="1"/>
      <w:marLeft w:val="0"/>
      <w:marRight w:val="0"/>
      <w:marTop w:val="0"/>
      <w:marBottom w:val="0"/>
      <w:divBdr>
        <w:top w:val="none" w:sz="0" w:space="0" w:color="auto"/>
        <w:left w:val="none" w:sz="0" w:space="0" w:color="auto"/>
        <w:bottom w:val="none" w:sz="0" w:space="0" w:color="auto"/>
        <w:right w:val="none" w:sz="0" w:space="0" w:color="auto"/>
      </w:divBdr>
    </w:div>
    <w:div w:id="413624060">
      <w:bodyDiv w:val="1"/>
      <w:marLeft w:val="0"/>
      <w:marRight w:val="0"/>
      <w:marTop w:val="0"/>
      <w:marBottom w:val="0"/>
      <w:divBdr>
        <w:top w:val="none" w:sz="0" w:space="0" w:color="auto"/>
        <w:left w:val="none" w:sz="0" w:space="0" w:color="auto"/>
        <w:bottom w:val="none" w:sz="0" w:space="0" w:color="auto"/>
        <w:right w:val="none" w:sz="0" w:space="0" w:color="auto"/>
      </w:divBdr>
    </w:div>
    <w:div w:id="425656866">
      <w:bodyDiv w:val="1"/>
      <w:marLeft w:val="0"/>
      <w:marRight w:val="0"/>
      <w:marTop w:val="0"/>
      <w:marBottom w:val="0"/>
      <w:divBdr>
        <w:top w:val="none" w:sz="0" w:space="0" w:color="auto"/>
        <w:left w:val="none" w:sz="0" w:space="0" w:color="auto"/>
        <w:bottom w:val="none" w:sz="0" w:space="0" w:color="auto"/>
        <w:right w:val="none" w:sz="0" w:space="0" w:color="auto"/>
      </w:divBdr>
      <w:divsChild>
        <w:div w:id="1489974470">
          <w:marLeft w:val="-108"/>
          <w:marRight w:val="0"/>
          <w:marTop w:val="0"/>
          <w:marBottom w:val="0"/>
          <w:divBdr>
            <w:top w:val="none" w:sz="0" w:space="0" w:color="auto"/>
            <w:left w:val="none" w:sz="0" w:space="0" w:color="auto"/>
            <w:bottom w:val="none" w:sz="0" w:space="0" w:color="auto"/>
            <w:right w:val="none" w:sz="0" w:space="0" w:color="auto"/>
          </w:divBdr>
        </w:div>
      </w:divsChild>
    </w:div>
    <w:div w:id="486436885">
      <w:bodyDiv w:val="1"/>
      <w:marLeft w:val="0"/>
      <w:marRight w:val="0"/>
      <w:marTop w:val="0"/>
      <w:marBottom w:val="0"/>
      <w:divBdr>
        <w:top w:val="none" w:sz="0" w:space="0" w:color="auto"/>
        <w:left w:val="none" w:sz="0" w:space="0" w:color="auto"/>
        <w:bottom w:val="none" w:sz="0" w:space="0" w:color="auto"/>
        <w:right w:val="none" w:sz="0" w:space="0" w:color="auto"/>
      </w:divBdr>
    </w:div>
    <w:div w:id="536897477">
      <w:bodyDiv w:val="1"/>
      <w:marLeft w:val="0"/>
      <w:marRight w:val="0"/>
      <w:marTop w:val="0"/>
      <w:marBottom w:val="0"/>
      <w:divBdr>
        <w:top w:val="none" w:sz="0" w:space="0" w:color="auto"/>
        <w:left w:val="none" w:sz="0" w:space="0" w:color="auto"/>
        <w:bottom w:val="none" w:sz="0" w:space="0" w:color="auto"/>
        <w:right w:val="none" w:sz="0" w:space="0" w:color="auto"/>
      </w:divBdr>
    </w:div>
    <w:div w:id="1034378581">
      <w:bodyDiv w:val="1"/>
      <w:marLeft w:val="0"/>
      <w:marRight w:val="0"/>
      <w:marTop w:val="0"/>
      <w:marBottom w:val="0"/>
      <w:divBdr>
        <w:top w:val="none" w:sz="0" w:space="0" w:color="auto"/>
        <w:left w:val="none" w:sz="0" w:space="0" w:color="auto"/>
        <w:bottom w:val="none" w:sz="0" w:space="0" w:color="auto"/>
        <w:right w:val="none" w:sz="0" w:space="0" w:color="auto"/>
      </w:divBdr>
    </w:div>
    <w:div w:id="1212425861">
      <w:bodyDiv w:val="1"/>
      <w:marLeft w:val="0"/>
      <w:marRight w:val="0"/>
      <w:marTop w:val="0"/>
      <w:marBottom w:val="0"/>
      <w:divBdr>
        <w:top w:val="none" w:sz="0" w:space="0" w:color="auto"/>
        <w:left w:val="none" w:sz="0" w:space="0" w:color="auto"/>
        <w:bottom w:val="none" w:sz="0" w:space="0" w:color="auto"/>
        <w:right w:val="none" w:sz="0" w:space="0" w:color="auto"/>
      </w:divBdr>
    </w:div>
    <w:div w:id="1409841768">
      <w:bodyDiv w:val="1"/>
      <w:marLeft w:val="0"/>
      <w:marRight w:val="0"/>
      <w:marTop w:val="0"/>
      <w:marBottom w:val="0"/>
      <w:divBdr>
        <w:top w:val="none" w:sz="0" w:space="0" w:color="auto"/>
        <w:left w:val="none" w:sz="0" w:space="0" w:color="auto"/>
        <w:bottom w:val="none" w:sz="0" w:space="0" w:color="auto"/>
        <w:right w:val="none" w:sz="0" w:space="0" w:color="auto"/>
      </w:divBdr>
    </w:div>
    <w:div w:id="1476145272">
      <w:bodyDiv w:val="1"/>
      <w:marLeft w:val="0"/>
      <w:marRight w:val="0"/>
      <w:marTop w:val="0"/>
      <w:marBottom w:val="0"/>
      <w:divBdr>
        <w:top w:val="none" w:sz="0" w:space="0" w:color="auto"/>
        <w:left w:val="none" w:sz="0" w:space="0" w:color="auto"/>
        <w:bottom w:val="none" w:sz="0" w:space="0" w:color="auto"/>
        <w:right w:val="none" w:sz="0" w:space="0" w:color="auto"/>
      </w:divBdr>
    </w:div>
    <w:div w:id="1693606461">
      <w:bodyDiv w:val="1"/>
      <w:marLeft w:val="0"/>
      <w:marRight w:val="0"/>
      <w:marTop w:val="0"/>
      <w:marBottom w:val="0"/>
      <w:divBdr>
        <w:top w:val="none" w:sz="0" w:space="0" w:color="auto"/>
        <w:left w:val="none" w:sz="0" w:space="0" w:color="auto"/>
        <w:bottom w:val="none" w:sz="0" w:space="0" w:color="auto"/>
        <w:right w:val="none" w:sz="0" w:space="0" w:color="auto"/>
      </w:divBdr>
    </w:div>
    <w:div w:id="208398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mall-group-tuitio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reducing-class-size" TargetMode="External"/><Relationship Id="rId12" Type="http://schemas.openxmlformats.org/officeDocument/2006/relationships/hyperlink" Target="https://educationendowmentfoundation.org.uk/education-evidence/teaching-learning-toolkit/behaviour-interven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metacognition-and-self-regulatio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renaissance.com/products/accelerated-reader/evidence/"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Emma Hardy</cp:lastModifiedBy>
  <cp:revision>2</cp:revision>
  <cp:lastPrinted>2021-10-06T14:30:00Z</cp:lastPrinted>
  <dcterms:created xsi:type="dcterms:W3CDTF">2022-11-10T16:04:00Z</dcterms:created>
  <dcterms:modified xsi:type="dcterms:W3CDTF">2022-11-10T16:04:00Z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