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35" w:rsidRDefault="004230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6762750</wp:posOffset>
                </wp:positionV>
                <wp:extent cx="5486400" cy="1914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043" w:rsidRDefault="00423043">
                            <w:r>
                              <w:t xml:space="preserve">The above data </w:t>
                            </w:r>
                            <w:r w:rsidR="00481A06">
                              <w:t xml:space="preserve">indicates that Pupil Premium children are performing </w:t>
                            </w:r>
                            <w:r w:rsidR="001C34A4">
                              <w:t>in line with non-PPG pupils. We have supported through interventions using PPG budget for staff to support these interventions and to provide pastoral support to overcome barriers to learning.</w:t>
                            </w:r>
                          </w:p>
                          <w:p w:rsidR="002959CA" w:rsidRDefault="002959CA">
                            <w:r>
                              <w:t>At Year 6 we can see that PPG children frequently perform as well as if not better that Non-PPG pupils.</w:t>
                            </w:r>
                            <w:bookmarkStart w:id="0" w:name="_GoBack"/>
                            <w:bookmarkEnd w:id="0"/>
                          </w:p>
                          <w:p w:rsidR="001C34A4" w:rsidRDefault="001C34A4">
                            <w:r>
                              <w:t>Comparisons are purely between PPG and Non-PPG pupils and do not take into account SEND factors or other vulnerable factors (such as levels of need that require Social Care involvement)</w:t>
                            </w:r>
                          </w:p>
                          <w:p w:rsidR="00423043" w:rsidRDefault="00423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25pt;margin-top:532.5pt;width:6in;height:1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" fillcolor="white [3201]" strokeweight=".5pt">
                <v:textbox>
                  <w:txbxContent>
                    <w:p w:rsidR="00423043" w:rsidRDefault="00423043">
                      <w:r>
                        <w:t xml:space="preserve">The above data </w:t>
                      </w:r>
                      <w:r w:rsidR="00481A06">
                        <w:t xml:space="preserve">indicates that Pupil Premium children are performing </w:t>
                      </w:r>
                      <w:r w:rsidR="001C34A4">
                        <w:t>in line with non-PPG pupils. We have supported through interventions using PPG budget for staff to support these interventions and to provide pastoral support to overcome barriers to learning.</w:t>
                      </w:r>
                    </w:p>
                    <w:p w:rsidR="002959CA" w:rsidRDefault="002959CA">
                      <w:r>
                        <w:t>At Year 6 we can see that PPG children frequently perform as well as if not better that Non-PPG pupils.</w:t>
                      </w:r>
                      <w:bookmarkStart w:id="1" w:name="_GoBack"/>
                      <w:bookmarkEnd w:id="1"/>
                    </w:p>
                    <w:p w:rsidR="001C34A4" w:rsidRDefault="001C34A4">
                      <w:r>
                        <w:t>Comparisons are purely between PPG and Non-PPG pupils and do not take into account SEND factors or other vulnerable factors (such as levels of need that require Social Care involvement)</w:t>
                      </w:r>
                    </w:p>
                    <w:p w:rsidR="00423043" w:rsidRDefault="00423043"/>
                  </w:txbxContent>
                </v:textbox>
              </v:shape>
            </w:pict>
          </mc:Fallback>
        </mc:AlternateContent>
      </w:r>
      <w:r w:rsidR="001C6BDB">
        <w:rPr>
          <w:noProof/>
          <w:lang w:eastAsia="en-GB"/>
        </w:rPr>
        <w:drawing>
          <wp:inline distT="0" distB="0" distL="0" distR="0" wp14:anchorId="16F82040" wp14:editId="47F9EDF3">
            <wp:extent cx="5829300" cy="31432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1C6BDB">
        <w:rPr>
          <w:noProof/>
          <w:lang w:eastAsia="en-GB"/>
        </w:rPr>
        <w:drawing>
          <wp:inline distT="0" distB="0" distL="0" distR="0" wp14:anchorId="23F2F437" wp14:editId="3A8F99F4">
            <wp:extent cx="58293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C6C35" w:rsidSect="001C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DB"/>
    <w:rsid w:val="001C34A4"/>
    <w:rsid w:val="001C6BDB"/>
    <w:rsid w:val="002959CA"/>
    <w:rsid w:val="00423043"/>
    <w:rsid w:val="00481A06"/>
    <w:rsid w:val="005C6C35"/>
    <w:rsid w:val="00BC0CFB"/>
    <w:rsid w:val="00BF60AE"/>
    <w:rsid w:val="00C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03E2"/>
  <w15:docId w15:val="{C3C4378E-88B4-4AA9-B56D-FC201667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PPG 18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Reading</c:v>
                </c:pt>
                <c:pt idx="1">
                  <c:v>Writing</c:v>
                </c:pt>
                <c:pt idx="2">
                  <c:v>Maths</c:v>
                </c:pt>
                <c:pt idx="3">
                  <c:v>Combined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70</c:v>
                </c:pt>
                <c:pt idx="1">
                  <c:v>55</c:v>
                </c:pt>
                <c:pt idx="2">
                  <c:v>60</c:v>
                </c:pt>
                <c:pt idx="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E0-4ACC-8B20-C5A81D4C62C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Non-PPG 18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Reading</c:v>
                </c:pt>
                <c:pt idx="1">
                  <c:v>Writing</c:v>
                </c:pt>
                <c:pt idx="2">
                  <c:v>Maths</c:v>
                </c:pt>
                <c:pt idx="3">
                  <c:v>Combined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50</c:v>
                </c:pt>
                <c:pt idx="1">
                  <c:v>40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E0-4ACC-8B20-C5A81D4C62C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PPG 19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Reading</c:v>
                </c:pt>
                <c:pt idx="1">
                  <c:v>Writing</c:v>
                </c:pt>
                <c:pt idx="2">
                  <c:v>Maths</c:v>
                </c:pt>
                <c:pt idx="3">
                  <c:v>Combined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59</c:v>
                </c:pt>
                <c:pt idx="1">
                  <c:v>68</c:v>
                </c:pt>
                <c:pt idx="2">
                  <c:v>55</c:v>
                </c:pt>
                <c:pt idx="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E0-4ACC-8B20-C5A81D4C62C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Non-PPG 19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Reading</c:v>
                </c:pt>
                <c:pt idx="1">
                  <c:v>Writing</c:v>
                </c:pt>
                <c:pt idx="2">
                  <c:v>Maths</c:v>
                </c:pt>
                <c:pt idx="3">
                  <c:v>Combined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56</c:v>
                </c:pt>
                <c:pt idx="1">
                  <c:v>56</c:v>
                </c:pt>
                <c:pt idx="2">
                  <c:v>44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E0-4ACC-8B20-C5A81D4C62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188672"/>
        <c:axId val="161172096"/>
      </c:barChart>
      <c:catAx>
        <c:axId val="160188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172096"/>
        <c:crosses val="autoZero"/>
        <c:auto val="1"/>
        <c:lblAlgn val="ctr"/>
        <c:lblOffset val="100"/>
        <c:noMultiLvlLbl val="0"/>
      </c:catAx>
      <c:valAx>
        <c:axId val="16117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188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PPG 18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Reading</c:v>
                </c:pt>
                <c:pt idx="1">
                  <c:v>Writing</c:v>
                </c:pt>
                <c:pt idx="2">
                  <c:v>Maths</c:v>
                </c:pt>
                <c:pt idx="3">
                  <c:v>Combined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64</c:v>
                </c:pt>
                <c:pt idx="1">
                  <c:v>64</c:v>
                </c:pt>
                <c:pt idx="2">
                  <c:v>57</c:v>
                </c:pt>
                <c:pt idx="3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93-4009-A9C4-8265C3A6DF3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Non-PPG 18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Reading</c:v>
                </c:pt>
                <c:pt idx="1">
                  <c:v>Writing</c:v>
                </c:pt>
                <c:pt idx="2">
                  <c:v>Maths</c:v>
                </c:pt>
                <c:pt idx="3">
                  <c:v>Combined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46</c:v>
                </c:pt>
                <c:pt idx="1">
                  <c:v>46</c:v>
                </c:pt>
                <c:pt idx="2">
                  <c:v>62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93-4009-A9C4-8265C3A6DF3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PPG 19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Reading</c:v>
                </c:pt>
                <c:pt idx="1">
                  <c:v>Writing</c:v>
                </c:pt>
                <c:pt idx="2">
                  <c:v>Maths</c:v>
                </c:pt>
                <c:pt idx="3">
                  <c:v>Combined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56</c:v>
                </c:pt>
                <c:pt idx="1">
                  <c:v>63</c:v>
                </c:pt>
                <c:pt idx="2">
                  <c:v>63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32-4949-8B2F-EEACCDCB006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Non-PPG 19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Reading</c:v>
                </c:pt>
                <c:pt idx="1">
                  <c:v>Writing</c:v>
                </c:pt>
                <c:pt idx="2">
                  <c:v>Maths</c:v>
                </c:pt>
                <c:pt idx="3">
                  <c:v>Combined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64</c:v>
                </c:pt>
                <c:pt idx="1">
                  <c:v>57</c:v>
                </c:pt>
                <c:pt idx="2">
                  <c:v>79</c:v>
                </c:pt>
                <c:pt idx="3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32-4949-8B2F-EEACCDCB0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181248"/>
        <c:axId val="246207616"/>
      </c:barChart>
      <c:catAx>
        <c:axId val="246181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6207616"/>
        <c:crosses val="autoZero"/>
        <c:auto val="1"/>
        <c:lblAlgn val="ctr"/>
        <c:lblOffset val="100"/>
        <c:noMultiLvlLbl val="0"/>
      </c:catAx>
      <c:valAx>
        <c:axId val="24620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181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0.83007</cdr:x>
      <cdr:y>0.0666</cdr:y>
    </cdr:from>
    <cdr:to>
      <cdr:x>0.98715</cdr:x>
      <cdr:y>0.32089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838700" y="209340"/>
          <a:ext cx="915693" cy="7992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Year 6</a:t>
          </a:r>
        </a:p>
        <a:p xmlns:a="http://schemas.openxmlformats.org/drawingml/2006/main">
          <a:r>
            <a:rPr lang="en-GB" sz="1100"/>
            <a:t>PPG</a:t>
          </a:r>
          <a:r>
            <a:rPr lang="en-GB" sz="1100" baseline="0"/>
            <a:t> / Non-PPG comparisons</a:t>
          </a:r>
          <a:endParaRPr lang="en-GB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0.82026</cdr:x>
      <cdr:y>0.07143</cdr:y>
    </cdr:from>
    <cdr:to>
      <cdr:x>0.98529</cdr:x>
      <cdr:y>0.31845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781550" y="228605"/>
          <a:ext cx="962025" cy="7905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Year 2</a:t>
          </a:r>
        </a:p>
        <a:p xmlns:a="http://schemas.openxmlformats.org/drawingml/2006/main">
          <a:r>
            <a:rPr lang="en-GB" sz="1100"/>
            <a:t>PPG  / Non-PPG comparisons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Stars Primary School</dc:creator>
  <cp:lastModifiedBy>M Mitchell</cp:lastModifiedBy>
  <cp:revision>5</cp:revision>
  <dcterms:created xsi:type="dcterms:W3CDTF">2019-10-24T07:18:00Z</dcterms:created>
  <dcterms:modified xsi:type="dcterms:W3CDTF">2019-10-24T15:53:00Z</dcterms:modified>
</cp:coreProperties>
</file>