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51" w:rsidRDefault="00513148" w:rsidP="00513148">
      <w:pPr>
        <w:pStyle w:val="Heading1"/>
        <w:jc w:val="center"/>
      </w:pPr>
      <w:r>
        <w:rPr>
          <w:noProof/>
          <w:lang w:val="en-GB" w:eastAsia="en-GB"/>
        </w:rPr>
        <w:drawing>
          <wp:inline distT="0" distB="0" distL="0" distR="0" wp14:anchorId="193144C4" wp14:editId="1227CD5A">
            <wp:extent cx="733481"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440" cy="744444"/>
                    </a:xfrm>
                    <a:prstGeom prst="rect">
                      <a:avLst/>
                    </a:prstGeom>
                  </pic:spPr>
                </pic:pic>
              </a:graphicData>
            </a:graphic>
          </wp:inline>
        </w:drawing>
      </w:r>
      <w:r w:rsidR="00391051">
        <w:rPr>
          <w:color w:val="0F4F75"/>
        </w:rPr>
        <w:t>Pupil</w:t>
      </w:r>
      <w:r w:rsidR="00391051">
        <w:rPr>
          <w:color w:val="0F4F75"/>
          <w:spacing w:val="-2"/>
        </w:rPr>
        <w:t xml:space="preserve"> </w:t>
      </w:r>
      <w:r w:rsidR="00391051">
        <w:rPr>
          <w:color w:val="0F4F75"/>
        </w:rPr>
        <w:t>premium</w:t>
      </w:r>
      <w:r w:rsidR="00391051">
        <w:rPr>
          <w:color w:val="0F4F75"/>
          <w:spacing w:val="-1"/>
        </w:rPr>
        <w:t xml:space="preserve"> </w:t>
      </w:r>
      <w:r w:rsidR="00391051">
        <w:rPr>
          <w:color w:val="0F4F75"/>
        </w:rPr>
        <w:t>strategy</w:t>
      </w:r>
      <w:r w:rsidR="00391051">
        <w:rPr>
          <w:color w:val="0F4F75"/>
          <w:spacing w:val="-5"/>
        </w:rPr>
        <w:t xml:space="preserve"> </w:t>
      </w:r>
      <w:r w:rsidR="00391051">
        <w:rPr>
          <w:color w:val="0F4F75"/>
          <w:spacing w:val="-2"/>
        </w:rPr>
        <w:t>statement</w:t>
      </w:r>
    </w:p>
    <w:p w:rsidR="00391051" w:rsidRDefault="00391051" w:rsidP="00391051">
      <w:pPr>
        <w:pStyle w:val="BodyText"/>
        <w:rPr>
          <w:sz w:val="26"/>
        </w:rPr>
      </w:pPr>
    </w:p>
    <w:p w:rsidR="00391051" w:rsidRPr="00691C60" w:rsidRDefault="00391051" w:rsidP="00391051">
      <w:pPr>
        <w:spacing w:before="181"/>
        <w:ind w:left="112"/>
        <w:rPr>
          <w:b/>
          <w:sz w:val="28"/>
          <w:szCs w:val="28"/>
        </w:rPr>
      </w:pPr>
      <w:r w:rsidRPr="00691C60">
        <w:rPr>
          <w:b/>
          <w:sz w:val="28"/>
          <w:szCs w:val="28"/>
        </w:rPr>
        <w:t>School</w:t>
      </w:r>
      <w:r w:rsidRPr="00691C60">
        <w:rPr>
          <w:b/>
          <w:spacing w:val="-12"/>
          <w:sz w:val="28"/>
          <w:szCs w:val="28"/>
        </w:rPr>
        <w:t xml:space="preserve"> </w:t>
      </w:r>
      <w:r w:rsidRPr="00691C60">
        <w:rPr>
          <w:b/>
          <w:spacing w:val="-2"/>
          <w:sz w:val="28"/>
          <w:szCs w:val="28"/>
        </w:rPr>
        <w:t>overview</w:t>
      </w:r>
    </w:p>
    <w:p w:rsidR="00391051" w:rsidRDefault="00391051" w:rsidP="00391051">
      <w:pPr>
        <w:pStyle w:val="BodyText"/>
        <w:spacing w:before="2"/>
        <w:rPr>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0"/>
        <w:gridCol w:w="2970"/>
      </w:tblGrid>
      <w:tr w:rsidR="00391051" w:rsidTr="00D17F20">
        <w:trPr>
          <w:trHeight w:val="395"/>
        </w:trPr>
        <w:tc>
          <w:tcPr>
            <w:tcW w:w="6520" w:type="dxa"/>
            <w:shd w:val="clear" w:color="auto" w:fill="D7E1E9"/>
          </w:tcPr>
          <w:p w:rsidR="00391051" w:rsidRDefault="00391051" w:rsidP="00D17F20">
            <w:pPr>
              <w:pStyle w:val="TableParagraph"/>
              <w:rPr>
                <w:b/>
                <w:sz w:val="24"/>
              </w:rPr>
            </w:pPr>
            <w:r>
              <w:rPr>
                <w:b/>
                <w:color w:val="0D0D0D"/>
                <w:spacing w:val="-2"/>
                <w:sz w:val="24"/>
              </w:rPr>
              <w:t>Detail</w:t>
            </w:r>
          </w:p>
        </w:tc>
        <w:tc>
          <w:tcPr>
            <w:tcW w:w="2970" w:type="dxa"/>
            <w:shd w:val="clear" w:color="auto" w:fill="D7E1E9"/>
          </w:tcPr>
          <w:p w:rsidR="00391051" w:rsidRDefault="00391051" w:rsidP="00D17F20">
            <w:pPr>
              <w:pStyle w:val="TableParagraph"/>
              <w:ind w:left="165"/>
              <w:rPr>
                <w:b/>
                <w:sz w:val="24"/>
              </w:rPr>
            </w:pPr>
            <w:r>
              <w:rPr>
                <w:b/>
                <w:color w:val="0D0D0D"/>
                <w:spacing w:val="-4"/>
                <w:sz w:val="24"/>
              </w:rPr>
              <w:t>Data</w:t>
            </w:r>
          </w:p>
        </w:tc>
      </w:tr>
      <w:tr w:rsidR="00391051" w:rsidTr="00D17F20">
        <w:trPr>
          <w:trHeight w:val="671"/>
        </w:trPr>
        <w:tc>
          <w:tcPr>
            <w:tcW w:w="6520" w:type="dxa"/>
          </w:tcPr>
          <w:p w:rsidR="00391051" w:rsidRDefault="00391051" w:rsidP="00D17F20">
            <w:pPr>
              <w:pStyle w:val="TableParagraph"/>
              <w:spacing w:before="58"/>
              <w:rPr>
                <w:sz w:val="24"/>
              </w:rPr>
            </w:pPr>
            <w:r>
              <w:rPr>
                <w:color w:val="0D0D0D"/>
                <w:sz w:val="24"/>
              </w:rPr>
              <w:t>School</w:t>
            </w:r>
            <w:r>
              <w:rPr>
                <w:color w:val="0D0D0D"/>
                <w:spacing w:val="-4"/>
                <w:sz w:val="24"/>
              </w:rPr>
              <w:t xml:space="preserve"> name</w:t>
            </w:r>
          </w:p>
        </w:tc>
        <w:tc>
          <w:tcPr>
            <w:tcW w:w="2970" w:type="dxa"/>
          </w:tcPr>
          <w:p w:rsidR="00391051" w:rsidRDefault="00391051" w:rsidP="00D17F20">
            <w:pPr>
              <w:pStyle w:val="TableParagraph"/>
              <w:spacing w:before="60" w:line="237" w:lineRule="auto"/>
              <w:ind w:left="165" w:right="910"/>
              <w:rPr>
                <w:sz w:val="24"/>
              </w:rPr>
            </w:pPr>
            <w:r>
              <w:rPr>
                <w:color w:val="0D0D0D"/>
                <w:sz w:val="24"/>
              </w:rPr>
              <w:t>Shenstone</w:t>
            </w:r>
            <w:r>
              <w:rPr>
                <w:color w:val="0D0D0D"/>
                <w:spacing w:val="-17"/>
                <w:sz w:val="24"/>
              </w:rPr>
              <w:t xml:space="preserve"> </w:t>
            </w:r>
            <w:r>
              <w:rPr>
                <w:color w:val="0D0D0D"/>
                <w:sz w:val="24"/>
              </w:rPr>
              <w:t xml:space="preserve">Lodge </w:t>
            </w:r>
            <w:r>
              <w:rPr>
                <w:color w:val="0D0D0D"/>
                <w:spacing w:val="-2"/>
                <w:sz w:val="24"/>
              </w:rPr>
              <w:t>School</w:t>
            </w:r>
          </w:p>
        </w:tc>
      </w:tr>
      <w:tr w:rsidR="00391051" w:rsidTr="00D17F20">
        <w:trPr>
          <w:trHeight w:val="398"/>
        </w:trPr>
        <w:tc>
          <w:tcPr>
            <w:tcW w:w="6520" w:type="dxa"/>
          </w:tcPr>
          <w:p w:rsidR="00391051" w:rsidRDefault="00391051" w:rsidP="00D17F20">
            <w:pPr>
              <w:pStyle w:val="TableParagraph"/>
              <w:spacing w:before="58"/>
              <w:rPr>
                <w:sz w:val="24"/>
              </w:rPr>
            </w:pPr>
            <w:r>
              <w:rPr>
                <w:color w:val="0D0D0D"/>
                <w:sz w:val="24"/>
              </w:rPr>
              <w:t>Number</w:t>
            </w:r>
            <w:r>
              <w:rPr>
                <w:color w:val="0D0D0D"/>
                <w:spacing w:val="-7"/>
                <w:sz w:val="24"/>
              </w:rPr>
              <w:t xml:space="preserve"> </w:t>
            </w:r>
            <w:r>
              <w:rPr>
                <w:color w:val="0D0D0D"/>
                <w:sz w:val="24"/>
              </w:rPr>
              <w:t>of</w:t>
            </w:r>
            <w:r>
              <w:rPr>
                <w:color w:val="0D0D0D"/>
                <w:spacing w:val="-7"/>
                <w:sz w:val="24"/>
              </w:rPr>
              <w:t xml:space="preserve"> </w:t>
            </w:r>
            <w:r>
              <w:rPr>
                <w:color w:val="0D0D0D"/>
                <w:sz w:val="24"/>
              </w:rPr>
              <w:t>pupils</w:t>
            </w:r>
            <w:r>
              <w:rPr>
                <w:color w:val="0D0D0D"/>
                <w:spacing w:val="-7"/>
                <w:sz w:val="24"/>
              </w:rPr>
              <w:t xml:space="preserve"> </w:t>
            </w:r>
            <w:r>
              <w:rPr>
                <w:color w:val="0D0D0D"/>
                <w:sz w:val="24"/>
              </w:rPr>
              <w:t>in</w:t>
            </w:r>
            <w:r>
              <w:rPr>
                <w:color w:val="0D0D0D"/>
                <w:spacing w:val="-9"/>
                <w:sz w:val="24"/>
              </w:rPr>
              <w:t xml:space="preserve"> </w:t>
            </w:r>
            <w:r>
              <w:rPr>
                <w:color w:val="0D0D0D"/>
                <w:spacing w:val="-2"/>
                <w:sz w:val="24"/>
              </w:rPr>
              <w:t>school</w:t>
            </w:r>
          </w:p>
        </w:tc>
        <w:tc>
          <w:tcPr>
            <w:tcW w:w="2970" w:type="dxa"/>
          </w:tcPr>
          <w:p w:rsidR="00391051" w:rsidRDefault="00391051" w:rsidP="00D17F20">
            <w:pPr>
              <w:pStyle w:val="TableParagraph"/>
              <w:spacing w:before="58"/>
              <w:ind w:left="165"/>
              <w:rPr>
                <w:sz w:val="24"/>
              </w:rPr>
            </w:pPr>
            <w:r>
              <w:rPr>
                <w:color w:val="0D0D0D"/>
                <w:spacing w:val="-5"/>
                <w:sz w:val="24"/>
              </w:rPr>
              <w:t>120</w:t>
            </w:r>
          </w:p>
        </w:tc>
      </w:tr>
      <w:tr w:rsidR="00391051" w:rsidTr="00D17F20">
        <w:trPr>
          <w:trHeight w:val="395"/>
        </w:trPr>
        <w:tc>
          <w:tcPr>
            <w:tcW w:w="6520" w:type="dxa"/>
          </w:tcPr>
          <w:p w:rsidR="00391051" w:rsidRDefault="00391051" w:rsidP="00D17F20">
            <w:pPr>
              <w:pStyle w:val="TableParagraph"/>
              <w:rPr>
                <w:sz w:val="24"/>
              </w:rPr>
            </w:pPr>
            <w:r>
              <w:rPr>
                <w:color w:val="0D0D0D"/>
                <w:sz w:val="24"/>
              </w:rPr>
              <w:t>Proportion</w:t>
            </w:r>
            <w:r>
              <w:rPr>
                <w:color w:val="0D0D0D"/>
                <w:spacing w:val="-4"/>
                <w:sz w:val="24"/>
              </w:rPr>
              <w:t xml:space="preserve"> </w:t>
            </w:r>
            <w:r>
              <w:rPr>
                <w:color w:val="0D0D0D"/>
                <w:sz w:val="24"/>
              </w:rPr>
              <w:t>(%)</w:t>
            </w:r>
            <w:r>
              <w:rPr>
                <w:color w:val="0D0D0D"/>
                <w:spacing w:val="-4"/>
                <w:sz w:val="24"/>
              </w:rPr>
              <w:t xml:space="preserve"> </w:t>
            </w:r>
            <w:r>
              <w:rPr>
                <w:color w:val="0D0D0D"/>
                <w:sz w:val="24"/>
              </w:rPr>
              <w:t>of</w:t>
            </w:r>
            <w:r>
              <w:rPr>
                <w:color w:val="0D0D0D"/>
                <w:spacing w:val="-4"/>
                <w:sz w:val="24"/>
              </w:rPr>
              <w:t xml:space="preserve"> </w:t>
            </w:r>
            <w:r>
              <w:rPr>
                <w:color w:val="0D0D0D"/>
                <w:sz w:val="24"/>
              </w:rPr>
              <w:t>pupil</w:t>
            </w:r>
            <w:r>
              <w:rPr>
                <w:color w:val="0D0D0D"/>
                <w:spacing w:val="-7"/>
                <w:sz w:val="24"/>
              </w:rPr>
              <w:t xml:space="preserve"> </w:t>
            </w:r>
            <w:r>
              <w:rPr>
                <w:color w:val="0D0D0D"/>
                <w:sz w:val="24"/>
              </w:rPr>
              <w:t>premium</w:t>
            </w:r>
            <w:r>
              <w:rPr>
                <w:color w:val="0D0D0D"/>
                <w:spacing w:val="-4"/>
                <w:sz w:val="24"/>
              </w:rPr>
              <w:t xml:space="preserve"> </w:t>
            </w:r>
            <w:r>
              <w:rPr>
                <w:color w:val="0D0D0D"/>
                <w:sz w:val="24"/>
              </w:rPr>
              <w:t>eligible</w:t>
            </w:r>
            <w:r>
              <w:rPr>
                <w:color w:val="0D0D0D"/>
                <w:spacing w:val="-4"/>
                <w:sz w:val="24"/>
              </w:rPr>
              <w:t xml:space="preserve"> </w:t>
            </w:r>
            <w:r>
              <w:rPr>
                <w:color w:val="0D0D0D"/>
                <w:spacing w:val="-2"/>
                <w:sz w:val="24"/>
              </w:rPr>
              <w:t>pupils</w:t>
            </w:r>
          </w:p>
        </w:tc>
        <w:tc>
          <w:tcPr>
            <w:tcW w:w="2970" w:type="dxa"/>
          </w:tcPr>
          <w:p w:rsidR="00391051" w:rsidRDefault="00391051" w:rsidP="00D17F20">
            <w:pPr>
              <w:pStyle w:val="TableParagraph"/>
              <w:ind w:left="165"/>
              <w:rPr>
                <w:sz w:val="24"/>
              </w:rPr>
            </w:pPr>
            <w:r>
              <w:rPr>
                <w:color w:val="0D0D0D"/>
                <w:spacing w:val="-5"/>
                <w:sz w:val="24"/>
              </w:rPr>
              <w:t>84%</w:t>
            </w:r>
          </w:p>
        </w:tc>
      </w:tr>
      <w:tr w:rsidR="00391051" w:rsidTr="00D17F20">
        <w:trPr>
          <w:trHeight w:val="671"/>
        </w:trPr>
        <w:tc>
          <w:tcPr>
            <w:tcW w:w="6520" w:type="dxa"/>
          </w:tcPr>
          <w:p w:rsidR="00391051" w:rsidRDefault="00391051" w:rsidP="00D17F20">
            <w:pPr>
              <w:pStyle w:val="TableParagraph"/>
              <w:rPr>
                <w:b/>
                <w:sz w:val="24"/>
              </w:rPr>
            </w:pPr>
            <w:r>
              <w:rPr>
                <w:color w:val="0D0D0D"/>
                <w:sz w:val="24"/>
              </w:rPr>
              <w:t>Academic year/years that our current pupil premium strategy</w:t>
            </w:r>
            <w:r>
              <w:rPr>
                <w:color w:val="0D0D0D"/>
                <w:spacing w:val="-9"/>
                <w:sz w:val="24"/>
              </w:rPr>
              <w:t xml:space="preserve"> </w:t>
            </w:r>
            <w:r>
              <w:rPr>
                <w:color w:val="0D0D0D"/>
                <w:sz w:val="24"/>
              </w:rPr>
              <w:t>plan</w:t>
            </w:r>
            <w:r>
              <w:rPr>
                <w:color w:val="0D0D0D"/>
                <w:spacing w:val="-5"/>
                <w:sz w:val="24"/>
              </w:rPr>
              <w:t xml:space="preserve"> </w:t>
            </w:r>
            <w:r>
              <w:rPr>
                <w:color w:val="0D0D0D"/>
                <w:sz w:val="24"/>
              </w:rPr>
              <w:t>covers</w:t>
            </w:r>
            <w:r>
              <w:rPr>
                <w:color w:val="0D0D0D"/>
                <w:spacing w:val="-5"/>
                <w:sz w:val="24"/>
              </w:rPr>
              <w:t xml:space="preserve"> </w:t>
            </w:r>
          </w:p>
        </w:tc>
        <w:tc>
          <w:tcPr>
            <w:tcW w:w="2970" w:type="dxa"/>
          </w:tcPr>
          <w:p w:rsidR="00391051" w:rsidRDefault="00391051" w:rsidP="00D17F20">
            <w:pPr>
              <w:pStyle w:val="TableParagraph"/>
              <w:ind w:left="165"/>
              <w:rPr>
                <w:sz w:val="24"/>
              </w:rPr>
            </w:pPr>
            <w:r>
              <w:rPr>
                <w:color w:val="0D0D0D"/>
                <w:spacing w:val="-2"/>
                <w:sz w:val="24"/>
              </w:rPr>
              <w:t>2023/2024</w:t>
            </w:r>
          </w:p>
        </w:tc>
      </w:tr>
      <w:tr w:rsidR="00391051" w:rsidTr="00D17F20">
        <w:trPr>
          <w:trHeight w:val="395"/>
        </w:trPr>
        <w:tc>
          <w:tcPr>
            <w:tcW w:w="6520" w:type="dxa"/>
          </w:tcPr>
          <w:p w:rsidR="00391051" w:rsidRDefault="00391051" w:rsidP="00D17F20">
            <w:pPr>
              <w:pStyle w:val="TableParagraph"/>
              <w:rPr>
                <w:sz w:val="24"/>
              </w:rPr>
            </w:pPr>
            <w:r>
              <w:rPr>
                <w:color w:val="0D0D0D"/>
                <w:sz w:val="24"/>
              </w:rPr>
              <w:t>Date</w:t>
            </w:r>
            <w:r>
              <w:rPr>
                <w:color w:val="0D0D0D"/>
                <w:spacing w:val="-4"/>
                <w:sz w:val="24"/>
              </w:rPr>
              <w:t xml:space="preserve"> </w:t>
            </w:r>
            <w:r>
              <w:rPr>
                <w:color w:val="0D0D0D"/>
                <w:sz w:val="24"/>
              </w:rPr>
              <w:t>this</w:t>
            </w:r>
            <w:r>
              <w:rPr>
                <w:color w:val="0D0D0D"/>
                <w:spacing w:val="-3"/>
                <w:sz w:val="24"/>
              </w:rPr>
              <w:t xml:space="preserve"> </w:t>
            </w:r>
            <w:r>
              <w:rPr>
                <w:color w:val="0D0D0D"/>
                <w:sz w:val="24"/>
              </w:rPr>
              <w:t>statement</w:t>
            </w:r>
            <w:r>
              <w:rPr>
                <w:color w:val="0D0D0D"/>
                <w:spacing w:val="-5"/>
                <w:sz w:val="24"/>
              </w:rPr>
              <w:t xml:space="preserve"> </w:t>
            </w:r>
            <w:r>
              <w:rPr>
                <w:color w:val="0D0D0D"/>
                <w:sz w:val="24"/>
              </w:rPr>
              <w:t>was</w:t>
            </w:r>
            <w:r>
              <w:rPr>
                <w:color w:val="0D0D0D"/>
                <w:spacing w:val="-3"/>
                <w:sz w:val="24"/>
              </w:rPr>
              <w:t xml:space="preserve"> </w:t>
            </w:r>
            <w:r>
              <w:rPr>
                <w:color w:val="0D0D0D"/>
                <w:spacing w:val="-2"/>
                <w:sz w:val="24"/>
              </w:rPr>
              <w:t>published</w:t>
            </w:r>
          </w:p>
        </w:tc>
        <w:tc>
          <w:tcPr>
            <w:tcW w:w="2970" w:type="dxa"/>
          </w:tcPr>
          <w:p w:rsidR="00391051" w:rsidRDefault="00391051" w:rsidP="00D17F20">
            <w:pPr>
              <w:pStyle w:val="TableParagraph"/>
              <w:ind w:left="165"/>
              <w:rPr>
                <w:sz w:val="24"/>
              </w:rPr>
            </w:pPr>
            <w:r>
              <w:rPr>
                <w:color w:val="0D0D0D"/>
                <w:spacing w:val="-2"/>
                <w:sz w:val="24"/>
              </w:rPr>
              <w:t>Oct 2023</w:t>
            </w:r>
          </w:p>
        </w:tc>
      </w:tr>
      <w:tr w:rsidR="00391051" w:rsidTr="00D17F20">
        <w:trPr>
          <w:trHeight w:val="395"/>
        </w:trPr>
        <w:tc>
          <w:tcPr>
            <w:tcW w:w="6520" w:type="dxa"/>
          </w:tcPr>
          <w:p w:rsidR="00391051" w:rsidRDefault="00391051" w:rsidP="00D17F20">
            <w:pPr>
              <w:pStyle w:val="TableParagraph"/>
              <w:rPr>
                <w:sz w:val="24"/>
              </w:rPr>
            </w:pPr>
            <w:r>
              <w:rPr>
                <w:color w:val="0D0D0D"/>
                <w:sz w:val="24"/>
              </w:rPr>
              <w:t>Date</w:t>
            </w:r>
            <w:r>
              <w:rPr>
                <w:color w:val="0D0D0D"/>
                <w:spacing w:val="-3"/>
                <w:sz w:val="24"/>
              </w:rPr>
              <w:t xml:space="preserve"> </w:t>
            </w:r>
            <w:r>
              <w:rPr>
                <w:color w:val="0D0D0D"/>
                <w:sz w:val="24"/>
              </w:rPr>
              <w:t>on</w:t>
            </w:r>
            <w:r>
              <w:rPr>
                <w:color w:val="0D0D0D"/>
                <w:spacing w:val="-2"/>
                <w:sz w:val="24"/>
              </w:rPr>
              <w:t xml:space="preserve"> </w:t>
            </w:r>
            <w:r>
              <w:rPr>
                <w:color w:val="0D0D0D"/>
                <w:sz w:val="24"/>
              </w:rPr>
              <w:t>which</w:t>
            </w:r>
            <w:r>
              <w:rPr>
                <w:color w:val="0D0D0D"/>
                <w:spacing w:val="-3"/>
                <w:sz w:val="24"/>
              </w:rPr>
              <w:t xml:space="preserve"> </w:t>
            </w:r>
            <w:r>
              <w:rPr>
                <w:color w:val="0D0D0D"/>
                <w:sz w:val="24"/>
              </w:rPr>
              <w:t>it</w:t>
            </w:r>
            <w:r>
              <w:rPr>
                <w:color w:val="0D0D0D"/>
                <w:spacing w:val="-2"/>
                <w:sz w:val="24"/>
              </w:rPr>
              <w:t xml:space="preserve"> </w:t>
            </w:r>
            <w:r>
              <w:rPr>
                <w:color w:val="0D0D0D"/>
                <w:sz w:val="24"/>
              </w:rPr>
              <w:t>will</w:t>
            </w:r>
            <w:r>
              <w:rPr>
                <w:color w:val="0D0D0D"/>
                <w:spacing w:val="-3"/>
                <w:sz w:val="24"/>
              </w:rPr>
              <w:t xml:space="preserve"> </w:t>
            </w:r>
            <w:r>
              <w:rPr>
                <w:color w:val="0D0D0D"/>
                <w:sz w:val="24"/>
              </w:rPr>
              <w:t>be</w:t>
            </w:r>
            <w:r>
              <w:rPr>
                <w:color w:val="0D0D0D"/>
                <w:spacing w:val="-2"/>
                <w:sz w:val="24"/>
              </w:rPr>
              <w:t xml:space="preserve"> reviewed</w:t>
            </w:r>
          </w:p>
        </w:tc>
        <w:tc>
          <w:tcPr>
            <w:tcW w:w="2970" w:type="dxa"/>
          </w:tcPr>
          <w:p w:rsidR="00391051" w:rsidRDefault="00391051" w:rsidP="00D17F20">
            <w:pPr>
              <w:pStyle w:val="TableParagraph"/>
              <w:ind w:left="165"/>
              <w:rPr>
                <w:sz w:val="24"/>
              </w:rPr>
            </w:pPr>
            <w:r>
              <w:rPr>
                <w:color w:val="0D0D0D"/>
                <w:sz w:val="24"/>
              </w:rPr>
              <w:t>Oct 2024</w:t>
            </w:r>
          </w:p>
        </w:tc>
      </w:tr>
      <w:tr w:rsidR="00391051" w:rsidTr="00D17F20">
        <w:trPr>
          <w:trHeight w:val="395"/>
        </w:trPr>
        <w:tc>
          <w:tcPr>
            <w:tcW w:w="6520" w:type="dxa"/>
          </w:tcPr>
          <w:p w:rsidR="00391051" w:rsidRDefault="00391051" w:rsidP="00D17F20">
            <w:pPr>
              <w:pStyle w:val="TableParagraph"/>
              <w:rPr>
                <w:sz w:val="24"/>
              </w:rPr>
            </w:pPr>
            <w:r>
              <w:rPr>
                <w:color w:val="0D0D0D"/>
                <w:sz w:val="24"/>
              </w:rPr>
              <w:t>Statement</w:t>
            </w:r>
            <w:r>
              <w:rPr>
                <w:color w:val="0D0D0D"/>
                <w:spacing w:val="-7"/>
                <w:sz w:val="24"/>
              </w:rPr>
              <w:t xml:space="preserve"> </w:t>
            </w:r>
            <w:r>
              <w:rPr>
                <w:color w:val="0D0D0D"/>
                <w:sz w:val="24"/>
              </w:rPr>
              <w:t>authorised</w:t>
            </w:r>
            <w:r>
              <w:rPr>
                <w:color w:val="0D0D0D"/>
                <w:spacing w:val="-8"/>
                <w:sz w:val="24"/>
              </w:rPr>
              <w:t xml:space="preserve"> </w:t>
            </w:r>
            <w:r>
              <w:rPr>
                <w:color w:val="0D0D0D"/>
                <w:spacing w:val="-5"/>
                <w:sz w:val="24"/>
              </w:rPr>
              <w:t>by</w:t>
            </w:r>
          </w:p>
        </w:tc>
        <w:tc>
          <w:tcPr>
            <w:tcW w:w="2970" w:type="dxa"/>
          </w:tcPr>
          <w:p w:rsidR="00391051" w:rsidRDefault="00391051" w:rsidP="00D17F20">
            <w:pPr>
              <w:pStyle w:val="TableParagraph"/>
              <w:ind w:left="165"/>
              <w:rPr>
                <w:sz w:val="24"/>
              </w:rPr>
            </w:pPr>
            <w:r>
              <w:rPr>
                <w:color w:val="0D0D0D"/>
                <w:sz w:val="24"/>
              </w:rPr>
              <w:t>Neil</w:t>
            </w:r>
            <w:r>
              <w:rPr>
                <w:color w:val="0D0D0D"/>
                <w:spacing w:val="-8"/>
                <w:sz w:val="24"/>
              </w:rPr>
              <w:t xml:space="preserve"> </w:t>
            </w:r>
            <w:r>
              <w:rPr>
                <w:color w:val="0D0D0D"/>
                <w:spacing w:val="-2"/>
                <w:sz w:val="24"/>
              </w:rPr>
              <w:t>Toplass</w:t>
            </w:r>
          </w:p>
        </w:tc>
      </w:tr>
      <w:tr w:rsidR="00391051" w:rsidTr="00D17F20">
        <w:trPr>
          <w:trHeight w:val="674"/>
        </w:trPr>
        <w:tc>
          <w:tcPr>
            <w:tcW w:w="6520" w:type="dxa"/>
          </w:tcPr>
          <w:p w:rsidR="00391051" w:rsidRDefault="00391051" w:rsidP="00D17F20">
            <w:pPr>
              <w:pStyle w:val="TableParagraph"/>
              <w:spacing w:before="58"/>
              <w:rPr>
                <w:sz w:val="24"/>
              </w:rPr>
            </w:pPr>
            <w:r>
              <w:rPr>
                <w:color w:val="0D0D0D"/>
                <w:sz w:val="24"/>
              </w:rPr>
              <w:t>Pupil</w:t>
            </w:r>
            <w:r>
              <w:rPr>
                <w:color w:val="0D0D0D"/>
                <w:spacing w:val="-6"/>
                <w:sz w:val="24"/>
              </w:rPr>
              <w:t xml:space="preserve"> </w:t>
            </w:r>
            <w:r>
              <w:rPr>
                <w:color w:val="0D0D0D"/>
                <w:sz w:val="24"/>
              </w:rPr>
              <w:t>premium</w:t>
            </w:r>
            <w:r>
              <w:rPr>
                <w:color w:val="0D0D0D"/>
                <w:spacing w:val="-2"/>
                <w:sz w:val="24"/>
              </w:rPr>
              <w:t xml:space="preserve"> </w:t>
            </w:r>
            <w:r>
              <w:rPr>
                <w:color w:val="0D0D0D"/>
                <w:spacing w:val="-4"/>
                <w:sz w:val="24"/>
              </w:rPr>
              <w:t>lead</w:t>
            </w:r>
          </w:p>
        </w:tc>
        <w:tc>
          <w:tcPr>
            <w:tcW w:w="2970" w:type="dxa"/>
          </w:tcPr>
          <w:p w:rsidR="00391051" w:rsidRDefault="00391051" w:rsidP="00D17F20">
            <w:pPr>
              <w:pStyle w:val="TableParagraph"/>
              <w:spacing w:before="58"/>
              <w:ind w:left="165" w:right="26"/>
              <w:rPr>
                <w:sz w:val="24"/>
              </w:rPr>
            </w:pPr>
            <w:r>
              <w:rPr>
                <w:color w:val="0D0D0D"/>
                <w:sz w:val="24"/>
              </w:rPr>
              <w:t>Chris</w:t>
            </w:r>
            <w:r>
              <w:rPr>
                <w:color w:val="0D0D0D"/>
                <w:spacing w:val="-14"/>
                <w:sz w:val="24"/>
              </w:rPr>
              <w:t xml:space="preserve"> </w:t>
            </w:r>
            <w:r>
              <w:rPr>
                <w:color w:val="0D0D0D"/>
                <w:sz w:val="24"/>
              </w:rPr>
              <w:t>Husband</w:t>
            </w:r>
            <w:r>
              <w:rPr>
                <w:color w:val="0D0D0D"/>
                <w:spacing w:val="-12"/>
                <w:sz w:val="24"/>
              </w:rPr>
              <w:t xml:space="preserve"> </w:t>
            </w:r>
            <w:r>
              <w:rPr>
                <w:color w:val="0D0D0D"/>
                <w:sz w:val="24"/>
              </w:rPr>
              <w:t>/</w:t>
            </w:r>
            <w:r>
              <w:rPr>
                <w:color w:val="0D0D0D"/>
                <w:spacing w:val="-13"/>
                <w:sz w:val="24"/>
              </w:rPr>
              <w:t xml:space="preserve"> </w:t>
            </w:r>
            <w:r>
              <w:rPr>
                <w:color w:val="0D0D0D"/>
                <w:sz w:val="24"/>
              </w:rPr>
              <w:t>Sam Rock / Ian Mitchell</w:t>
            </w:r>
          </w:p>
        </w:tc>
      </w:tr>
    </w:tbl>
    <w:p w:rsidR="00391051" w:rsidRDefault="00391051" w:rsidP="00391051">
      <w:pPr>
        <w:pStyle w:val="BodyText"/>
        <w:spacing w:before="8"/>
        <w:rPr>
          <w:b/>
          <w:sz w:val="41"/>
        </w:rPr>
      </w:pPr>
    </w:p>
    <w:p w:rsidR="00391051" w:rsidRPr="00691C60" w:rsidRDefault="00391051" w:rsidP="00391051">
      <w:pPr>
        <w:ind w:left="112"/>
        <w:rPr>
          <w:b/>
          <w:sz w:val="28"/>
          <w:szCs w:val="28"/>
        </w:rPr>
      </w:pPr>
      <w:r w:rsidRPr="00691C60">
        <w:rPr>
          <w:b/>
          <w:sz w:val="28"/>
          <w:szCs w:val="28"/>
        </w:rPr>
        <w:t>Funding</w:t>
      </w:r>
      <w:r w:rsidRPr="00691C60">
        <w:rPr>
          <w:b/>
          <w:spacing w:val="-15"/>
          <w:sz w:val="28"/>
          <w:szCs w:val="28"/>
        </w:rPr>
        <w:t xml:space="preserve"> </w:t>
      </w:r>
      <w:r w:rsidRPr="00691C60">
        <w:rPr>
          <w:b/>
          <w:spacing w:val="-2"/>
          <w:sz w:val="28"/>
          <w:szCs w:val="28"/>
        </w:rPr>
        <w:t>overview</w:t>
      </w:r>
    </w:p>
    <w:p w:rsidR="00391051" w:rsidRDefault="00391051" w:rsidP="00391051">
      <w:pPr>
        <w:pStyle w:val="BodyText"/>
        <w:spacing w:before="3"/>
        <w:rPr>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71"/>
      </w:tblGrid>
      <w:tr w:rsidR="00391051" w:rsidTr="00D17F20">
        <w:trPr>
          <w:trHeight w:val="395"/>
        </w:trPr>
        <w:tc>
          <w:tcPr>
            <w:tcW w:w="6517" w:type="dxa"/>
            <w:shd w:val="clear" w:color="auto" w:fill="D7E1E9"/>
          </w:tcPr>
          <w:p w:rsidR="00391051" w:rsidRDefault="00391051" w:rsidP="00D17F20">
            <w:pPr>
              <w:pStyle w:val="TableParagraph"/>
              <w:rPr>
                <w:b/>
                <w:sz w:val="24"/>
              </w:rPr>
            </w:pPr>
            <w:r>
              <w:rPr>
                <w:b/>
                <w:color w:val="0D0D0D"/>
                <w:spacing w:val="-2"/>
                <w:sz w:val="24"/>
              </w:rPr>
              <w:t>Detail</w:t>
            </w:r>
          </w:p>
        </w:tc>
        <w:tc>
          <w:tcPr>
            <w:tcW w:w="2971" w:type="dxa"/>
            <w:shd w:val="clear" w:color="auto" w:fill="D7E1E9"/>
          </w:tcPr>
          <w:p w:rsidR="00391051" w:rsidRDefault="00391051" w:rsidP="00D17F20">
            <w:pPr>
              <w:pStyle w:val="TableParagraph"/>
              <w:rPr>
                <w:b/>
                <w:sz w:val="24"/>
              </w:rPr>
            </w:pPr>
            <w:r>
              <w:rPr>
                <w:b/>
                <w:color w:val="0D0D0D"/>
                <w:spacing w:val="-2"/>
                <w:sz w:val="24"/>
              </w:rPr>
              <w:t>Amount</w:t>
            </w:r>
          </w:p>
        </w:tc>
      </w:tr>
      <w:tr w:rsidR="00391051" w:rsidTr="00D17F20">
        <w:trPr>
          <w:trHeight w:val="731"/>
        </w:trPr>
        <w:tc>
          <w:tcPr>
            <w:tcW w:w="6517" w:type="dxa"/>
          </w:tcPr>
          <w:p w:rsidR="00391051" w:rsidRDefault="00391051" w:rsidP="00D17F20">
            <w:pPr>
              <w:pStyle w:val="TableParagraph"/>
              <w:spacing w:before="11" w:line="336" w:lineRule="exact"/>
              <w:ind w:right="544"/>
              <w:rPr>
                <w:sz w:val="24"/>
              </w:rPr>
            </w:pPr>
            <w:r>
              <w:rPr>
                <w:color w:val="0D0D0D"/>
                <w:sz w:val="24"/>
              </w:rPr>
              <w:t>Pupil</w:t>
            </w:r>
            <w:r>
              <w:rPr>
                <w:color w:val="0D0D0D"/>
                <w:spacing w:val="-7"/>
                <w:sz w:val="24"/>
              </w:rPr>
              <w:t xml:space="preserve"> </w:t>
            </w:r>
            <w:r>
              <w:rPr>
                <w:color w:val="0D0D0D"/>
                <w:sz w:val="24"/>
              </w:rPr>
              <w:t>premium</w:t>
            </w:r>
            <w:r>
              <w:rPr>
                <w:color w:val="0D0D0D"/>
                <w:spacing w:val="-7"/>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8"/>
                <w:sz w:val="24"/>
              </w:rPr>
              <w:t xml:space="preserve"> </w:t>
            </w:r>
            <w:r>
              <w:rPr>
                <w:color w:val="0D0D0D"/>
                <w:sz w:val="24"/>
              </w:rPr>
              <w:t>this</w:t>
            </w:r>
            <w:r>
              <w:rPr>
                <w:color w:val="0D0D0D"/>
                <w:spacing w:val="-9"/>
                <w:sz w:val="24"/>
              </w:rPr>
              <w:t xml:space="preserve"> </w:t>
            </w:r>
            <w:r>
              <w:rPr>
                <w:color w:val="0D0D0D"/>
                <w:sz w:val="24"/>
              </w:rPr>
              <w:t>academic</w:t>
            </w:r>
            <w:r>
              <w:rPr>
                <w:color w:val="0D0D0D"/>
                <w:spacing w:val="-6"/>
                <w:sz w:val="24"/>
              </w:rPr>
              <w:t xml:space="preserve"> </w:t>
            </w:r>
            <w:r>
              <w:rPr>
                <w:color w:val="0D0D0D"/>
                <w:sz w:val="24"/>
              </w:rPr>
              <w:t>year PP Funding £71685, LAC PP Funding £18760</w:t>
            </w:r>
          </w:p>
        </w:tc>
        <w:tc>
          <w:tcPr>
            <w:tcW w:w="2971" w:type="dxa"/>
          </w:tcPr>
          <w:p w:rsidR="00391051" w:rsidRDefault="00391051" w:rsidP="00D17F20">
            <w:pPr>
              <w:pStyle w:val="TableParagraph"/>
              <w:rPr>
                <w:sz w:val="24"/>
              </w:rPr>
            </w:pPr>
            <w:r>
              <w:rPr>
                <w:color w:val="0D0D0D"/>
                <w:sz w:val="24"/>
              </w:rPr>
              <w:t>£</w:t>
            </w:r>
            <w:r>
              <w:rPr>
                <w:color w:val="0D0D0D"/>
                <w:spacing w:val="-2"/>
                <w:sz w:val="24"/>
              </w:rPr>
              <w:t>86115</w:t>
            </w:r>
          </w:p>
        </w:tc>
      </w:tr>
      <w:tr w:rsidR="00391051" w:rsidTr="00D17F20">
        <w:trPr>
          <w:trHeight w:val="397"/>
        </w:trPr>
        <w:tc>
          <w:tcPr>
            <w:tcW w:w="6517" w:type="dxa"/>
          </w:tcPr>
          <w:p w:rsidR="00391051" w:rsidRDefault="00391051" w:rsidP="00D17F20">
            <w:pPr>
              <w:pStyle w:val="TableParagraph"/>
              <w:spacing w:before="58"/>
              <w:rPr>
                <w:sz w:val="24"/>
              </w:rPr>
            </w:pPr>
            <w:r>
              <w:rPr>
                <w:color w:val="0D0D0D"/>
                <w:sz w:val="24"/>
              </w:rPr>
              <w:t>Recovery</w:t>
            </w:r>
            <w:r>
              <w:rPr>
                <w:color w:val="0D0D0D"/>
                <w:spacing w:val="-16"/>
                <w:sz w:val="24"/>
              </w:rPr>
              <w:t xml:space="preserve"> </w:t>
            </w:r>
            <w:r>
              <w:rPr>
                <w:color w:val="0D0D0D"/>
                <w:sz w:val="24"/>
              </w:rPr>
              <w:t>premium</w:t>
            </w:r>
            <w:r>
              <w:rPr>
                <w:color w:val="0D0D0D"/>
                <w:spacing w:val="-12"/>
                <w:sz w:val="24"/>
              </w:rPr>
              <w:t xml:space="preserve"> </w:t>
            </w:r>
            <w:r>
              <w:rPr>
                <w:color w:val="0D0D0D"/>
                <w:sz w:val="24"/>
              </w:rPr>
              <w:t>funding</w:t>
            </w:r>
            <w:r>
              <w:rPr>
                <w:color w:val="0D0D0D"/>
                <w:spacing w:val="-13"/>
                <w:sz w:val="24"/>
              </w:rPr>
              <w:t xml:space="preserve"> </w:t>
            </w:r>
            <w:r>
              <w:rPr>
                <w:color w:val="0D0D0D"/>
                <w:sz w:val="24"/>
              </w:rPr>
              <w:t>allocation</w:t>
            </w:r>
            <w:r>
              <w:rPr>
                <w:color w:val="0D0D0D"/>
                <w:spacing w:val="-12"/>
                <w:sz w:val="24"/>
              </w:rPr>
              <w:t xml:space="preserve"> </w:t>
            </w:r>
            <w:r>
              <w:rPr>
                <w:color w:val="0D0D0D"/>
                <w:sz w:val="24"/>
              </w:rPr>
              <w:t>this</w:t>
            </w:r>
            <w:r>
              <w:rPr>
                <w:color w:val="0D0D0D"/>
                <w:spacing w:val="-14"/>
                <w:sz w:val="24"/>
              </w:rPr>
              <w:t xml:space="preserve"> </w:t>
            </w:r>
            <w:r>
              <w:rPr>
                <w:color w:val="0D0D0D"/>
                <w:sz w:val="24"/>
              </w:rPr>
              <w:t>academic</w:t>
            </w:r>
            <w:r>
              <w:rPr>
                <w:color w:val="0D0D0D"/>
                <w:spacing w:val="-12"/>
                <w:sz w:val="24"/>
              </w:rPr>
              <w:t xml:space="preserve"> </w:t>
            </w:r>
            <w:r>
              <w:rPr>
                <w:color w:val="0D0D0D"/>
                <w:spacing w:val="-4"/>
                <w:sz w:val="24"/>
              </w:rPr>
              <w:t>year</w:t>
            </w:r>
          </w:p>
        </w:tc>
        <w:tc>
          <w:tcPr>
            <w:tcW w:w="2971" w:type="dxa"/>
          </w:tcPr>
          <w:p w:rsidR="00391051" w:rsidRDefault="00391051" w:rsidP="00D17F20">
            <w:pPr>
              <w:pStyle w:val="TableParagraph"/>
              <w:spacing w:before="58"/>
              <w:rPr>
                <w:sz w:val="24"/>
              </w:rPr>
            </w:pPr>
            <w:r>
              <w:rPr>
                <w:color w:val="0D0D0D"/>
                <w:spacing w:val="-2"/>
                <w:sz w:val="24"/>
              </w:rPr>
              <w:t>£39864</w:t>
            </w:r>
          </w:p>
        </w:tc>
      </w:tr>
      <w:tr w:rsidR="00391051" w:rsidTr="00D17F20">
        <w:trPr>
          <w:trHeight w:val="672"/>
        </w:trPr>
        <w:tc>
          <w:tcPr>
            <w:tcW w:w="6517" w:type="dxa"/>
          </w:tcPr>
          <w:p w:rsidR="00391051" w:rsidRDefault="00391051" w:rsidP="00D17F20">
            <w:pPr>
              <w:pStyle w:val="TableParagraph"/>
              <w:ind w:right="544"/>
              <w:rPr>
                <w:sz w:val="24"/>
              </w:rPr>
            </w:pPr>
            <w:r>
              <w:rPr>
                <w:color w:val="0D0D0D"/>
                <w:sz w:val="24"/>
              </w:rPr>
              <w:t>Pupil</w:t>
            </w:r>
            <w:r>
              <w:rPr>
                <w:color w:val="0D0D0D"/>
                <w:spacing w:val="-8"/>
                <w:sz w:val="24"/>
              </w:rPr>
              <w:t xml:space="preserve"> </w:t>
            </w:r>
            <w:r>
              <w:rPr>
                <w:color w:val="0D0D0D"/>
                <w:sz w:val="24"/>
              </w:rPr>
              <w:t>premium</w:t>
            </w:r>
            <w:r>
              <w:rPr>
                <w:color w:val="0D0D0D"/>
                <w:spacing w:val="-8"/>
                <w:sz w:val="24"/>
              </w:rPr>
              <w:t xml:space="preserve"> </w:t>
            </w:r>
            <w:r>
              <w:rPr>
                <w:color w:val="0D0D0D"/>
                <w:sz w:val="24"/>
              </w:rPr>
              <w:t>funding</w:t>
            </w:r>
            <w:r>
              <w:rPr>
                <w:color w:val="0D0D0D"/>
                <w:spacing w:val="-9"/>
                <w:sz w:val="24"/>
              </w:rPr>
              <w:t xml:space="preserve"> </w:t>
            </w:r>
            <w:r>
              <w:rPr>
                <w:color w:val="0D0D0D"/>
                <w:sz w:val="24"/>
              </w:rPr>
              <w:t>carried</w:t>
            </w:r>
            <w:r>
              <w:rPr>
                <w:color w:val="0D0D0D"/>
                <w:spacing w:val="-8"/>
                <w:sz w:val="24"/>
              </w:rPr>
              <w:t xml:space="preserve"> </w:t>
            </w:r>
            <w:r>
              <w:rPr>
                <w:color w:val="0D0D0D"/>
                <w:sz w:val="24"/>
              </w:rPr>
              <w:t>forward</w:t>
            </w:r>
            <w:r>
              <w:rPr>
                <w:color w:val="0D0D0D"/>
                <w:spacing w:val="-7"/>
                <w:sz w:val="24"/>
              </w:rPr>
              <w:t xml:space="preserve"> </w:t>
            </w:r>
            <w:r>
              <w:rPr>
                <w:color w:val="0D0D0D"/>
                <w:sz w:val="24"/>
              </w:rPr>
              <w:t>from</w:t>
            </w:r>
            <w:r>
              <w:rPr>
                <w:color w:val="0D0D0D"/>
                <w:spacing w:val="-8"/>
                <w:sz w:val="24"/>
              </w:rPr>
              <w:t xml:space="preserve"> </w:t>
            </w:r>
            <w:r>
              <w:rPr>
                <w:color w:val="0D0D0D"/>
                <w:sz w:val="24"/>
              </w:rPr>
              <w:t>previous years (enter £0 if not applicable)</w:t>
            </w:r>
          </w:p>
        </w:tc>
        <w:tc>
          <w:tcPr>
            <w:tcW w:w="2971" w:type="dxa"/>
          </w:tcPr>
          <w:p w:rsidR="00391051" w:rsidRDefault="00391051" w:rsidP="00D17F20">
            <w:pPr>
              <w:pStyle w:val="TableParagraph"/>
              <w:rPr>
                <w:sz w:val="24"/>
              </w:rPr>
            </w:pPr>
            <w:r>
              <w:rPr>
                <w:color w:val="0D0D0D"/>
                <w:sz w:val="24"/>
              </w:rPr>
              <w:t>£</w:t>
            </w:r>
            <w:r>
              <w:rPr>
                <w:color w:val="0D0D0D"/>
                <w:spacing w:val="-1"/>
                <w:sz w:val="24"/>
              </w:rPr>
              <w:t xml:space="preserve"> </w:t>
            </w:r>
            <w:r>
              <w:rPr>
                <w:color w:val="0D0D0D"/>
                <w:spacing w:val="-10"/>
                <w:sz w:val="24"/>
              </w:rPr>
              <w:t>0</w:t>
            </w:r>
          </w:p>
        </w:tc>
      </w:tr>
      <w:tr w:rsidR="00391051" w:rsidTr="00D17F20">
        <w:trPr>
          <w:trHeight w:val="395"/>
        </w:trPr>
        <w:tc>
          <w:tcPr>
            <w:tcW w:w="6517" w:type="dxa"/>
          </w:tcPr>
          <w:p w:rsidR="00391051" w:rsidRDefault="00391051" w:rsidP="00D17F20">
            <w:pPr>
              <w:pStyle w:val="TableParagraph"/>
              <w:rPr>
                <w:b/>
                <w:sz w:val="24"/>
              </w:rPr>
            </w:pPr>
            <w:r>
              <w:rPr>
                <w:b/>
                <w:color w:val="0D0D0D"/>
                <w:sz w:val="24"/>
              </w:rPr>
              <w:t>Total</w:t>
            </w:r>
            <w:r>
              <w:rPr>
                <w:b/>
                <w:color w:val="0D0D0D"/>
                <w:spacing w:val="-2"/>
                <w:sz w:val="24"/>
              </w:rPr>
              <w:t xml:space="preserve"> </w:t>
            </w:r>
            <w:r>
              <w:rPr>
                <w:b/>
                <w:color w:val="0D0D0D"/>
                <w:sz w:val="24"/>
              </w:rPr>
              <w:t>budget</w:t>
            </w:r>
            <w:r>
              <w:rPr>
                <w:b/>
                <w:color w:val="0D0D0D"/>
                <w:spacing w:val="-1"/>
                <w:sz w:val="24"/>
              </w:rPr>
              <w:t xml:space="preserve"> </w:t>
            </w:r>
            <w:r>
              <w:rPr>
                <w:b/>
                <w:color w:val="0D0D0D"/>
                <w:sz w:val="24"/>
              </w:rPr>
              <w:t>for</w:t>
            </w:r>
            <w:r>
              <w:rPr>
                <w:b/>
                <w:color w:val="0D0D0D"/>
                <w:spacing w:val="-1"/>
                <w:sz w:val="24"/>
              </w:rPr>
              <w:t xml:space="preserve"> </w:t>
            </w:r>
            <w:r>
              <w:rPr>
                <w:b/>
                <w:color w:val="0D0D0D"/>
                <w:sz w:val="24"/>
              </w:rPr>
              <w:t>this</w:t>
            </w:r>
            <w:r>
              <w:rPr>
                <w:b/>
                <w:color w:val="0D0D0D"/>
                <w:spacing w:val="-2"/>
                <w:sz w:val="24"/>
              </w:rPr>
              <w:t xml:space="preserve"> </w:t>
            </w:r>
            <w:r>
              <w:rPr>
                <w:b/>
                <w:color w:val="0D0D0D"/>
                <w:sz w:val="24"/>
              </w:rPr>
              <w:t xml:space="preserve">academic </w:t>
            </w:r>
            <w:r>
              <w:rPr>
                <w:b/>
                <w:color w:val="0D0D0D"/>
                <w:spacing w:val="-4"/>
                <w:sz w:val="24"/>
              </w:rPr>
              <w:t>year</w:t>
            </w:r>
          </w:p>
        </w:tc>
        <w:tc>
          <w:tcPr>
            <w:tcW w:w="2971" w:type="dxa"/>
          </w:tcPr>
          <w:p w:rsidR="00391051" w:rsidRDefault="00391051" w:rsidP="00D17F20">
            <w:pPr>
              <w:pStyle w:val="TableParagraph"/>
              <w:rPr>
                <w:sz w:val="24"/>
              </w:rPr>
            </w:pPr>
            <w:r>
              <w:rPr>
                <w:color w:val="0D0D0D"/>
                <w:spacing w:val="-2"/>
                <w:sz w:val="24"/>
              </w:rPr>
              <w:t>£125979</w:t>
            </w:r>
          </w:p>
        </w:tc>
      </w:tr>
    </w:tbl>
    <w:p w:rsidR="00AA7EFB" w:rsidRDefault="00AA7EFB"/>
    <w:p w:rsidR="006C1A2C" w:rsidRDefault="006C1A2C">
      <w:pPr>
        <w:rPr>
          <w:b/>
          <w:color w:val="2F5496" w:themeColor="accent5" w:themeShade="BF"/>
          <w:sz w:val="32"/>
          <w:szCs w:val="32"/>
        </w:rPr>
      </w:pPr>
    </w:p>
    <w:p w:rsidR="00391051" w:rsidRPr="00691C60" w:rsidRDefault="00391051">
      <w:pPr>
        <w:rPr>
          <w:b/>
          <w:sz w:val="28"/>
          <w:szCs w:val="28"/>
        </w:rPr>
      </w:pPr>
      <w:r w:rsidRPr="00691C60">
        <w:rPr>
          <w:b/>
          <w:sz w:val="28"/>
          <w:szCs w:val="28"/>
        </w:rPr>
        <w:t xml:space="preserve">Statement of Intent </w:t>
      </w:r>
    </w:p>
    <w:p w:rsidR="00391051" w:rsidRDefault="00391051" w:rsidP="00391051">
      <w:pPr>
        <w:pStyle w:val="BodyText"/>
        <w:spacing w:line="288" w:lineRule="auto"/>
        <w:ind w:left="105" w:right="237"/>
      </w:pPr>
      <w:r>
        <w:rPr>
          <w:color w:val="0D0D0D"/>
        </w:rPr>
        <w:t>Our curriculum is ambitious and has been devised to allow students to develop resilience, confidence</w:t>
      </w:r>
      <w:r>
        <w:rPr>
          <w:color w:val="0D0D0D"/>
          <w:spacing w:val="-2"/>
        </w:rPr>
        <w:t xml:space="preserve"> </w:t>
      </w:r>
      <w:r>
        <w:rPr>
          <w:color w:val="0D0D0D"/>
        </w:rPr>
        <w:t>and independence,</w:t>
      </w:r>
      <w:r>
        <w:rPr>
          <w:color w:val="0D0D0D"/>
          <w:spacing w:val="-2"/>
        </w:rPr>
        <w:t xml:space="preserve"> </w:t>
      </w:r>
      <w:r>
        <w:rPr>
          <w:color w:val="0D0D0D"/>
        </w:rPr>
        <w:t>as</w:t>
      </w:r>
      <w:r>
        <w:rPr>
          <w:color w:val="0D0D0D"/>
          <w:spacing w:val="-2"/>
        </w:rPr>
        <w:t xml:space="preserve"> </w:t>
      </w:r>
      <w:r>
        <w:rPr>
          <w:color w:val="0D0D0D"/>
        </w:rPr>
        <w:t>well</w:t>
      </w:r>
      <w:r>
        <w:rPr>
          <w:color w:val="0D0D0D"/>
          <w:spacing w:val="-1"/>
        </w:rPr>
        <w:t xml:space="preserve"> </w:t>
      </w:r>
      <w:r>
        <w:rPr>
          <w:color w:val="0D0D0D"/>
        </w:rPr>
        <w:t>as achieve scholastic and</w:t>
      </w:r>
      <w:r>
        <w:rPr>
          <w:color w:val="0D0D0D"/>
          <w:spacing w:val="-2"/>
        </w:rPr>
        <w:t xml:space="preserve"> </w:t>
      </w:r>
      <w:r>
        <w:rPr>
          <w:color w:val="0D0D0D"/>
        </w:rPr>
        <w:t>personal outcomes,</w:t>
      </w:r>
      <w:r>
        <w:rPr>
          <w:color w:val="0D0D0D"/>
          <w:spacing w:val="-1"/>
        </w:rPr>
        <w:t xml:space="preserve"> </w:t>
      </w:r>
      <w:r>
        <w:rPr>
          <w:color w:val="0D0D0D"/>
        </w:rPr>
        <w:t>that</w:t>
      </w:r>
      <w:r>
        <w:rPr>
          <w:color w:val="0D0D0D"/>
          <w:spacing w:val="-3"/>
        </w:rPr>
        <w:t xml:space="preserve"> </w:t>
      </w:r>
      <w:r>
        <w:rPr>
          <w:color w:val="0D0D0D"/>
        </w:rPr>
        <w:t>will</w:t>
      </w:r>
      <w:r>
        <w:rPr>
          <w:color w:val="0D0D0D"/>
          <w:spacing w:val="-3"/>
        </w:rPr>
        <w:t xml:space="preserve"> </w:t>
      </w:r>
      <w:r>
        <w:rPr>
          <w:color w:val="0D0D0D"/>
        </w:rPr>
        <w:t>enable</w:t>
      </w:r>
      <w:r>
        <w:rPr>
          <w:color w:val="0D0D0D"/>
          <w:spacing w:val="-3"/>
        </w:rPr>
        <w:t xml:space="preserve"> </w:t>
      </w:r>
      <w:r>
        <w:rPr>
          <w:color w:val="0D0D0D"/>
        </w:rPr>
        <w:t>them</w:t>
      </w:r>
      <w:r>
        <w:rPr>
          <w:color w:val="0D0D0D"/>
          <w:spacing w:val="-4"/>
        </w:rPr>
        <w:t xml:space="preserve"> </w:t>
      </w:r>
      <w:r>
        <w:rPr>
          <w:color w:val="0D0D0D"/>
        </w:rPr>
        <w:t>to</w:t>
      </w:r>
      <w:r>
        <w:rPr>
          <w:color w:val="0D0D0D"/>
          <w:spacing w:val="-5"/>
        </w:rPr>
        <w:t xml:space="preserve"> </w:t>
      </w:r>
      <w:r>
        <w:rPr>
          <w:color w:val="0D0D0D"/>
        </w:rPr>
        <w:t>move</w:t>
      </w:r>
      <w:r>
        <w:rPr>
          <w:color w:val="0D0D0D"/>
          <w:spacing w:val="-3"/>
        </w:rPr>
        <w:t xml:space="preserve"> </w:t>
      </w:r>
      <w:r>
        <w:rPr>
          <w:color w:val="0D0D0D"/>
        </w:rPr>
        <w:t>on</w:t>
      </w:r>
      <w:r>
        <w:rPr>
          <w:color w:val="0D0D0D"/>
          <w:spacing w:val="-3"/>
        </w:rPr>
        <w:t xml:space="preserve"> </w:t>
      </w:r>
      <w:r>
        <w:rPr>
          <w:color w:val="0D0D0D"/>
        </w:rPr>
        <w:t>to</w:t>
      </w:r>
      <w:r>
        <w:rPr>
          <w:color w:val="0D0D0D"/>
          <w:spacing w:val="-5"/>
        </w:rPr>
        <w:t xml:space="preserve"> </w:t>
      </w:r>
      <w:r>
        <w:rPr>
          <w:color w:val="0D0D0D"/>
        </w:rPr>
        <w:t>further</w:t>
      </w:r>
      <w:r>
        <w:rPr>
          <w:color w:val="0D0D0D"/>
          <w:spacing w:val="-6"/>
        </w:rPr>
        <w:t xml:space="preserve"> </w:t>
      </w:r>
      <w:r>
        <w:rPr>
          <w:color w:val="0D0D0D"/>
        </w:rPr>
        <w:t>education</w:t>
      </w:r>
      <w:r>
        <w:rPr>
          <w:color w:val="0D0D0D"/>
          <w:spacing w:val="-3"/>
        </w:rPr>
        <w:t xml:space="preserve"> </w:t>
      </w:r>
      <w:r>
        <w:rPr>
          <w:color w:val="0D0D0D"/>
        </w:rPr>
        <w:t>or</w:t>
      </w:r>
      <w:r>
        <w:rPr>
          <w:color w:val="0D0D0D"/>
          <w:spacing w:val="-3"/>
        </w:rPr>
        <w:t xml:space="preserve"> </w:t>
      </w:r>
      <w:r>
        <w:rPr>
          <w:color w:val="0D0D0D"/>
        </w:rPr>
        <w:t>the</w:t>
      </w:r>
      <w:r>
        <w:rPr>
          <w:color w:val="0D0D0D"/>
          <w:spacing w:val="-3"/>
        </w:rPr>
        <w:t xml:space="preserve"> </w:t>
      </w:r>
      <w:r>
        <w:rPr>
          <w:color w:val="0D0D0D"/>
        </w:rPr>
        <w:t>workplace</w:t>
      </w:r>
      <w:r>
        <w:rPr>
          <w:color w:val="0D0D0D"/>
          <w:spacing w:val="-3"/>
        </w:rPr>
        <w:t xml:space="preserve"> </w:t>
      </w:r>
      <w:r>
        <w:rPr>
          <w:color w:val="0D0D0D"/>
        </w:rPr>
        <w:t>and make a positive contribution to society. Students across all key stages are able to access a wide range of academic subjects and pastoral activities that are adapted, where appropriate, to suit their individual SEMH needs.</w:t>
      </w:r>
    </w:p>
    <w:p w:rsidR="00391051" w:rsidRDefault="00391051" w:rsidP="00391051">
      <w:pPr>
        <w:pStyle w:val="BodyText"/>
        <w:spacing w:before="6"/>
        <w:rPr>
          <w:sz w:val="20"/>
        </w:rPr>
      </w:pPr>
    </w:p>
    <w:p w:rsidR="00391051" w:rsidRDefault="00391051" w:rsidP="00391051">
      <w:pPr>
        <w:pStyle w:val="BodyText"/>
        <w:spacing w:line="288" w:lineRule="auto"/>
        <w:ind w:left="105" w:right="237"/>
      </w:pPr>
      <w:r>
        <w:rPr>
          <w:color w:val="0D0D0D"/>
        </w:rPr>
        <w:t>Students benefit from tailored and personalised educational programmes which are underpinned</w:t>
      </w:r>
      <w:r>
        <w:rPr>
          <w:color w:val="0D0D0D"/>
          <w:spacing w:val="-3"/>
        </w:rPr>
        <w:t xml:space="preserve"> </w:t>
      </w:r>
      <w:r>
        <w:rPr>
          <w:color w:val="0D0D0D"/>
        </w:rPr>
        <w:t>by</w:t>
      </w:r>
      <w:r>
        <w:rPr>
          <w:color w:val="0D0D0D"/>
          <w:spacing w:val="-6"/>
        </w:rPr>
        <w:t xml:space="preserve"> </w:t>
      </w:r>
      <w:r>
        <w:rPr>
          <w:color w:val="0D0D0D"/>
        </w:rPr>
        <w:t>the</w:t>
      </w:r>
      <w:r>
        <w:rPr>
          <w:color w:val="0D0D0D"/>
          <w:spacing w:val="-3"/>
        </w:rPr>
        <w:t xml:space="preserve"> </w:t>
      </w:r>
      <w:r>
        <w:rPr>
          <w:color w:val="0D0D0D"/>
        </w:rPr>
        <w:t>National</w:t>
      </w:r>
      <w:r>
        <w:rPr>
          <w:color w:val="0D0D0D"/>
          <w:spacing w:val="-3"/>
        </w:rPr>
        <w:t xml:space="preserve"> </w:t>
      </w:r>
      <w:r>
        <w:rPr>
          <w:color w:val="0D0D0D"/>
        </w:rPr>
        <w:t>Curriculum,</w:t>
      </w:r>
      <w:r>
        <w:rPr>
          <w:color w:val="0D0D0D"/>
          <w:spacing w:val="-3"/>
        </w:rPr>
        <w:t xml:space="preserve"> </w:t>
      </w:r>
      <w:r>
        <w:rPr>
          <w:color w:val="0D0D0D"/>
        </w:rPr>
        <w:t>in</w:t>
      </w:r>
      <w:r>
        <w:rPr>
          <w:color w:val="0D0D0D"/>
          <w:spacing w:val="-5"/>
        </w:rPr>
        <w:t xml:space="preserve"> </w:t>
      </w:r>
      <w:r>
        <w:rPr>
          <w:color w:val="0D0D0D"/>
        </w:rPr>
        <w:t>an</w:t>
      </w:r>
      <w:r>
        <w:rPr>
          <w:color w:val="0D0D0D"/>
          <w:spacing w:val="-5"/>
        </w:rPr>
        <w:t xml:space="preserve"> </w:t>
      </w:r>
      <w:r>
        <w:rPr>
          <w:color w:val="0D0D0D"/>
        </w:rPr>
        <w:t>environment</w:t>
      </w:r>
      <w:r>
        <w:rPr>
          <w:color w:val="0D0D0D"/>
          <w:spacing w:val="-3"/>
        </w:rPr>
        <w:t xml:space="preserve"> </w:t>
      </w:r>
      <w:r>
        <w:rPr>
          <w:color w:val="0D0D0D"/>
        </w:rPr>
        <w:t>where</w:t>
      </w:r>
      <w:r>
        <w:rPr>
          <w:color w:val="0D0D0D"/>
          <w:spacing w:val="-3"/>
        </w:rPr>
        <w:t xml:space="preserve"> </w:t>
      </w:r>
      <w:r>
        <w:rPr>
          <w:color w:val="0D0D0D"/>
        </w:rPr>
        <w:t>they</w:t>
      </w:r>
      <w:r>
        <w:rPr>
          <w:color w:val="0D0D0D"/>
          <w:spacing w:val="-6"/>
        </w:rPr>
        <w:t xml:space="preserve"> </w:t>
      </w:r>
      <w:r>
        <w:rPr>
          <w:color w:val="0D0D0D"/>
        </w:rPr>
        <w:t>know</w:t>
      </w:r>
      <w:r>
        <w:rPr>
          <w:color w:val="0D0D0D"/>
          <w:spacing w:val="-6"/>
        </w:rPr>
        <w:t xml:space="preserve"> </w:t>
      </w:r>
      <w:r>
        <w:rPr>
          <w:color w:val="0D0D0D"/>
        </w:rPr>
        <w:t>they</w:t>
      </w:r>
      <w:r>
        <w:rPr>
          <w:color w:val="0D0D0D"/>
          <w:spacing w:val="-6"/>
        </w:rPr>
        <w:t xml:space="preserve"> </w:t>
      </w:r>
      <w:r>
        <w:rPr>
          <w:color w:val="0D0D0D"/>
        </w:rPr>
        <w:t xml:space="preserve">are </w:t>
      </w:r>
      <w:r>
        <w:rPr>
          <w:color w:val="0D0D0D"/>
        </w:rPr>
        <w:lastRenderedPageBreak/>
        <w:t>valued and safe.</w:t>
      </w:r>
    </w:p>
    <w:p w:rsidR="00391051" w:rsidRDefault="00391051" w:rsidP="00391051">
      <w:pPr>
        <w:pStyle w:val="BodyText"/>
        <w:spacing w:before="10"/>
        <w:rPr>
          <w:sz w:val="20"/>
        </w:rPr>
      </w:pPr>
    </w:p>
    <w:p w:rsidR="00391051" w:rsidRDefault="00391051" w:rsidP="00391051">
      <w:pPr>
        <w:pStyle w:val="BodyText"/>
        <w:spacing w:line="288" w:lineRule="auto"/>
        <w:ind w:left="105" w:right="237"/>
      </w:pPr>
      <w:r>
        <w:rPr>
          <w:color w:val="0D0D0D"/>
        </w:rPr>
        <w:t>It</w:t>
      </w:r>
      <w:r>
        <w:rPr>
          <w:color w:val="0D0D0D"/>
          <w:spacing w:val="-3"/>
        </w:rPr>
        <w:t xml:space="preserve"> </w:t>
      </w:r>
      <w:r>
        <w:rPr>
          <w:color w:val="0D0D0D"/>
        </w:rPr>
        <w:t>is</w:t>
      </w:r>
      <w:r>
        <w:rPr>
          <w:color w:val="0D0D0D"/>
          <w:spacing w:val="-3"/>
        </w:rPr>
        <w:t xml:space="preserve"> </w:t>
      </w:r>
      <w:r>
        <w:rPr>
          <w:color w:val="0D0D0D"/>
        </w:rPr>
        <w:t>our</w:t>
      </w:r>
      <w:r>
        <w:rPr>
          <w:color w:val="0D0D0D"/>
          <w:spacing w:val="-3"/>
        </w:rPr>
        <w:t xml:space="preserve"> </w:t>
      </w:r>
      <w:r>
        <w:rPr>
          <w:color w:val="0D0D0D"/>
        </w:rPr>
        <w:t>intention</w:t>
      </w:r>
      <w:r>
        <w:rPr>
          <w:color w:val="0D0D0D"/>
          <w:spacing w:val="-5"/>
        </w:rPr>
        <w:t xml:space="preserve"> </w:t>
      </w:r>
      <w:r>
        <w:rPr>
          <w:color w:val="0D0D0D"/>
        </w:rPr>
        <w:t>to</w:t>
      </w:r>
      <w:r>
        <w:rPr>
          <w:color w:val="0D0D0D"/>
          <w:spacing w:val="-4"/>
        </w:rPr>
        <w:t xml:space="preserve"> </w:t>
      </w:r>
      <w:r>
        <w:rPr>
          <w:color w:val="0D0D0D"/>
        </w:rPr>
        <w:t>ensure all</w:t>
      </w:r>
      <w:r>
        <w:rPr>
          <w:color w:val="0D0D0D"/>
          <w:spacing w:val="-4"/>
        </w:rPr>
        <w:t xml:space="preserve"> </w:t>
      </w:r>
      <w:r>
        <w:rPr>
          <w:color w:val="0D0D0D"/>
        </w:rPr>
        <w:t>students</w:t>
      </w:r>
      <w:r>
        <w:rPr>
          <w:color w:val="0D0D0D"/>
          <w:spacing w:val="-3"/>
        </w:rPr>
        <w:t xml:space="preserve"> </w:t>
      </w:r>
      <w:r>
        <w:rPr>
          <w:color w:val="0D0D0D"/>
        </w:rPr>
        <w:t>leave</w:t>
      </w:r>
      <w:r>
        <w:rPr>
          <w:color w:val="0D0D0D"/>
          <w:spacing w:val="-3"/>
        </w:rPr>
        <w:t xml:space="preserve"> </w:t>
      </w:r>
      <w:r>
        <w:rPr>
          <w:color w:val="0D0D0D"/>
        </w:rPr>
        <w:t>the</w:t>
      </w:r>
      <w:r>
        <w:rPr>
          <w:color w:val="0D0D0D"/>
          <w:spacing w:val="-3"/>
        </w:rPr>
        <w:t xml:space="preserve"> </w:t>
      </w:r>
      <w:r>
        <w:rPr>
          <w:color w:val="0D0D0D"/>
        </w:rPr>
        <w:t>school</w:t>
      </w:r>
      <w:r>
        <w:rPr>
          <w:color w:val="0D0D0D"/>
          <w:spacing w:val="-3"/>
        </w:rPr>
        <w:t xml:space="preserve"> </w:t>
      </w:r>
      <w:r>
        <w:rPr>
          <w:color w:val="0D0D0D"/>
        </w:rPr>
        <w:t>with</w:t>
      </w:r>
      <w:r>
        <w:rPr>
          <w:color w:val="0D0D0D"/>
          <w:spacing w:val="-3"/>
        </w:rPr>
        <w:t xml:space="preserve"> </w:t>
      </w:r>
      <w:r>
        <w:rPr>
          <w:color w:val="0D0D0D"/>
        </w:rPr>
        <w:t>the</w:t>
      </w:r>
      <w:r>
        <w:rPr>
          <w:color w:val="0D0D0D"/>
          <w:spacing w:val="-3"/>
        </w:rPr>
        <w:t xml:space="preserve"> </w:t>
      </w:r>
      <w:r>
        <w:rPr>
          <w:color w:val="0D0D0D"/>
        </w:rPr>
        <w:t>emotional</w:t>
      </w:r>
      <w:r>
        <w:rPr>
          <w:color w:val="0D0D0D"/>
          <w:spacing w:val="-3"/>
        </w:rPr>
        <w:t xml:space="preserve"> </w:t>
      </w:r>
      <w:r>
        <w:rPr>
          <w:color w:val="0D0D0D"/>
        </w:rPr>
        <w:t xml:space="preserve">resilience and academic skills that will support them to achieve their career and educational </w:t>
      </w:r>
      <w:r>
        <w:rPr>
          <w:color w:val="0D0D0D"/>
          <w:spacing w:val="-2"/>
        </w:rPr>
        <w:t>aspirations.</w:t>
      </w:r>
    </w:p>
    <w:p w:rsidR="00391051" w:rsidRDefault="00391051" w:rsidP="00391051">
      <w:pPr>
        <w:pStyle w:val="BodyText"/>
        <w:spacing w:before="10"/>
        <w:rPr>
          <w:sz w:val="20"/>
        </w:rPr>
      </w:pPr>
    </w:p>
    <w:p w:rsidR="00391051" w:rsidRDefault="00391051" w:rsidP="00391051">
      <w:pPr>
        <w:pStyle w:val="BodyText"/>
        <w:spacing w:line="288" w:lineRule="auto"/>
        <w:ind w:left="105" w:right="237"/>
      </w:pPr>
      <w:r>
        <w:rPr>
          <w:color w:val="0D0D0D"/>
        </w:rPr>
        <w:t>With Pupil Premium funding we will target the most vulnerable within the school community</w:t>
      </w:r>
      <w:r>
        <w:rPr>
          <w:color w:val="0D0D0D"/>
          <w:spacing w:val="-6"/>
        </w:rPr>
        <w:t xml:space="preserve"> </w:t>
      </w:r>
      <w:r>
        <w:rPr>
          <w:color w:val="0D0D0D"/>
        </w:rPr>
        <w:t>to</w:t>
      </w:r>
      <w:r>
        <w:rPr>
          <w:color w:val="0D0D0D"/>
          <w:spacing w:val="-3"/>
        </w:rPr>
        <w:t xml:space="preserve"> </w:t>
      </w:r>
      <w:r>
        <w:rPr>
          <w:color w:val="0D0D0D"/>
        </w:rPr>
        <w:t>ensure that</w:t>
      </w:r>
      <w:r>
        <w:rPr>
          <w:color w:val="0D0D0D"/>
          <w:spacing w:val="-3"/>
        </w:rPr>
        <w:t xml:space="preserve"> </w:t>
      </w:r>
      <w:r>
        <w:rPr>
          <w:color w:val="0D0D0D"/>
        </w:rPr>
        <w:t>they</w:t>
      </w:r>
      <w:r>
        <w:rPr>
          <w:color w:val="0D0D0D"/>
          <w:spacing w:val="-6"/>
        </w:rPr>
        <w:t xml:space="preserve"> </w:t>
      </w:r>
      <w:r>
        <w:rPr>
          <w:color w:val="0D0D0D"/>
        </w:rPr>
        <w:t>are</w:t>
      </w:r>
      <w:r>
        <w:rPr>
          <w:color w:val="0D0D0D"/>
          <w:spacing w:val="-3"/>
        </w:rPr>
        <w:t xml:space="preserve"> </w:t>
      </w:r>
      <w:r>
        <w:rPr>
          <w:color w:val="0D0D0D"/>
        </w:rPr>
        <w:t>given</w:t>
      </w:r>
      <w:r>
        <w:rPr>
          <w:color w:val="0D0D0D"/>
          <w:spacing w:val="-3"/>
        </w:rPr>
        <w:t xml:space="preserve"> </w:t>
      </w:r>
      <w:r>
        <w:rPr>
          <w:color w:val="0D0D0D"/>
        </w:rPr>
        <w:t>support</w:t>
      </w:r>
      <w:r>
        <w:rPr>
          <w:color w:val="0D0D0D"/>
          <w:spacing w:val="-3"/>
        </w:rPr>
        <w:t xml:space="preserve"> </w:t>
      </w:r>
      <w:r>
        <w:rPr>
          <w:color w:val="0D0D0D"/>
        </w:rPr>
        <w:t>where</w:t>
      </w:r>
      <w:r>
        <w:rPr>
          <w:color w:val="0D0D0D"/>
          <w:spacing w:val="-3"/>
        </w:rPr>
        <w:t xml:space="preserve"> </w:t>
      </w:r>
      <w:r>
        <w:rPr>
          <w:color w:val="0D0D0D"/>
        </w:rPr>
        <w:t>needed</w:t>
      </w:r>
      <w:r>
        <w:rPr>
          <w:color w:val="0D0D0D"/>
          <w:spacing w:val="-5"/>
        </w:rPr>
        <w:t xml:space="preserve"> </w:t>
      </w:r>
      <w:r>
        <w:rPr>
          <w:color w:val="0D0D0D"/>
        </w:rPr>
        <w:t>at</w:t>
      </w:r>
      <w:r>
        <w:rPr>
          <w:color w:val="0D0D0D"/>
          <w:spacing w:val="-3"/>
        </w:rPr>
        <w:t xml:space="preserve"> </w:t>
      </w:r>
      <w:r>
        <w:rPr>
          <w:color w:val="0D0D0D"/>
        </w:rPr>
        <w:t>the</w:t>
      </w:r>
      <w:r>
        <w:rPr>
          <w:color w:val="0D0D0D"/>
          <w:spacing w:val="-3"/>
        </w:rPr>
        <w:t xml:space="preserve"> </w:t>
      </w:r>
      <w:r>
        <w:rPr>
          <w:color w:val="0D0D0D"/>
        </w:rPr>
        <w:t>time</w:t>
      </w:r>
      <w:r>
        <w:rPr>
          <w:color w:val="0D0D0D"/>
          <w:spacing w:val="-3"/>
        </w:rPr>
        <w:t xml:space="preserve"> </w:t>
      </w:r>
      <w:r>
        <w:rPr>
          <w:color w:val="0D0D0D"/>
        </w:rPr>
        <w:t>they</w:t>
      </w:r>
      <w:r>
        <w:rPr>
          <w:color w:val="0D0D0D"/>
          <w:spacing w:val="-6"/>
        </w:rPr>
        <w:t xml:space="preserve"> </w:t>
      </w:r>
      <w:r>
        <w:rPr>
          <w:color w:val="0D0D0D"/>
        </w:rPr>
        <w:t>need it.</w:t>
      </w:r>
      <w:r>
        <w:rPr>
          <w:color w:val="0D0D0D"/>
          <w:spacing w:val="40"/>
        </w:rPr>
        <w:t xml:space="preserve"> </w:t>
      </w:r>
      <w:r>
        <w:rPr>
          <w:color w:val="0D0D0D"/>
        </w:rPr>
        <w:t>This can take many forms but will be needs led after identification from many sources such as parents / carers, external professionals and staff.</w:t>
      </w:r>
    </w:p>
    <w:p w:rsidR="00391051" w:rsidRDefault="00391051"/>
    <w:p w:rsidR="00391051" w:rsidRDefault="00391051"/>
    <w:p w:rsidR="00391051" w:rsidRDefault="00391051"/>
    <w:p w:rsidR="00391051" w:rsidRPr="006C1A2C" w:rsidRDefault="00391051">
      <w:pPr>
        <w:rPr>
          <w:b/>
          <w:sz w:val="24"/>
          <w:szCs w:val="24"/>
        </w:rPr>
      </w:pPr>
      <w:r w:rsidRPr="006C1A2C">
        <w:rPr>
          <w:b/>
          <w:sz w:val="24"/>
          <w:szCs w:val="24"/>
        </w:rPr>
        <w:t xml:space="preserve">Intended Outcomes </w:t>
      </w:r>
    </w:p>
    <w:p w:rsidR="00391051" w:rsidRDefault="00391051" w:rsidP="006C1A2C">
      <w:pPr>
        <w:spacing w:before="243" w:line="288" w:lineRule="auto"/>
        <w:rPr>
          <w:sz w:val="24"/>
        </w:rPr>
      </w:pPr>
      <w:r>
        <w:rPr>
          <w:sz w:val="24"/>
        </w:rPr>
        <w:t xml:space="preserve">Our Pupil Premium and Recovery Premium Grant  will be used to : </w:t>
      </w:r>
    </w:p>
    <w:p w:rsidR="00391051" w:rsidRDefault="00391051" w:rsidP="00391051">
      <w:pPr>
        <w:pStyle w:val="BodyText"/>
        <w:spacing w:before="3"/>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391051" w:rsidTr="00D17F20">
        <w:trPr>
          <w:trHeight w:val="395"/>
        </w:trPr>
        <w:tc>
          <w:tcPr>
            <w:tcW w:w="4815" w:type="dxa"/>
            <w:shd w:val="clear" w:color="auto" w:fill="D7E1E9"/>
          </w:tcPr>
          <w:p w:rsidR="00391051" w:rsidRDefault="00391051" w:rsidP="00D17F20">
            <w:pPr>
              <w:pStyle w:val="TableParagraph"/>
              <w:rPr>
                <w:b/>
                <w:sz w:val="24"/>
              </w:rPr>
            </w:pPr>
            <w:r>
              <w:rPr>
                <w:b/>
                <w:color w:val="0D0D0D"/>
                <w:sz w:val="24"/>
              </w:rPr>
              <w:t xml:space="preserve">Intended </w:t>
            </w:r>
            <w:r>
              <w:rPr>
                <w:b/>
                <w:color w:val="0D0D0D"/>
                <w:spacing w:val="-2"/>
                <w:sz w:val="24"/>
              </w:rPr>
              <w:t>outcome</w:t>
            </w:r>
          </w:p>
        </w:tc>
        <w:tc>
          <w:tcPr>
            <w:tcW w:w="4673" w:type="dxa"/>
            <w:shd w:val="clear" w:color="auto" w:fill="D7E1E9"/>
          </w:tcPr>
          <w:p w:rsidR="00391051" w:rsidRDefault="00391051" w:rsidP="00D17F20">
            <w:pPr>
              <w:pStyle w:val="TableParagraph"/>
              <w:rPr>
                <w:b/>
                <w:sz w:val="24"/>
              </w:rPr>
            </w:pPr>
            <w:r>
              <w:rPr>
                <w:b/>
                <w:color w:val="0D0D0D"/>
                <w:sz w:val="24"/>
              </w:rPr>
              <w:t>Success</w:t>
            </w:r>
            <w:r>
              <w:rPr>
                <w:b/>
                <w:color w:val="0D0D0D"/>
                <w:spacing w:val="-4"/>
                <w:sz w:val="24"/>
              </w:rPr>
              <w:t xml:space="preserve"> </w:t>
            </w:r>
            <w:r>
              <w:rPr>
                <w:b/>
                <w:color w:val="0D0D0D"/>
                <w:spacing w:val="-2"/>
                <w:sz w:val="24"/>
              </w:rPr>
              <w:t>criteria</w:t>
            </w:r>
          </w:p>
        </w:tc>
      </w:tr>
      <w:tr w:rsidR="00391051" w:rsidTr="00D17F20">
        <w:trPr>
          <w:trHeight w:val="373"/>
        </w:trPr>
        <w:tc>
          <w:tcPr>
            <w:tcW w:w="4815" w:type="dxa"/>
          </w:tcPr>
          <w:p w:rsidR="00391051" w:rsidRDefault="00391051" w:rsidP="00D17F20">
            <w:pPr>
              <w:pStyle w:val="TableParagraph"/>
              <w:spacing w:before="57"/>
              <w:ind w:left="0"/>
            </w:pPr>
            <w:r>
              <w:rPr>
                <w:color w:val="0D0D0D"/>
              </w:rPr>
              <w:t xml:space="preserve">Improve Whole School Attendance, reduce RPIs and days lost to suspension  from previous year </w:t>
            </w:r>
          </w:p>
        </w:tc>
        <w:tc>
          <w:tcPr>
            <w:tcW w:w="4673" w:type="dxa"/>
          </w:tcPr>
          <w:p w:rsidR="00391051" w:rsidRDefault="00391051" w:rsidP="00D17F20">
            <w:pPr>
              <w:pStyle w:val="TableParagraph"/>
              <w:spacing w:before="57"/>
              <w:ind w:left="0"/>
              <w:rPr>
                <w:color w:val="0D0D0D"/>
                <w:spacing w:val="-5"/>
              </w:rPr>
            </w:pPr>
            <w:r>
              <w:rPr>
                <w:color w:val="0D0D0D"/>
              </w:rPr>
              <w:t>Attendance</w:t>
            </w:r>
            <w:r>
              <w:rPr>
                <w:color w:val="0D0D0D"/>
                <w:spacing w:val="-4"/>
              </w:rPr>
              <w:t xml:space="preserve"> </w:t>
            </w:r>
            <w:r>
              <w:rPr>
                <w:color w:val="0D0D0D"/>
              </w:rPr>
              <w:t>increase</w:t>
            </w:r>
            <w:r>
              <w:rPr>
                <w:color w:val="0D0D0D"/>
                <w:spacing w:val="-4"/>
              </w:rPr>
              <w:t xml:space="preserve"> </w:t>
            </w:r>
            <w:r>
              <w:rPr>
                <w:color w:val="0D0D0D"/>
              </w:rPr>
              <w:t>to</w:t>
            </w:r>
            <w:r>
              <w:rPr>
                <w:color w:val="0D0D0D"/>
                <w:spacing w:val="-4"/>
              </w:rPr>
              <w:t xml:space="preserve"> </w:t>
            </w:r>
            <w:r>
              <w:rPr>
                <w:color w:val="0D0D0D"/>
              </w:rPr>
              <w:t>above</w:t>
            </w:r>
            <w:r>
              <w:rPr>
                <w:color w:val="0D0D0D"/>
                <w:spacing w:val="-3"/>
              </w:rPr>
              <w:t xml:space="preserve"> </w:t>
            </w:r>
            <w:r>
              <w:rPr>
                <w:color w:val="0D0D0D"/>
                <w:spacing w:val="-5"/>
              </w:rPr>
              <w:t xml:space="preserve">85% </w:t>
            </w:r>
          </w:p>
          <w:p w:rsidR="00391051" w:rsidRDefault="00391051" w:rsidP="00D17F20">
            <w:pPr>
              <w:pStyle w:val="TableParagraph"/>
              <w:spacing w:before="57"/>
              <w:ind w:left="0"/>
              <w:rPr>
                <w:color w:val="0D0D0D"/>
                <w:spacing w:val="-5"/>
              </w:rPr>
            </w:pPr>
            <w:r>
              <w:rPr>
                <w:color w:val="0D0D0D"/>
                <w:spacing w:val="-5"/>
              </w:rPr>
              <w:t xml:space="preserve">Student engagement improved </w:t>
            </w:r>
          </w:p>
          <w:p w:rsidR="00391051" w:rsidRDefault="00391051" w:rsidP="00D17F20">
            <w:pPr>
              <w:pStyle w:val="TableParagraph"/>
              <w:spacing w:before="57"/>
              <w:ind w:left="0"/>
            </w:pPr>
            <w:r>
              <w:rPr>
                <w:color w:val="0D0D0D"/>
              </w:rPr>
              <w:t>Reduction of  RPI’s and days lost to  suspension</w:t>
            </w:r>
            <w:r>
              <w:rPr>
                <w:color w:val="0D0D0D"/>
                <w:spacing w:val="-2"/>
              </w:rPr>
              <w:t xml:space="preserve"> (against previous year)</w:t>
            </w:r>
          </w:p>
        </w:tc>
      </w:tr>
      <w:tr w:rsidR="00391051" w:rsidTr="00D17F20">
        <w:trPr>
          <w:trHeight w:val="626"/>
        </w:trPr>
        <w:tc>
          <w:tcPr>
            <w:tcW w:w="4815" w:type="dxa"/>
          </w:tcPr>
          <w:p w:rsidR="00391051" w:rsidRDefault="00391051" w:rsidP="00D17F20">
            <w:pPr>
              <w:pStyle w:val="TableParagraph"/>
              <w:spacing w:before="60"/>
              <w:ind w:left="0"/>
            </w:pPr>
            <w:r>
              <w:rPr>
                <w:color w:val="0D0D0D"/>
              </w:rPr>
              <w:t xml:space="preserve">To provide students with </w:t>
            </w:r>
            <w:r>
              <w:rPr>
                <w:color w:val="0D0D0D"/>
                <w:spacing w:val="-7"/>
              </w:rPr>
              <w:t xml:space="preserve"> </w:t>
            </w:r>
            <w:r>
              <w:rPr>
                <w:color w:val="0D0D0D"/>
              </w:rPr>
              <w:t>a</w:t>
            </w:r>
            <w:r>
              <w:rPr>
                <w:color w:val="0D0D0D"/>
                <w:spacing w:val="-6"/>
              </w:rPr>
              <w:t xml:space="preserve"> </w:t>
            </w:r>
            <w:r>
              <w:rPr>
                <w:color w:val="0D0D0D"/>
              </w:rPr>
              <w:t>wider</w:t>
            </w:r>
            <w:r>
              <w:rPr>
                <w:color w:val="0D0D0D"/>
                <w:spacing w:val="-6"/>
              </w:rPr>
              <w:t xml:space="preserve"> </w:t>
            </w:r>
            <w:r>
              <w:rPr>
                <w:color w:val="0D0D0D"/>
              </w:rPr>
              <w:t>range</w:t>
            </w:r>
            <w:r>
              <w:rPr>
                <w:color w:val="0D0D0D"/>
                <w:spacing w:val="-8"/>
              </w:rPr>
              <w:t xml:space="preserve"> </w:t>
            </w:r>
            <w:r>
              <w:rPr>
                <w:color w:val="0D0D0D"/>
              </w:rPr>
              <w:t>of</w:t>
            </w:r>
            <w:r>
              <w:rPr>
                <w:color w:val="0D0D0D"/>
                <w:spacing w:val="-5"/>
              </w:rPr>
              <w:t xml:space="preserve"> </w:t>
            </w:r>
            <w:r>
              <w:rPr>
                <w:color w:val="0D0D0D"/>
              </w:rPr>
              <w:t xml:space="preserve">extended </w:t>
            </w:r>
            <w:r>
              <w:rPr>
                <w:color w:val="0D0D0D"/>
                <w:spacing w:val="-2"/>
              </w:rPr>
              <w:t xml:space="preserve">curriculum activities  </w:t>
            </w:r>
          </w:p>
        </w:tc>
        <w:tc>
          <w:tcPr>
            <w:tcW w:w="4673" w:type="dxa"/>
          </w:tcPr>
          <w:p w:rsidR="00391051" w:rsidRDefault="00391051" w:rsidP="00D17F20">
            <w:pPr>
              <w:pStyle w:val="TableParagraph"/>
              <w:spacing w:before="60"/>
              <w:ind w:left="0"/>
            </w:pPr>
            <w:r>
              <w:rPr>
                <w:color w:val="0D0D0D"/>
              </w:rPr>
              <w:t>Increase in numbers</w:t>
            </w:r>
            <w:r>
              <w:rPr>
                <w:color w:val="0D0D0D"/>
                <w:spacing w:val="-7"/>
              </w:rPr>
              <w:t xml:space="preserve"> </w:t>
            </w:r>
            <w:r>
              <w:rPr>
                <w:color w:val="0D0D0D"/>
              </w:rPr>
              <w:t>of</w:t>
            </w:r>
            <w:r>
              <w:rPr>
                <w:color w:val="0D0D0D"/>
                <w:spacing w:val="-7"/>
              </w:rPr>
              <w:t xml:space="preserve"> </w:t>
            </w:r>
            <w:r>
              <w:rPr>
                <w:color w:val="0D0D0D"/>
              </w:rPr>
              <w:t>clubs,</w:t>
            </w:r>
            <w:r>
              <w:rPr>
                <w:color w:val="0D0D0D"/>
                <w:spacing w:val="-9"/>
              </w:rPr>
              <w:t xml:space="preserve"> </w:t>
            </w:r>
            <w:r>
              <w:rPr>
                <w:color w:val="0D0D0D"/>
              </w:rPr>
              <w:t>trips</w:t>
            </w:r>
            <w:r>
              <w:rPr>
                <w:color w:val="0D0D0D"/>
                <w:spacing w:val="-8"/>
              </w:rPr>
              <w:t xml:space="preserve"> </w:t>
            </w:r>
            <w:r>
              <w:rPr>
                <w:color w:val="0D0D0D"/>
              </w:rPr>
              <w:t xml:space="preserve">and </w:t>
            </w:r>
            <w:r>
              <w:rPr>
                <w:color w:val="0D0D0D"/>
                <w:spacing w:val="-2"/>
              </w:rPr>
              <w:t xml:space="preserve">excursions and external school visitors </w:t>
            </w:r>
          </w:p>
        </w:tc>
      </w:tr>
      <w:tr w:rsidR="00391051" w:rsidTr="00D17F20">
        <w:trPr>
          <w:trHeight w:val="374"/>
        </w:trPr>
        <w:tc>
          <w:tcPr>
            <w:tcW w:w="4815" w:type="dxa"/>
          </w:tcPr>
          <w:p w:rsidR="00391051" w:rsidRDefault="00391051" w:rsidP="00D17F20">
            <w:pPr>
              <w:pStyle w:val="TableParagraph"/>
              <w:spacing w:before="57"/>
              <w:ind w:left="0"/>
            </w:pPr>
            <w:r>
              <w:rPr>
                <w:color w:val="0D0D0D"/>
              </w:rPr>
              <w:t xml:space="preserve">Accelerate Progress in Reading </w:t>
            </w:r>
          </w:p>
        </w:tc>
        <w:tc>
          <w:tcPr>
            <w:tcW w:w="4673" w:type="dxa"/>
          </w:tcPr>
          <w:p w:rsidR="00391051" w:rsidRDefault="00391051" w:rsidP="00D17F20">
            <w:pPr>
              <w:pStyle w:val="TableParagraph"/>
              <w:spacing w:before="57"/>
              <w:ind w:left="0" w:right="259"/>
              <w:rPr>
                <w:color w:val="0D0D0D"/>
              </w:rPr>
            </w:pPr>
            <w:r>
              <w:rPr>
                <w:color w:val="0D0D0D"/>
              </w:rPr>
              <w:t xml:space="preserve">Progress in reading accelerated </w:t>
            </w:r>
          </w:p>
          <w:p w:rsidR="00391051" w:rsidRDefault="00391051" w:rsidP="00D17F20">
            <w:pPr>
              <w:pStyle w:val="TableParagraph"/>
              <w:spacing w:before="57"/>
              <w:ind w:left="0" w:right="259"/>
              <w:rPr>
                <w:color w:val="0D0D0D"/>
              </w:rPr>
            </w:pPr>
            <w:r>
              <w:rPr>
                <w:color w:val="0D0D0D"/>
              </w:rPr>
              <w:t xml:space="preserve">School reading levels improve </w:t>
            </w:r>
          </w:p>
          <w:p w:rsidR="00391051" w:rsidRDefault="00391051" w:rsidP="00D17F20">
            <w:pPr>
              <w:pStyle w:val="TableParagraph"/>
              <w:spacing w:before="57"/>
              <w:ind w:right="259"/>
            </w:pPr>
          </w:p>
        </w:tc>
      </w:tr>
      <w:tr w:rsidR="00391051" w:rsidTr="00D17F20">
        <w:trPr>
          <w:trHeight w:val="625"/>
        </w:trPr>
        <w:tc>
          <w:tcPr>
            <w:tcW w:w="4815" w:type="dxa"/>
          </w:tcPr>
          <w:p w:rsidR="00391051" w:rsidRDefault="00391051" w:rsidP="00D17F20">
            <w:pPr>
              <w:pStyle w:val="TableParagraph"/>
              <w:spacing w:before="57"/>
              <w:ind w:left="0"/>
            </w:pPr>
            <w:r>
              <w:rPr>
                <w:color w:val="0D0D0D"/>
              </w:rPr>
              <w:t xml:space="preserve">To provide targeted academic and mental health interventions </w:t>
            </w:r>
          </w:p>
        </w:tc>
        <w:tc>
          <w:tcPr>
            <w:tcW w:w="4673" w:type="dxa"/>
          </w:tcPr>
          <w:p w:rsidR="00391051" w:rsidRDefault="00391051" w:rsidP="00D17F20">
            <w:pPr>
              <w:pStyle w:val="TableParagraph"/>
              <w:spacing w:before="57"/>
              <w:ind w:left="0" w:right="259"/>
            </w:pPr>
            <w:r>
              <w:rPr>
                <w:color w:val="0D0D0D"/>
              </w:rPr>
              <w:t xml:space="preserve">To improve the outcomes or accelerate progress (academic/ pastoral) for higher need and more gifted students </w:t>
            </w:r>
          </w:p>
        </w:tc>
      </w:tr>
    </w:tbl>
    <w:p w:rsidR="00391051" w:rsidRDefault="00391051"/>
    <w:p w:rsidR="006C1A2C" w:rsidRDefault="006C1A2C"/>
    <w:p w:rsidR="006C1A2C" w:rsidRPr="00513148" w:rsidRDefault="006C1A2C" w:rsidP="00513148">
      <w:pPr>
        <w:pStyle w:val="Heading2"/>
        <w:spacing w:before="69"/>
        <w:rPr>
          <w:rFonts w:ascii="Arial" w:hAnsi="Arial" w:cs="Arial"/>
          <w:b/>
          <w:color w:val="auto"/>
          <w:sz w:val="24"/>
          <w:szCs w:val="24"/>
        </w:rPr>
      </w:pPr>
      <w:r w:rsidRPr="00691C60">
        <w:rPr>
          <w:rFonts w:ascii="Arial" w:hAnsi="Arial" w:cs="Arial"/>
          <w:b/>
          <w:color w:val="auto"/>
          <w:sz w:val="24"/>
          <w:szCs w:val="24"/>
        </w:rPr>
        <w:t>Activity</w:t>
      </w:r>
      <w:r w:rsidRPr="00691C60">
        <w:rPr>
          <w:rFonts w:ascii="Arial" w:hAnsi="Arial" w:cs="Arial"/>
          <w:b/>
          <w:color w:val="auto"/>
          <w:spacing w:val="-13"/>
          <w:sz w:val="24"/>
          <w:szCs w:val="24"/>
        </w:rPr>
        <w:t xml:space="preserve"> </w:t>
      </w:r>
      <w:r w:rsidR="00513148">
        <w:rPr>
          <w:rFonts w:ascii="Arial" w:hAnsi="Arial" w:cs="Arial"/>
          <w:b/>
          <w:color w:val="auto"/>
          <w:sz w:val="24"/>
          <w:szCs w:val="24"/>
        </w:rPr>
        <w:t xml:space="preserve">2023/24       </w:t>
      </w:r>
      <w:r w:rsidR="00513148">
        <w:rPr>
          <w:color w:val="0D0D0D"/>
        </w:rPr>
        <w:t>Budge</w:t>
      </w:r>
      <w:r>
        <w:rPr>
          <w:color w:val="0D0D0D"/>
        </w:rPr>
        <w:t>t:</w:t>
      </w:r>
      <w:r>
        <w:rPr>
          <w:color w:val="0D0D0D"/>
          <w:spacing w:val="-3"/>
        </w:rPr>
        <w:t xml:space="preserve"> </w:t>
      </w:r>
      <w:r>
        <w:rPr>
          <w:color w:val="0D0D0D"/>
          <w:spacing w:val="-2"/>
        </w:rPr>
        <w:t>£125979</w:t>
      </w:r>
    </w:p>
    <w:p w:rsidR="006C1A2C" w:rsidRDefault="006C1A2C" w:rsidP="006C1A2C">
      <w:pPr>
        <w:pStyle w:val="BodyText"/>
        <w:rPr>
          <w:sz w:val="26"/>
        </w:rPr>
      </w:pPr>
      <w:r>
        <w:rPr>
          <w:sz w:val="26"/>
        </w:rPr>
        <w:t xml:space="preserve"> </w:t>
      </w:r>
    </w:p>
    <w:tbl>
      <w:tblPr>
        <w:tblW w:w="1008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6"/>
        <w:gridCol w:w="6183"/>
      </w:tblGrid>
      <w:tr w:rsidR="006C1A2C" w:rsidTr="00513148">
        <w:trPr>
          <w:trHeight w:val="501"/>
        </w:trPr>
        <w:tc>
          <w:tcPr>
            <w:tcW w:w="3906" w:type="dxa"/>
            <w:shd w:val="clear" w:color="auto" w:fill="D7E1E9"/>
          </w:tcPr>
          <w:p w:rsidR="006C1A2C" w:rsidRDefault="006C1A2C" w:rsidP="00D17F20">
            <w:pPr>
              <w:pStyle w:val="TableParagraph"/>
              <w:rPr>
                <w:b/>
                <w:sz w:val="24"/>
              </w:rPr>
            </w:pPr>
            <w:r>
              <w:rPr>
                <w:b/>
                <w:color w:val="0D0D0D"/>
                <w:spacing w:val="-2"/>
                <w:sz w:val="24"/>
              </w:rPr>
              <w:t>Activity</w:t>
            </w:r>
          </w:p>
        </w:tc>
        <w:tc>
          <w:tcPr>
            <w:tcW w:w="6183" w:type="dxa"/>
            <w:shd w:val="clear" w:color="auto" w:fill="D7E1E9"/>
          </w:tcPr>
          <w:p w:rsidR="006C1A2C" w:rsidRDefault="006C1A2C" w:rsidP="00D17F20">
            <w:pPr>
              <w:pStyle w:val="TableParagraph"/>
              <w:ind w:left="167" w:right="210"/>
              <w:rPr>
                <w:b/>
                <w:sz w:val="24"/>
              </w:rPr>
            </w:pPr>
            <w:r>
              <w:rPr>
                <w:b/>
                <w:color w:val="0D0D0D"/>
                <w:sz w:val="24"/>
              </w:rPr>
              <w:t>Evidence</w:t>
            </w:r>
            <w:r>
              <w:rPr>
                <w:b/>
                <w:color w:val="0D0D0D"/>
                <w:spacing w:val="-13"/>
                <w:sz w:val="24"/>
              </w:rPr>
              <w:t xml:space="preserve"> </w:t>
            </w:r>
            <w:r>
              <w:rPr>
                <w:b/>
                <w:color w:val="0D0D0D"/>
                <w:sz w:val="24"/>
              </w:rPr>
              <w:t>that</w:t>
            </w:r>
            <w:r>
              <w:rPr>
                <w:b/>
                <w:color w:val="0D0D0D"/>
                <w:spacing w:val="-13"/>
                <w:sz w:val="24"/>
              </w:rPr>
              <w:t xml:space="preserve"> </w:t>
            </w:r>
            <w:r>
              <w:rPr>
                <w:b/>
                <w:color w:val="0D0D0D"/>
                <w:sz w:val="24"/>
              </w:rPr>
              <w:t>supports</w:t>
            </w:r>
            <w:r>
              <w:rPr>
                <w:b/>
                <w:color w:val="0D0D0D"/>
                <w:spacing w:val="-12"/>
                <w:sz w:val="24"/>
              </w:rPr>
              <w:t xml:space="preserve"> </w:t>
            </w:r>
            <w:r>
              <w:rPr>
                <w:b/>
                <w:color w:val="0D0D0D"/>
                <w:sz w:val="24"/>
              </w:rPr>
              <w:t xml:space="preserve">this </w:t>
            </w:r>
            <w:r>
              <w:rPr>
                <w:b/>
                <w:color w:val="0D0D0D"/>
                <w:spacing w:val="-2"/>
                <w:sz w:val="24"/>
              </w:rPr>
              <w:t>approach</w:t>
            </w:r>
          </w:p>
        </w:tc>
      </w:tr>
      <w:tr w:rsidR="006C1A2C" w:rsidTr="00D17F20">
        <w:trPr>
          <w:trHeight w:val="672"/>
        </w:trPr>
        <w:tc>
          <w:tcPr>
            <w:tcW w:w="3906" w:type="dxa"/>
          </w:tcPr>
          <w:p w:rsidR="006C1A2C" w:rsidRDefault="006C1A2C" w:rsidP="00D17F20">
            <w:pPr>
              <w:pStyle w:val="TableParagraph"/>
              <w:spacing w:before="11" w:line="336" w:lineRule="exact"/>
              <w:ind w:right="640"/>
              <w:rPr>
                <w:color w:val="0D0D0D"/>
              </w:rPr>
            </w:pPr>
            <w:r w:rsidRPr="00DA42F5">
              <w:rPr>
                <w:color w:val="0D0D0D"/>
              </w:rPr>
              <w:t>To provide a broader range of curriculum enrichment  opportunities which includes  music production mentor and Kart Mechanics at The Brades</w:t>
            </w:r>
          </w:p>
          <w:p w:rsidR="006C1A2C" w:rsidRPr="00DA42F5" w:rsidRDefault="006C1A2C" w:rsidP="00D17F20">
            <w:pPr>
              <w:pStyle w:val="TableParagraph"/>
              <w:spacing w:before="11" w:line="336" w:lineRule="exact"/>
              <w:ind w:right="640"/>
              <w:rPr>
                <w:color w:val="0D0D0D"/>
              </w:rPr>
            </w:pPr>
            <w:r w:rsidRPr="00DA42F5">
              <w:rPr>
                <w:color w:val="0D0D0D"/>
              </w:rPr>
              <w:t xml:space="preserve"> </w:t>
            </w:r>
          </w:p>
          <w:p w:rsidR="006C1A2C" w:rsidRDefault="006C1A2C" w:rsidP="00D17F20">
            <w:pPr>
              <w:pStyle w:val="TableParagraph"/>
              <w:spacing w:before="11" w:line="336" w:lineRule="exact"/>
              <w:ind w:right="640"/>
              <w:rPr>
                <w:color w:val="0D0D0D"/>
              </w:rPr>
            </w:pPr>
            <w:r>
              <w:rPr>
                <w:color w:val="0D0D0D"/>
              </w:rPr>
              <w:t>To provide Box Clever sessions across the schools</w:t>
            </w:r>
          </w:p>
          <w:p w:rsidR="006C1A2C" w:rsidRDefault="006C1A2C" w:rsidP="00D17F20">
            <w:pPr>
              <w:pStyle w:val="TableParagraph"/>
              <w:spacing w:before="11" w:line="336" w:lineRule="exact"/>
              <w:ind w:right="640"/>
              <w:rPr>
                <w:sz w:val="24"/>
              </w:rPr>
            </w:pPr>
            <w:r>
              <w:rPr>
                <w:color w:val="0D0D0D"/>
              </w:rPr>
              <w:t>To support the funding of theme weeks at  the schools</w:t>
            </w:r>
          </w:p>
        </w:tc>
        <w:tc>
          <w:tcPr>
            <w:tcW w:w="6183" w:type="dxa"/>
          </w:tcPr>
          <w:p w:rsidR="006C1A2C" w:rsidRDefault="006C1A2C" w:rsidP="00D17F20">
            <w:pPr>
              <w:pStyle w:val="TableParagraph"/>
              <w:spacing w:before="57"/>
              <w:ind w:left="167" w:right="210"/>
            </w:pPr>
            <w:r>
              <w:rPr>
                <w:color w:val="0D0D0D"/>
              </w:rPr>
              <w:t xml:space="preserve">Providing high quality mentor support  which raises aspiration and increases school engagement  will  improve the outcomes of our students as self esteem and skill sets develop. </w:t>
            </w:r>
          </w:p>
        </w:tc>
      </w:tr>
      <w:tr w:rsidR="006C1A2C" w:rsidTr="00D17F20">
        <w:trPr>
          <w:trHeight w:val="1041"/>
        </w:trPr>
        <w:tc>
          <w:tcPr>
            <w:tcW w:w="3906" w:type="dxa"/>
          </w:tcPr>
          <w:p w:rsidR="006C1A2C" w:rsidRDefault="006C1A2C" w:rsidP="00D17F20">
            <w:pPr>
              <w:pStyle w:val="TableParagraph"/>
              <w:spacing w:before="60"/>
              <w:ind w:right="843"/>
              <w:rPr>
                <w:color w:val="0D0D0D"/>
              </w:rPr>
            </w:pPr>
            <w:r>
              <w:rPr>
                <w:color w:val="0D0D0D"/>
              </w:rPr>
              <w:t xml:space="preserve">To provide a broader therapeutic offer across the schools </w:t>
            </w:r>
          </w:p>
          <w:p w:rsidR="006C1A2C" w:rsidRDefault="006C1A2C" w:rsidP="00D17F20">
            <w:pPr>
              <w:pStyle w:val="TableParagraph"/>
              <w:spacing w:before="60"/>
              <w:ind w:right="843"/>
            </w:pPr>
          </w:p>
        </w:tc>
        <w:tc>
          <w:tcPr>
            <w:tcW w:w="6183" w:type="dxa"/>
          </w:tcPr>
          <w:p w:rsidR="006C1A2C" w:rsidRDefault="006C1A2C" w:rsidP="00D17F20">
            <w:pPr>
              <w:pStyle w:val="TableParagraph"/>
              <w:spacing w:before="60"/>
              <w:ind w:left="167" w:right="210"/>
            </w:pPr>
            <w:r>
              <w:rPr>
                <w:color w:val="0D0D0D"/>
              </w:rPr>
              <w:t>More complex students are able to understand</w:t>
            </w:r>
            <w:r>
              <w:rPr>
                <w:color w:val="0D0D0D"/>
                <w:spacing w:val="-9"/>
              </w:rPr>
              <w:t xml:space="preserve"> </w:t>
            </w:r>
            <w:r>
              <w:rPr>
                <w:color w:val="0D0D0D"/>
              </w:rPr>
              <w:t>their</w:t>
            </w:r>
            <w:r>
              <w:rPr>
                <w:color w:val="0D0D0D"/>
                <w:spacing w:val="-8"/>
              </w:rPr>
              <w:t xml:space="preserve"> </w:t>
            </w:r>
            <w:r>
              <w:rPr>
                <w:color w:val="0D0D0D"/>
              </w:rPr>
              <w:t>emotions</w:t>
            </w:r>
            <w:r>
              <w:rPr>
                <w:color w:val="0D0D0D"/>
                <w:spacing w:val="-6"/>
              </w:rPr>
              <w:t xml:space="preserve"> </w:t>
            </w:r>
            <w:r>
              <w:rPr>
                <w:color w:val="0D0D0D"/>
              </w:rPr>
              <w:t>and</w:t>
            </w:r>
            <w:r>
              <w:rPr>
                <w:color w:val="0D0D0D"/>
                <w:spacing w:val="-7"/>
              </w:rPr>
              <w:t xml:space="preserve"> </w:t>
            </w:r>
            <w:r>
              <w:rPr>
                <w:color w:val="0D0D0D"/>
              </w:rPr>
              <w:t>start</w:t>
            </w:r>
            <w:r>
              <w:rPr>
                <w:color w:val="0D0D0D"/>
                <w:spacing w:val="-8"/>
              </w:rPr>
              <w:t xml:space="preserve"> </w:t>
            </w:r>
            <w:r>
              <w:rPr>
                <w:color w:val="0D0D0D"/>
              </w:rPr>
              <w:t>to explore</w:t>
            </w:r>
            <w:r>
              <w:rPr>
                <w:color w:val="0D0D0D"/>
                <w:spacing w:val="-6"/>
              </w:rPr>
              <w:t xml:space="preserve"> </w:t>
            </w:r>
            <w:r>
              <w:rPr>
                <w:color w:val="0D0D0D"/>
              </w:rPr>
              <w:t>causality.</w:t>
            </w:r>
            <w:r>
              <w:rPr>
                <w:color w:val="0D0D0D"/>
                <w:spacing w:val="40"/>
              </w:rPr>
              <w:t xml:space="preserve"> </w:t>
            </w:r>
            <w:r>
              <w:rPr>
                <w:color w:val="0D0D0D"/>
              </w:rPr>
              <w:t>This</w:t>
            </w:r>
            <w:r>
              <w:rPr>
                <w:color w:val="0D0D0D"/>
                <w:spacing w:val="-6"/>
              </w:rPr>
              <w:t xml:space="preserve"> </w:t>
            </w:r>
            <w:r>
              <w:rPr>
                <w:color w:val="0D0D0D"/>
              </w:rPr>
              <w:t>allows</w:t>
            </w:r>
            <w:r>
              <w:rPr>
                <w:color w:val="0D0D0D"/>
                <w:spacing w:val="-6"/>
              </w:rPr>
              <w:t xml:space="preserve"> </w:t>
            </w:r>
            <w:r>
              <w:rPr>
                <w:color w:val="0D0D0D"/>
              </w:rPr>
              <w:t>them</w:t>
            </w:r>
            <w:r>
              <w:rPr>
                <w:color w:val="0D0D0D"/>
                <w:spacing w:val="-8"/>
              </w:rPr>
              <w:t xml:space="preserve"> </w:t>
            </w:r>
            <w:r>
              <w:rPr>
                <w:color w:val="0D0D0D"/>
              </w:rPr>
              <w:t>to focus on their education in larger chunks of time and so increase their learning capacity, motivation and aspirations</w:t>
            </w:r>
          </w:p>
        </w:tc>
      </w:tr>
      <w:tr w:rsidR="006C1A2C" w:rsidTr="00D17F20">
        <w:trPr>
          <w:trHeight w:val="1041"/>
        </w:trPr>
        <w:tc>
          <w:tcPr>
            <w:tcW w:w="3906" w:type="dxa"/>
          </w:tcPr>
          <w:p w:rsidR="006C1A2C" w:rsidRDefault="006C1A2C" w:rsidP="00D17F20">
            <w:pPr>
              <w:pStyle w:val="TableParagraph"/>
              <w:spacing w:before="60"/>
              <w:ind w:right="843"/>
              <w:rPr>
                <w:color w:val="0D0D0D"/>
              </w:rPr>
            </w:pPr>
            <w:r>
              <w:rPr>
                <w:color w:val="0D0D0D"/>
              </w:rPr>
              <w:t xml:space="preserve">To provide broader range of high quality reading material appropriate to age and ability across the schools </w:t>
            </w:r>
          </w:p>
        </w:tc>
        <w:tc>
          <w:tcPr>
            <w:tcW w:w="6183" w:type="dxa"/>
          </w:tcPr>
          <w:p w:rsidR="006C1A2C" w:rsidRDefault="006C1A2C" w:rsidP="00D17F20">
            <w:pPr>
              <w:pStyle w:val="TableParagraph"/>
              <w:spacing w:before="60"/>
              <w:ind w:left="167" w:right="210"/>
              <w:rPr>
                <w:color w:val="0D0D0D"/>
              </w:rPr>
            </w:pPr>
            <w:r>
              <w:rPr>
                <w:color w:val="0D0D0D"/>
              </w:rPr>
              <w:t xml:space="preserve">Magazine subscriptions  and  purchased books targeting specific areas of interest (personalized) will raise levels of engagement  and promote reading for pleasure </w:t>
            </w:r>
          </w:p>
          <w:p w:rsidR="006C1A2C" w:rsidRDefault="006C1A2C" w:rsidP="00D17F20">
            <w:pPr>
              <w:pStyle w:val="TableParagraph"/>
              <w:spacing w:before="60"/>
              <w:ind w:left="167" w:right="210"/>
              <w:rPr>
                <w:color w:val="0D0D0D"/>
              </w:rPr>
            </w:pPr>
          </w:p>
          <w:p w:rsidR="006C1A2C" w:rsidRDefault="006C1A2C" w:rsidP="00D17F20">
            <w:pPr>
              <w:pStyle w:val="TableParagraph"/>
              <w:spacing w:before="60"/>
              <w:ind w:left="167" w:right="210"/>
              <w:rPr>
                <w:color w:val="0D0D0D"/>
              </w:rPr>
            </w:pPr>
          </w:p>
        </w:tc>
      </w:tr>
      <w:tr w:rsidR="006C1A2C" w:rsidTr="00D17F20">
        <w:trPr>
          <w:trHeight w:val="1041"/>
        </w:trPr>
        <w:tc>
          <w:tcPr>
            <w:tcW w:w="3906" w:type="dxa"/>
          </w:tcPr>
          <w:p w:rsidR="006C1A2C" w:rsidRDefault="006C1A2C" w:rsidP="00D17F20">
            <w:pPr>
              <w:pStyle w:val="TableParagraph"/>
              <w:spacing w:before="60"/>
            </w:pPr>
            <w:r>
              <w:rPr>
                <w:color w:val="0D0D0D"/>
              </w:rPr>
              <w:t>Maths</w:t>
            </w:r>
            <w:r>
              <w:rPr>
                <w:color w:val="0D0D0D"/>
                <w:spacing w:val="-3"/>
              </w:rPr>
              <w:t xml:space="preserve"> </w:t>
            </w:r>
            <w:r>
              <w:rPr>
                <w:color w:val="0D0D0D"/>
                <w:spacing w:val="-2"/>
              </w:rPr>
              <w:t>Interventions</w:t>
            </w:r>
          </w:p>
        </w:tc>
        <w:tc>
          <w:tcPr>
            <w:tcW w:w="6183" w:type="dxa"/>
          </w:tcPr>
          <w:p w:rsidR="006C1A2C" w:rsidRDefault="006C1A2C" w:rsidP="00D17F20">
            <w:pPr>
              <w:pStyle w:val="TableParagraph"/>
              <w:spacing w:before="60"/>
              <w:ind w:left="167" w:right="210"/>
            </w:pPr>
            <w:r>
              <w:rPr>
                <w:color w:val="0D0D0D"/>
              </w:rPr>
              <w:t>Targeted</w:t>
            </w:r>
            <w:r>
              <w:rPr>
                <w:color w:val="0D0D0D"/>
                <w:spacing w:val="-11"/>
              </w:rPr>
              <w:t xml:space="preserve"> </w:t>
            </w:r>
            <w:r>
              <w:rPr>
                <w:color w:val="0D0D0D"/>
              </w:rPr>
              <w:t>and</w:t>
            </w:r>
            <w:r>
              <w:rPr>
                <w:color w:val="0D0D0D"/>
                <w:spacing w:val="-9"/>
              </w:rPr>
              <w:t xml:space="preserve"> </w:t>
            </w:r>
            <w:r>
              <w:rPr>
                <w:color w:val="0D0D0D"/>
              </w:rPr>
              <w:t>specialist</w:t>
            </w:r>
            <w:r>
              <w:rPr>
                <w:color w:val="0D0D0D"/>
                <w:spacing w:val="-10"/>
              </w:rPr>
              <w:t xml:space="preserve"> </w:t>
            </w:r>
            <w:r>
              <w:rPr>
                <w:color w:val="0D0D0D"/>
              </w:rPr>
              <w:t>Maths support  improves knowledge understanding and  attainment</w:t>
            </w:r>
          </w:p>
        </w:tc>
      </w:tr>
      <w:tr w:rsidR="006C1A2C" w:rsidTr="00D17F20">
        <w:trPr>
          <w:trHeight w:val="1041"/>
        </w:trPr>
        <w:tc>
          <w:tcPr>
            <w:tcW w:w="3906" w:type="dxa"/>
          </w:tcPr>
          <w:p w:rsidR="006C1A2C" w:rsidRDefault="006C1A2C" w:rsidP="00D17F20">
            <w:pPr>
              <w:pStyle w:val="TableParagraph"/>
              <w:spacing w:before="60"/>
            </w:pPr>
            <w:r>
              <w:rPr>
                <w:color w:val="0D0D0D"/>
              </w:rPr>
              <w:t xml:space="preserve">English/ Reading </w:t>
            </w:r>
            <w:r>
              <w:rPr>
                <w:color w:val="0D0D0D"/>
                <w:spacing w:val="-6"/>
              </w:rPr>
              <w:t xml:space="preserve"> </w:t>
            </w:r>
            <w:r>
              <w:rPr>
                <w:color w:val="0D0D0D"/>
                <w:spacing w:val="-2"/>
              </w:rPr>
              <w:t>interventions</w:t>
            </w:r>
          </w:p>
        </w:tc>
        <w:tc>
          <w:tcPr>
            <w:tcW w:w="6183" w:type="dxa"/>
          </w:tcPr>
          <w:p w:rsidR="006C1A2C" w:rsidRDefault="006C1A2C" w:rsidP="00D17F20">
            <w:pPr>
              <w:pStyle w:val="TableParagraph"/>
              <w:spacing w:before="60"/>
              <w:ind w:left="167" w:right="210"/>
            </w:pPr>
            <w:r>
              <w:rPr>
                <w:color w:val="0D0D0D"/>
              </w:rPr>
              <w:t>Targeted</w:t>
            </w:r>
            <w:r>
              <w:rPr>
                <w:color w:val="0D0D0D"/>
                <w:spacing w:val="-11"/>
              </w:rPr>
              <w:t xml:space="preserve"> </w:t>
            </w:r>
            <w:r>
              <w:rPr>
                <w:color w:val="0D0D0D"/>
              </w:rPr>
              <w:t>and</w:t>
            </w:r>
            <w:r>
              <w:rPr>
                <w:color w:val="0D0D0D"/>
                <w:spacing w:val="-9"/>
              </w:rPr>
              <w:t xml:space="preserve"> </w:t>
            </w:r>
            <w:r>
              <w:rPr>
                <w:color w:val="0D0D0D"/>
              </w:rPr>
              <w:t>specialist</w:t>
            </w:r>
            <w:r>
              <w:rPr>
                <w:color w:val="0D0D0D"/>
                <w:spacing w:val="-10"/>
              </w:rPr>
              <w:t xml:space="preserve"> </w:t>
            </w:r>
            <w:r>
              <w:rPr>
                <w:color w:val="0D0D0D"/>
              </w:rPr>
              <w:t>English / Reading support  improves knowledge understanding and  attainment</w:t>
            </w:r>
          </w:p>
        </w:tc>
      </w:tr>
      <w:tr w:rsidR="006C1A2C" w:rsidTr="00D17F20">
        <w:trPr>
          <w:trHeight w:val="1041"/>
        </w:trPr>
        <w:tc>
          <w:tcPr>
            <w:tcW w:w="3906" w:type="dxa"/>
          </w:tcPr>
          <w:p w:rsidR="006C1A2C" w:rsidRDefault="006C1A2C" w:rsidP="00D17F20">
            <w:pPr>
              <w:pStyle w:val="TableParagraph"/>
              <w:spacing w:before="60"/>
            </w:pPr>
            <w:r>
              <w:rPr>
                <w:color w:val="0D0D0D"/>
              </w:rPr>
              <w:t xml:space="preserve">To enhance the outdoor education provision at the Shenstone Lodge site through the provision of a more formal curriculum offer delivered by a specialist or current staff with further training  </w:t>
            </w:r>
          </w:p>
        </w:tc>
        <w:tc>
          <w:tcPr>
            <w:tcW w:w="6183" w:type="dxa"/>
          </w:tcPr>
          <w:p w:rsidR="006C1A2C" w:rsidRDefault="006C1A2C" w:rsidP="00D17F20">
            <w:pPr>
              <w:pStyle w:val="TableParagraph"/>
              <w:spacing w:before="60"/>
              <w:ind w:left="167" w:right="210"/>
            </w:pPr>
            <w:r>
              <w:t xml:space="preserve">The benefits of active an outdoor learning provision for students is well documented </w:t>
            </w:r>
          </w:p>
          <w:p w:rsidR="006C1A2C" w:rsidRDefault="006C1A2C" w:rsidP="00D17F20">
            <w:pPr>
              <w:pStyle w:val="TableParagraph"/>
              <w:spacing w:before="60"/>
              <w:ind w:left="167" w:right="210"/>
            </w:pPr>
            <w:hyperlink r:id="rId5" w:history="1">
              <w:r w:rsidRPr="00645CD9">
                <w:rPr>
                  <w:rStyle w:val="Hyperlink"/>
                </w:rPr>
                <w:t>https://ltl.org.uk/wp-content/uploads/2020/05/ofsted-learning-outside-the-classroom.pdf</w:t>
              </w:r>
            </w:hyperlink>
            <w:r>
              <w:t xml:space="preserve"> </w:t>
            </w:r>
          </w:p>
        </w:tc>
      </w:tr>
    </w:tbl>
    <w:p w:rsidR="00513148" w:rsidRDefault="00513148" w:rsidP="006C1A2C"/>
    <w:p w:rsidR="00513148" w:rsidRDefault="00513148" w:rsidP="00513148"/>
    <w:p w:rsidR="00513148" w:rsidRPr="00691C60" w:rsidRDefault="00513148" w:rsidP="00513148">
      <w:pPr>
        <w:pStyle w:val="Heading1"/>
        <w:ind w:left="0"/>
        <w:rPr>
          <w:sz w:val="24"/>
          <w:szCs w:val="24"/>
        </w:rPr>
      </w:pPr>
      <w:r w:rsidRPr="00691C60">
        <w:rPr>
          <w:sz w:val="24"/>
          <w:szCs w:val="24"/>
        </w:rPr>
        <w:t>Impact of Grant  Allocation in</w:t>
      </w:r>
      <w:r w:rsidRPr="00691C60">
        <w:rPr>
          <w:spacing w:val="-4"/>
          <w:sz w:val="24"/>
          <w:szCs w:val="24"/>
        </w:rPr>
        <w:t xml:space="preserve"> </w:t>
      </w:r>
      <w:r w:rsidRPr="00691C60">
        <w:rPr>
          <w:sz w:val="24"/>
          <w:szCs w:val="24"/>
        </w:rPr>
        <w:t>the</w:t>
      </w:r>
      <w:r w:rsidRPr="00691C60">
        <w:rPr>
          <w:spacing w:val="-8"/>
          <w:sz w:val="24"/>
          <w:szCs w:val="24"/>
        </w:rPr>
        <w:t xml:space="preserve"> </w:t>
      </w:r>
      <w:r w:rsidRPr="00691C60">
        <w:rPr>
          <w:sz w:val="24"/>
          <w:szCs w:val="24"/>
        </w:rPr>
        <w:t xml:space="preserve">2022/23 academic </w:t>
      </w:r>
      <w:r w:rsidRPr="00691C60">
        <w:rPr>
          <w:spacing w:val="-4"/>
          <w:sz w:val="24"/>
          <w:szCs w:val="24"/>
        </w:rPr>
        <w:t xml:space="preserve">year </w:t>
      </w:r>
      <w:r w:rsidRPr="00513148">
        <w:rPr>
          <w:b w:val="0"/>
          <w:spacing w:val="-4"/>
          <w:sz w:val="24"/>
          <w:szCs w:val="24"/>
        </w:rPr>
        <w:t xml:space="preserve"> (Pupil Premium £71685 /  Recovery Premium £26000)</w:t>
      </w:r>
      <w:bookmarkStart w:id="0" w:name="_GoBack"/>
      <w:bookmarkEnd w:id="0"/>
    </w:p>
    <w:p w:rsidR="00513148" w:rsidRPr="00261696" w:rsidRDefault="00513148" w:rsidP="00513148">
      <w:pPr>
        <w:pStyle w:val="BodyText"/>
        <w:spacing w:before="242" w:line="288" w:lineRule="auto"/>
        <w:rPr>
          <w:color w:val="0D0D0D"/>
          <w:spacing w:val="-5"/>
        </w:rPr>
      </w:pPr>
      <w:r>
        <w:rPr>
          <w:color w:val="0D0D0D"/>
        </w:rPr>
        <w:t xml:space="preserve">Students receiving the PP </w:t>
      </w:r>
      <w:r>
        <w:rPr>
          <w:color w:val="0D0D0D"/>
          <w:spacing w:val="-5"/>
        </w:rPr>
        <w:t xml:space="preserve"> grant made  progress in line  with the  whole school cohort for the school year 2022/23.</w:t>
      </w:r>
    </w:p>
    <w:p w:rsidR="00513148" w:rsidRDefault="00513148" w:rsidP="00513148">
      <w:pPr>
        <w:pStyle w:val="BodyText"/>
        <w:spacing w:before="10"/>
        <w:rPr>
          <w:sz w:val="20"/>
        </w:rPr>
      </w:pPr>
    </w:p>
    <w:tbl>
      <w:tblPr>
        <w:tblStyle w:val="TableGrid"/>
        <w:tblW w:w="0" w:type="auto"/>
        <w:tblLook w:val="04A0" w:firstRow="1" w:lastRow="0" w:firstColumn="1" w:lastColumn="0" w:noHBand="0" w:noVBand="1"/>
      </w:tblPr>
      <w:tblGrid>
        <w:gridCol w:w="1851"/>
        <w:gridCol w:w="1851"/>
        <w:gridCol w:w="1852"/>
      </w:tblGrid>
      <w:tr w:rsidR="00513148" w:rsidRPr="0012779E" w:rsidTr="00D17F20">
        <w:trPr>
          <w:gridAfter w:val="2"/>
          <w:wAfter w:w="3703" w:type="dxa"/>
        </w:trPr>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b/>
                <w:color w:val="000000"/>
                <w:sz w:val="23"/>
              </w:rPr>
              <w:t>Quality of Education: IMPACT</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b/>
                <w:bCs/>
                <w:color w:val="000000"/>
              </w:rPr>
              <w:t>Subject</w:t>
            </w:r>
            <w:r w:rsidRPr="0012779E">
              <w:rPr>
                <w:rFonts w:ascii="Calibri" w:eastAsia="Calibri" w:hAnsi="Calibri" w:cs="Calibri"/>
                <w:b/>
                <w:bCs/>
                <w:color w:val="000000"/>
                <w:spacing w:val="-11"/>
              </w:rPr>
              <w:t xml:space="preserve"> </w:t>
            </w:r>
            <w:r w:rsidRPr="0012779E">
              <w:rPr>
                <w:rFonts w:ascii="Calibri" w:eastAsia="Calibri" w:hAnsi="Calibri" w:cs="Calibri"/>
                <w:b/>
                <w:bCs/>
                <w:color w:val="000000"/>
              </w:rPr>
              <w:t>/</w:t>
            </w:r>
            <w:r w:rsidRPr="0012779E">
              <w:rPr>
                <w:rFonts w:ascii="Calibri" w:eastAsia="Calibri" w:hAnsi="Calibri" w:cs="Calibri"/>
                <w:b/>
                <w:bCs/>
                <w:color w:val="000000"/>
                <w:spacing w:val="-11"/>
              </w:rPr>
              <w:t xml:space="preserve"> </w:t>
            </w:r>
            <w:r w:rsidRPr="0012779E">
              <w:rPr>
                <w:rFonts w:ascii="Calibri" w:eastAsia="Calibri" w:hAnsi="Calibri" w:cs="Calibri"/>
                <w:b/>
                <w:bCs/>
                <w:color w:val="000000"/>
                <w:spacing w:val="-4"/>
              </w:rPr>
              <w:t>Area</w:t>
            </w:r>
          </w:p>
        </w:tc>
        <w:tc>
          <w:tcPr>
            <w:tcW w:w="1852" w:type="dxa"/>
          </w:tcPr>
          <w:p w:rsidR="00513148" w:rsidRPr="0012779E" w:rsidRDefault="00513148" w:rsidP="00D17F20">
            <w:pPr>
              <w:rPr>
                <w:rFonts w:ascii="Calibri" w:eastAsia="Calibri" w:hAnsi="Calibri" w:cs="Calibri"/>
                <w:b/>
                <w:bCs/>
                <w:color w:val="000000"/>
              </w:rPr>
            </w:pPr>
            <w:r w:rsidRPr="0012779E">
              <w:rPr>
                <w:rFonts w:ascii="Calibri" w:eastAsia="Calibri" w:hAnsi="Calibri" w:cs="Calibri"/>
                <w:b/>
                <w:bCs/>
                <w:color w:val="000000"/>
              </w:rPr>
              <w:t>% Expected and Above</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Maths KS2</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69%</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English KS2 </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84%</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KS2 Maths and English PP </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Maths </w:t>
            </w:r>
            <w:r w:rsidRPr="0012779E">
              <w:rPr>
                <w:rFonts w:ascii="Calibri" w:eastAsia="Calibri" w:hAnsi="Calibri" w:cs="Calibri"/>
                <w:color w:val="000000"/>
                <w:highlight w:val="green"/>
              </w:rPr>
              <w:t>70%</w:t>
            </w:r>
          </w:p>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English </w:t>
            </w:r>
            <w:r w:rsidRPr="0012779E">
              <w:rPr>
                <w:rFonts w:ascii="Calibri" w:eastAsia="Calibri" w:hAnsi="Calibri" w:cs="Calibri"/>
                <w:color w:val="000000"/>
                <w:highlight w:val="green"/>
              </w:rPr>
              <w:t>86%</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p>
        </w:tc>
        <w:tc>
          <w:tcPr>
            <w:tcW w:w="1852" w:type="dxa"/>
          </w:tcPr>
          <w:p w:rsidR="00513148" w:rsidRPr="0012779E" w:rsidRDefault="00513148" w:rsidP="00D17F20">
            <w:pPr>
              <w:rPr>
                <w:rFonts w:ascii="Calibri" w:eastAsia="Calibri" w:hAnsi="Calibri" w:cs="Calibri"/>
                <w:color w:val="000000"/>
              </w:rPr>
            </w:pP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Maths KS3</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75%</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English KS3</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55%</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KS3 Maths and English PP </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Maths </w:t>
            </w:r>
            <w:r w:rsidRPr="0012779E">
              <w:rPr>
                <w:rFonts w:ascii="Calibri" w:eastAsia="Calibri" w:hAnsi="Calibri" w:cs="Calibri"/>
                <w:color w:val="000000"/>
                <w:highlight w:val="green"/>
              </w:rPr>
              <w:t>77%</w:t>
            </w:r>
          </w:p>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English </w:t>
            </w:r>
            <w:r w:rsidRPr="0012779E">
              <w:rPr>
                <w:rFonts w:ascii="Calibri" w:eastAsia="Calibri" w:hAnsi="Calibri" w:cs="Calibri"/>
                <w:color w:val="000000"/>
                <w:highlight w:val="yellow"/>
              </w:rPr>
              <w:t>53%</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p>
        </w:tc>
        <w:tc>
          <w:tcPr>
            <w:tcW w:w="1852" w:type="dxa"/>
          </w:tcPr>
          <w:p w:rsidR="00513148" w:rsidRPr="0012779E" w:rsidRDefault="00513148" w:rsidP="00D17F20">
            <w:pPr>
              <w:rPr>
                <w:rFonts w:ascii="Calibri" w:eastAsia="Calibri" w:hAnsi="Calibri" w:cs="Calibri"/>
                <w:color w:val="000000"/>
              </w:rPr>
            </w:pP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Maths KS4</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70%</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English KS4 </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47%</w:t>
            </w:r>
          </w:p>
        </w:tc>
      </w:tr>
      <w:tr w:rsidR="00513148" w:rsidRPr="0012779E" w:rsidTr="00D17F20">
        <w:tc>
          <w:tcPr>
            <w:tcW w:w="1851" w:type="dxa"/>
          </w:tcPr>
          <w:p w:rsidR="00513148" w:rsidRPr="0012779E" w:rsidRDefault="00513148" w:rsidP="00D17F20">
            <w:pPr>
              <w:rPr>
                <w:rFonts w:ascii="Calibri" w:eastAsia="Calibri" w:hAnsi="Calibri" w:cs="Calibri"/>
                <w:color w:val="000000"/>
              </w:rPr>
            </w:pPr>
          </w:p>
        </w:tc>
        <w:tc>
          <w:tcPr>
            <w:tcW w:w="1851"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KS4 Maths and English PP </w:t>
            </w:r>
          </w:p>
        </w:tc>
        <w:tc>
          <w:tcPr>
            <w:tcW w:w="1852" w:type="dxa"/>
          </w:tcPr>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Maths </w:t>
            </w:r>
            <w:r w:rsidRPr="0012779E">
              <w:rPr>
                <w:rFonts w:ascii="Calibri" w:eastAsia="Calibri" w:hAnsi="Calibri" w:cs="Calibri"/>
                <w:color w:val="000000"/>
                <w:highlight w:val="green"/>
              </w:rPr>
              <w:t>71%</w:t>
            </w:r>
          </w:p>
          <w:p w:rsidR="00513148" w:rsidRPr="0012779E" w:rsidRDefault="00513148" w:rsidP="00D17F20">
            <w:pPr>
              <w:rPr>
                <w:rFonts w:ascii="Calibri" w:eastAsia="Calibri" w:hAnsi="Calibri" w:cs="Calibri"/>
                <w:color w:val="000000"/>
              </w:rPr>
            </w:pPr>
            <w:r w:rsidRPr="0012779E">
              <w:rPr>
                <w:rFonts w:ascii="Calibri" w:eastAsia="Calibri" w:hAnsi="Calibri" w:cs="Calibri"/>
                <w:color w:val="000000"/>
              </w:rPr>
              <w:t xml:space="preserve">English </w:t>
            </w:r>
            <w:r w:rsidRPr="0012779E">
              <w:rPr>
                <w:rFonts w:ascii="Calibri" w:eastAsia="Calibri" w:hAnsi="Calibri" w:cs="Calibri"/>
                <w:color w:val="000000"/>
                <w:highlight w:val="yellow"/>
              </w:rPr>
              <w:t>43%</w:t>
            </w:r>
          </w:p>
        </w:tc>
      </w:tr>
    </w:tbl>
    <w:p w:rsidR="00513148" w:rsidRDefault="00513148" w:rsidP="00513148">
      <w:pPr>
        <w:pStyle w:val="BodyText"/>
        <w:spacing w:before="10"/>
        <w:rPr>
          <w:sz w:val="20"/>
        </w:rPr>
      </w:pPr>
    </w:p>
    <w:p w:rsidR="00513148" w:rsidRDefault="00513148" w:rsidP="00513148">
      <w:pPr>
        <w:pStyle w:val="BodyText"/>
        <w:spacing w:before="10"/>
        <w:rPr>
          <w:sz w:val="20"/>
        </w:rPr>
      </w:pPr>
    </w:p>
    <w:p w:rsidR="00513148" w:rsidRPr="00261696" w:rsidRDefault="00513148" w:rsidP="00513148">
      <w:pPr>
        <w:pStyle w:val="BodyText"/>
        <w:spacing w:before="10"/>
      </w:pPr>
      <w:r w:rsidRPr="00261696">
        <w:t>Behavioural Dat</w:t>
      </w:r>
      <w:r>
        <w:t>a</w:t>
      </w:r>
      <w:r w:rsidRPr="00261696">
        <w:t xml:space="preserve"> </w:t>
      </w:r>
      <w:r>
        <w:t>shows</w:t>
      </w:r>
      <w:r w:rsidRPr="00261696">
        <w:t xml:space="preserve"> that the number of RPIs and negative  slips </w:t>
      </w:r>
      <w:r>
        <w:t xml:space="preserve">for </w:t>
      </w:r>
      <w:r w:rsidRPr="00261696">
        <w:t xml:space="preserve">PP students </w:t>
      </w:r>
    </w:p>
    <w:p w:rsidR="00513148" w:rsidRDefault="00513148" w:rsidP="00513148">
      <w:pPr>
        <w:rPr>
          <w:sz w:val="24"/>
          <w:szCs w:val="24"/>
        </w:rPr>
      </w:pPr>
      <w:r>
        <w:rPr>
          <w:sz w:val="24"/>
          <w:szCs w:val="24"/>
        </w:rPr>
        <w:t>r</w:t>
      </w:r>
      <w:r w:rsidRPr="00261696">
        <w:rPr>
          <w:sz w:val="24"/>
          <w:szCs w:val="24"/>
        </w:rPr>
        <w:t xml:space="preserve">educed over the </w:t>
      </w:r>
      <w:r>
        <w:rPr>
          <w:sz w:val="24"/>
          <w:szCs w:val="24"/>
        </w:rPr>
        <w:t xml:space="preserve">academic </w:t>
      </w:r>
      <w:r w:rsidRPr="00261696">
        <w:rPr>
          <w:sz w:val="24"/>
          <w:szCs w:val="24"/>
        </w:rPr>
        <w:t>year</w:t>
      </w:r>
      <w:r>
        <w:rPr>
          <w:sz w:val="24"/>
          <w:szCs w:val="24"/>
        </w:rPr>
        <w:t xml:space="preserve"> 2022/23  on each of the  school sites.</w:t>
      </w:r>
    </w:p>
    <w:p w:rsidR="00513148" w:rsidRDefault="00513148" w:rsidP="00513148">
      <w:pPr>
        <w:rPr>
          <w:sz w:val="24"/>
          <w:szCs w:val="24"/>
        </w:rPr>
      </w:pPr>
    </w:p>
    <w:p w:rsidR="00513148" w:rsidRDefault="00513148" w:rsidP="00513148">
      <w:pPr>
        <w:rPr>
          <w:sz w:val="24"/>
          <w:szCs w:val="24"/>
        </w:rPr>
      </w:pPr>
    </w:p>
    <w:p w:rsidR="00513148" w:rsidRDefault="00513148" w:rsidP="00513148">
      <w:pPr>
        <w:rPr>
          <w:sz w:val="24"/>
          <w:szCs w:val="24"/>
        </w:rPr>
      </w:pPr>
      <w:r w:rsidRPr="00C5497E">
        <w:rPr>
          <w:noProof/>
          <w:sz w:val="24"/>
          <w:szCs w:val="24"/>
          <w:lang w:val="en-GB" w:eastAsia="en-GB"/>
        </w:rPr>
        <w:drawing>
          <wp:inline distT="0" distB="0" distL="0" distR="0" wp14:anchorId="26A7CA1C" wp14:editId="0E014CAC">
            <wp:extent cx="3227799"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1697" cy="1388444"/>
                    </a:xfrm>
                    <a:prstGeom prst="rect">
                      <a:avLst/>
                    </a:prstGeom>
                  </pic:spPr>
                </pic:pic>
              </a:graphicData>
            </a:graphic>
          </wp:inline>
        </w:drawing>
      </w:r>
    </w:p>
    <w:p w:rsidR="00513148" w:rsidRDefault="00513148" w:rsidP="00513148">
      <w:pPr>
        <w:rPr>
          <w:sz w:val="24"/>
          <w:szCs w:val="24"/>
        </w:rPr>
      </w:pPr>
      <w:r>
        <w:rPr>
          <w:sz w:val="24"/>
          <w:szCs w:val="24"/>
        </w:rPr>
        <w:t xml:space="preserve"> </w:t>
      </w:r>
    </w:p>
    <w:p w:rsidR="00513148" w:rsidRDefault="00513148" w:rsidP="00513148">
      <w:pPr>
        <w:rPr>
          <w:sz w:val="24"/>
          <w:szCs w:val="24"/>
        </w:rPr>
      </w:pPr>
      <w:r>
        <w:rPr>
          <w:sz w:val="24"/>
          <w:szCs w:val="24"/>
        </w:rPr>
        <w:t>Furthermore the number of RPIs for  those students eligible for PP were proportionately lower than those of the rest of the school. As a ‘broad overview’,  PP is received by approx.. 80% of students and they accounted for approx. 60% of RPIs</w:t>
      </w:r>
    </w:p>
    <w:p w:rsidR="00513148" w:rsidRDefault="00513148" w:rsidP="00513148">
      <w:pPr>
        <w:rPr>
          <w:sz w:val="24"/>
          <w:szCs w:val="24"/>
        </w:rPr>
      </w:pPr>
    </w:p>
    <w:p w:rsidR="00513148" w:rsidRDefault="00513148" w:rsidP="00513148">
      <w:pPr>
        <w:rPr>
          <w:sz w:val="24"/>
          <w:szCs w:val="24"/>
        </w:rPr>
      </w:pPr>
    </w:p>
    <w:p w:rsidR="00513148" w:rsidRPr="00261696" w:rsidRDefault="00513148" w:rsidP="00513148">
      <w:pPr>
        <w:rPr>
          <w:sz w:val="24"/>
          <w:szCs w:val="24"/>
        </w:rPr>
        <w:sectPr w:rsidR="00513148" w:rsidRPr="00261696">
          <w:pgSz w:w="11910" w:h="16840"/>
          <w:pgMar w:top="1420" w:right="1160" w:bottom="980" w:left="1020" w:header="0" w:footer="780" w:gutter="0"/>
          <w:cols w:space="720"/>
        </w:sectPr>
      </w:pPr>
      <w:r>
        <w:rPr>
          <w:sz w:val="24"/>
          <w:szCs w:val="24"/>
        </w:rPr>
        <w:t xml:space="preserve">This demonstrates that interventions linked to PP   have ensured that  the most disadvantaged students do not  fall behind  their peers academically  and have additional protective factors in place which  have improved their levels of self regulation. </w:t>
      </w:r>
    </w:p>
    <w:p w:rsidR="00513148" w:rsidRDefault="00513148" w:rsidP="00513148">
      <w:pPr>
        <w:ind w:firstLine="720"/>
      </w:pPr>
    </w:p>
    <w:p w:rsidR="00513148" w:rsidRDefault="00513148" w:rsidP="00513148"/>
    <w:p w:rsidR="00513148" w:rsidRPr="00513148" w:rsidRDefault="00513148" w:rsidP="00513148">
      <w:pPr>
        <w:sectPr w:rsidR="00513148" w:rsidRPr="00513148" w:rsidSect="00513148">
          <w:pgSz w:w="11910" w:h="16840"/>
          <w:pgMar w:top="1038" w:right="1162" w:bottom="981" w:left="1021" w:header="0" w:footer="782" w:gutter="0"/>
          <w:cols w:space="720"/>
        </w:sectPr>
      </w:pPr>
    </w:p>
    <w:p w:rsidR="006C1A2C" w:rsidRDefault="006C1A2C" w:rsidP="006C1A2C">
      <w:pPr>
        <w:sectPr w:rsidR="006C1A2C" w:rsidSect="00513148">
          <w:pgSz w:w="11910" w:h="16840"/>
          <w:pgMar w:top="1038" w:right="1162" w:bottom="981" w:left="1021" w:header="0" w:footer="782" w:gutter="0"/>
          <w:cols w:space="720"/>
        </w:sectPr>
      </w:pPr>
    </w:p>
    <w:p w:rsidR="006C1A2C" w:rsidRDefault="006C1A2C" w:rsidP="006C1A2C"/>
    <w:sectPr w:rsidR="006C1A2C" w:rsidSect="00513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1"/>
    <w:rsid w:val="00391051"/>
    <w:rsid w:val="00513148"/>
    <w:rsid w:val="00691C60"/>
    <w:rsid w:val="006C1A2C"/>
    <w:rsid w:val="00AA7EFB"/>
    <w:rsid w:val="00C0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14E"/>
  <w15:chartTrackingRefBased/>
  <w15:docId w15:val="{6BA74309-C1ED-4458-8ECB-CF9DBEBF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1051"/>
    <w:pPr>
      <w:widowControl w:val="0"/>
      <w:autoSpaceDE w:val="0"/>
      <w:autoSpaceDN w:val="0"/>
      <w:spacing w:after="0" w:line="240" w:lineRule="auto"/>
    </w:pPr>
    <w:rPr>
      <w:rFonts w:ascii="Arial" w:eastAsia="Arial" w:hAnsi="Arial" w:cs="Arial"/>
      <w:sz w:val="22"/>
      <w:lang w:val="en-US"/>
    </w:rPr>
  </w:style>
  <w:style w:type="paragraph" w:styleId="Heading1">
    <w:name w:val="heading 1"/>
    <w:basedOn w:val="Normal"/>
    <w:link w:val="Heading1Char"/>
    <w:uiPriority w:val="1"/>
    <w:qFormat/>
    <w:rsid w:val="00391051"/>
    <w:pPr>
      <w:spacing w:before="68"/>
      <w:ind w:left="112"/>
      <w:outlineLvl w:val="0"/>
    </w:pPr>
    <w:rPr>
      <w:b/>
      <w:bCs/>
      <w:sz w:val="36"/>
      <w:szCs w:val="36"/>
    </w:rPr>
  </w:style>
  <w:style w:type="paragraph" w:styleId="Heading2">
    <w:name w:val="heading 2"/>
    <w:basedOn w:val="Normal"/>
    <w:next w:val="Normal"/>
    <w:link w:val="Heading2Char"/>
    <w:uiPriority w:val="9"/>
    <w:unhideWhenUsed/>
    <w:qFormat/>
    <w:rsid w:val="006C1A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051"/>
    <w:rPr>
      <w:rFonts w:ascii="Arial" w:eastAsia="Arial" w:hAnsi="Arial" w:cs="Arial"/>
      <w:b/>
      <w:bCs/>
      <w:sz w:val="36"/>
      <w:szCs w:val="36"/>
      <w:lang w:val="en-US"/>
    </w:rPr>
  </w:style>
  <w:style w:type="paragraph" w:styleId="BodyText">
    <w:name w:val="Body Text"/>
    <w:basedOn w:val="Normal"/>
    <w:link w:val="BodyTextChar"/>
    <w:uiPriority w:val="1"/>
    <w:qFormat/>
    <w:rsid w:val="00391051"/>
    <w:rPr>
      <w:sz w:val="24"/>
      <w:szCs w:val="24"/>
    </w:rPr>
  </w:style>
  <w:style w:type="character" w:customStyle="1" w:styleId="BodyTextChar">
    <w:name w:val="Body Text Char"/>
    <w:basedOn w:val="DefaultParagraphFont"/>
    <w:link w:val="BodyText"/>
    <w:uiPriority w:val="1"/>
    <w:rsid w:val="00391051"/>
    <w:rPr>
      <w:rFonts w:ascii="Arial" w:eastAsia="Arial" w:hAnsi="Arial" w:cs="Arial"/>
      <w:szCs w:val="24"/>
      <w:lang w:val="en-US"/>
    </w:rPr>
  </w:style>
  <w:style w:type="paragraph" w:customStyle="1" w:styleId="TableParagraph">
    <w:name w:val="Table Paragraph"/>
    <w:basedOn w:val="Normal"/>
    <w:uiPriority w:val="1"/>
    <w:qFormat/>
    <w:rsid w:val="00391051"/>
    <w:pPr>
      <w:spacing w:before="55"/>
      <w:ind w:left="168"/>
    </w:pPr>
  </w:style>
  <w:style w:type="character" w:styleId="Hyperlink">
    <w:name w:val="Hyperlink"/>
    <w:basedOn w:val="DefaultParagraphFont"/>
    <w:uiPriority w:val="99"/>
    <w:unhideWhenUsed/>
    <w:rsid w:val="006C1A2C"/>
    <w:rPr>
      <w:color w:val="0563C1" w:themeColor="hyperlink"/>
      <w:u w:val="single"/>
    </w:rPr>
  </w:style>
  <w:style w:type="table" w:styleId="TableGrid">
    <w:name w:val="Table Grid"/>
    <w:basedOn w:val="TableNormal"/>
    <w:uiPriority w:val="39"/>
    <w:rsid w:val="006C1A2C"/>
    <w:pPr>
      <w:spacing w:after="0" w:line="240" w:lineRule="auto"/>
    </w:pPr>
    <w:rPr>
      <w:rFonts w:asciiTheme="minorHAnsi" w:eastAsia="Times New Roman"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1A2C"/>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ltl.org.uk/wp-content/uploads/2020/05/ofsted-learning-outside-the-classroom.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/Pupil premium strategy statement</vt:lpstr>
      <vt:lpstr>    Activity 2023/24       Budget: £125979</vt:lpstr>
      <vt:lpstr>Impact of Grant  Allocation in the 2022/23 academic year  (Pupil Premium £71685 </vt:lpstr>
    </vt:vector>
  </TitlesOfParts>
  <Company>Staffs-Tech</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Toplass</dc:creator>
  <cp:keywords/>
  <dc:description/>
  <cp:lastModifiedBy>Neil Toplass</cp:lastModifiedBy>
  <cp:revision>1</cp:revision>
  <dcterms:created xsi:type="dcterms:W3CDTF">2023-11-20T10:17:00Z</dcterms:created>
  <dcterms:modified xsi:type="dcterms:W3CDTF">2023-11-20T11:46:00Z</dcterms:modified>
</cp:coreProperties>
</file>