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ECC" w:rsidRPr="00EA536C" w:rsidRDefault="00E456D7" w:rsidP="00EA536C">
      <w:pPr>
        <w:pStyle w:val="IntenseQuote"/>
        <w:rPr>
          <w:sz w:val="28"/>
          <w:szCs w:val="28"/>
        </w:rPr>
      </w:pPr>
      <w:bookmarkStart w:id="0" w:name="_GoBack"/>
      <w:bookmarkEnd w:id="0"/>
      <w:r>
        <w:rPr>
          <w:sz w:val="28"/>
          <w:szCs w:val="28"/>
        </w:rPr>
        <w:t xml:space="preserve">Review of </w:t>
      </w:r>
      <w:r w:rsidR="00EA536C" w:rsidRPr="00EA536C">
        <w:rPr>
          <w:sz w:val="28"/>
          <w:szCs w:val="28"/>
        </w:rPr>
        <w:t>Equality objectives</w:t>
      </w:r>
      <w:r>
        <w:rPr>
          <w:sz w:val="28"/>
          <w:szCs w:val="28"/>
        </w:rPr>
        <w:t xml:space="preserve"> – Jan 202</w:t>
      </w:r>
      <w:r w:rsidR="001E5BDC">
        <w:rPr>
          <w:sz w:val="28"/>
          <w:szCs w:val="28"/>
        </w:rPr>
        <w:t>5</w:t>
      </w:r>
    </w:p>
    <w:p w:rsidR="00B93080" w:rsidRDefault="00B93080" w:rsidP="00B93080">
      <w:pPr>
        <w:ind w:hanging="2"/>
      </w:pPr>
      <w:r>
        <w:rPr>
          <w:rFonts w:asciiTheme="majorHAnsi" w:eastAsiaTheme="majorEastAsia" w:hAnsiTheme="majorHAnsi" w:cs="Arial"/>
          <w:b/>
          <w:i/>
          <w:color w:val="2E74B5" w:themeColor="accent1" w:themeShade="BF"/>
          <w:sz w:val="24"/>
          <w:szCs w:val="24"/>
        </w:rPr>
        <w:t>Objective 1</w:t>
      </w:r>
      <w:r w:rsidRPr="00B93080">
        <w:rPr>
          <w:rFonts w:asciiTheme="majorHAnsi" w:eastAsiaTheme="majorEastAsia" w:hAnsiTheme="majorHAnsi" w:cs="Arial"/>
          <w:b/>
          <w:i/>
          <w:color w:val="2E74B5" w:themeColor="accent1" w:themeShade="BF"/>
          <w:sz w:val="24"/>
          <w:szCs w:val="24"/>
        </w:rPr>
        <w:t>:</w:t>
      </w:r>
      <w:r w:rsidRPr="00EA536C">
        <w:rPr>
          <w:rFonts w:cs="Arial"/>
          <w:b/>
          <w:i/>
          <w:sz w:val="24"/>
          <w:szCs w:val="24"/>
        </w:rPr>
        <w:t xml:space="preserve"> </w:t>
      </w:r>
      <w:r w:rsidRPr="00B93080">
        <w:rPr>
          <w:rFonts w:asciiTheme="majorHAnsi" w:eastAsiaTheme="majorEastAsia" w:hAnsiTheme="majorHAnsi" w:cstheme="majorBidi"/>
          <w:color w:val="2E74B5" w:themeColor="accent1" w:themeShade="BF"/>
          <w:sz w:val="24"/>
          <w:szCs w:val="24"/>
        </w:rPr>
        <w:t>To improve knowledge, skills and attitudes of pupils to enable them to appreciate and value difference and diversity.</w:t>
      </w:r>
      <w:r>
        <w:t xml:space="preserve">  </w:t>
      </w:r>
    </w:p>
    <w:tbl>
      <w:tblPr>
        <w:tblStyle w:val="TableGrid"/>
        <w:tblW w:w="0" w:type="auto"/>
        <w:tblLook w:val="04A0" w:firstRow="1" w:lastRow="0" w:firstColumn="1" w:lastColumn="0" w:noHBand="0" w:noVBand="1"/>
      </w:tblPr>
      <w:tblGrid>
        <w:gridCol w:w="3964"/>
        <w:gridCol w:w="6492"/>
      </w:tblGrid>
      <w:tr w:rsidR="00700E9B" w:rsidTr="004B1D28">
        <w:tc>
          <w:tcPr>
            <w:tcW w:w="3964" w:type="dxa"/>
          </w:tcPr>
          <w:p w:rsidR="00700E9B" w:rsidRDefault="00700E9B" w:rsidP="00700E9B">
            <w:r>
              <w:t>To achieve this objective we plan to:</w:t>
            </w:r>
          </w:p>
        </w:tc>
        <w:tc>
          <w:tcPr>
            <w:tcW w:w="6492" w:type="dxa"/>
          </w:tcPr>
          <w:p w:rsidR="00700E9B" w:rsidRDefault="00700E9B" w:rsidP="00700E9B">
            <w:pPr>
              <w:ind w:hanging="2"/>
            </w:pPr>
            <w:r>
              <w:t>Progress we are making towards this objective:</w:t>
            </w:r>
          </w:p>
        </w:tc>
      </w:tr>
      <w:tr w:rsidR="00700E9B" w:rsidTr="004B1D28">
        <w:tc>
          <w:tcPr>
            <w:tcW w:w="3964" w:type="dxa"/>
          </w:tcPr>
          <w:p w:rsidR="00700E9B" w:rsidRPr="00700E9B" w:rsidRDefault="00700E9B" w:rsidP="00700E9B">
            <w:pPr>
              <w:pStyle w:val="ListParagraph"/>
              <w:numPr>
                <w:ilvl w:val="0"/>
                <w:numId w:val="11"/>
              </w:numPr>
              <w:suppressAutoHyphens/>
              <w:spacing w:after="0" w:line="1" w:lineRule="atLeast"/>
              <w:textDirection w:val="btLr"/>
              <w:textAlignment w:val="top"/>
              <w:outlineLvl w:val="0"/>
              <w:rPr>
                <w:rFonts w:asciiTheme="minorHAnsi" w:eastAsiaTheme="minorHAnsi" w:hAnsiTheme="minorHAnsi" w:cstheme="minorBidi"/>
                <w:sz w:val="22"/>
                <w:szCs w:val="22"/>
                <w:lang w:val="en-GB"/>
              </w:rPr>
            </w:pPr>
            <w:r w:rsidRPr="00700E9B">
              <w:rPr>
                <w:rFonts w:asciiTheme="minorHAnsi" w:eastAsiaTheme="minorHAnsi" w:hAnsiTheme="minorHAnsi" w:cstheme="minorBidi"/>
                <w:sz w:val="22"/>
                <w:szCs w:val="22"/>
                <w:lang w:val="en-GB"/>
              </w:rPr>
              <w:t>Explicit teaching within PSHE and RSE curriculum</w:t>
            </w:r>
          </w:p>
          <w:p w:rsidR="00700E9B" w:rsidRPr="00700E9B" w:rsidRDefault="00700E9B" w:rsidP="00700E9B">
            <w:pPr>
              <w:pStyle w:val="ListParagraph"/>
              <w:numPr>
                <w:ilvl w:val="0"/>
                <w:numId w:val="11"/>
              </w:numPr>
              <w:suppressAutoHyphens/>
              <w:spacing w:before="0" w:after="0" w:line="1" w:lineRule="atLeast"/>
              <w:textDirection w:val="btLr"/>
              <w:textAlignment w:val="top"/>
              <w:outlineLvl w:val="0"/>
              <w:rPr>
                <w:rFonts w:asciiTheme="minorHAnsi" w:eastAsiaTheme="minorHAnsi" w:hAnsiTheme="minorHAnsi" w:cstheme="minorBidi"/>
                <w:sz w:val="22"/>
                <w:szCs w:val="22"/>
                <w:lang w:val="en-GB"/>
              </w:rPr>
            </w:pPr>
            <w:r w:rsidRPr="00700E9B">
              <w:rPr>
                <w:rFonts w:asciiTheme="minorHAnsi" w:eastAsiaTheme="minorHAnsi" w:hAnsiTheme="minorHAnsi" w:cstheme="minorBidi"/>
                <w:sz w:val="22"/>
                <w:szCs w:val="22"/>
                <w:lang w:val="en-GB"/>
              </w:rPr>
              <w:t xml:space="preserve">Develop JS curriculum around middot to celebrate difference and diversity within our own and wider communities. </w:t>
            </w:r>
          </w:p>
          <w:p w:rsidR="00700E9B" w:rsidRPr="00C23A8F" w:rsidRDefault="00700E9B" w:rsidP="00700E9B">
            <w:pPr>
              <w:pStyle w:val="ListParagraph"/>
              <w:numPr>
                <w:ilvl w:val="0"/>
                <w:numId w:val="11"/>
              </w:numPr>
              <w:suppressAutoHyphens/>
              <w:spacing w:before="0" w:after="0" w:line="1" w:lineRule="atLeast"/>
              <w:textAlignment w:val="top"/>
              <w:outlineLvl w:val="0"/>
            </w:pPr>
            <w:r w:rsidRPr="00700E9B">
              <w:rPr>
                <w:rFonts w:asciiTheme="minorHAnsi" w:eastAsiaTheme="minorHAnsi" w:hAnsiTheme="minorHAnsi" w:cstheme="minorBidi"/>
                <w:sz w:val="22"/>
                <w:szCs w:val="22"/>
                <w:lang w:val="en-GB"/>
              </w:rPr>
              <w:t>To increase opportunities across the curriculum for example through book choices, authors, key scientists, music and visitors, assemblies.</w:t>
            </w:r>
          </w:p>
          <w:p w:rsidR="00C23A8F" w:rsidRDefault="00C23A8F" w:rsidP="00C23A8F">
            <w:pPr>
              <w:suppressAutoHyphens/>
              <w:spacing w:line="1" w:lineRule="atLeast"/>
              <w:textAlignment w:val="top"/>
              <w:outlineLvl w:val="0"/>
            </w:pPr>
          </w:p>
          <w:p w:rsidR="00C23A8F" w:rsidRDefault="00C23A8F" w:rsidP="00C23A8F">
            <w:pPr>
              <w:suppressAutoHyphens/>
              <w:spacing w:line="1" w:lineRule="atLeast"/>
              <w:textAlignment w:val="top"/>
              <w:outlineLvl w:val="0"/>
            </w:pPr>
          </w:p>
          <w:p w:rsidR="00C23A8F" w:rsidRDefault="00C23A8F" w:rsidP="00C23A8F">
            <w:pPr>
              <w:suppressAutoHyphens/>
              <w:spacing w:line="1" w:lineRule="atLeast"/>
              <w:textAlignment w:val="top"/>
              <w:outlineLvl w:val="0"/>
            </w:pPr>
            <w:r>
              <w:t>Ofsted (Nov 24) said:</w:t>
            </w:r>
          </w:p>
          <w:p w:rsidR="00C23A8F" w:rsidRPr="00C23A8F" w:rsidRDefault="00C23A8F" w:rsidP="00C23A8F">
            <w:pPr>
              <w:pStyle w:val="Default"/>
              <w:rPr>
                <w:rFonts w:asciiTheme="majorHAnsi" w:eastAsiaTheme="majorEastAsia" w:hAnsiTheme="majorHAnsi" w:cstheme="majorBidi"/>
                <w:color w:val="2E74B5" w:themeColor="accent1" w:themeShade="BF"/>
              </w:rPr>
            </w:pPr>
            <w:r w:rsidRPr="00C23A8F">
              <w:rPr>
                <w:rFonts w:asciiTheme="majorHAnsi" w:eastAsiaTheme="majorEastAsia" w:hAnsiTheme="majorHAnsi" w:cstheme="majorBidi"/>
                <w:color w:val="2E74B5" w:themeColor="accent1" w:themeShade="BF"/>
              </w:rPr>
              <w:t xml:space="preserve">The school provides many opportunities for pupils to develop personally. Through their learning, pupils show great respect for different faiths. Pupils have a full understanding of healthy relationships and lifestyles. They speak about supporting each other’s mental health. Pupils self-refer themselves to therapy and see this as a positive way of handling any worries. They value reading to the school’s two therapy dogs. Pupils feel safe and know how to stay safe on and offline. Pupils democratically vote for their leaders in school. This prepares them well for life in modern Britain. </w:t>
            </w:r>
          </w:p>
          <w:p w:rsidR="00C23A8F" w:rsidRDefault="00C23A8F" w:rsidP="00C23A8F">
            <w:pPr>
              <w:suppressAutoHyphens/>
              <w:spacing w:line="1" w:lineRule="atLeast"/>
              <w:textAlignment w:val="top"/>
              <w:outlineLvl w:val="0"/>
            </w:pPr>
          </w:p>
        </w:tc>
        <w:tc>
          <w:tcPr>
            <w:tcW w:w="6492" w:type="dxa"/>
          </w:tcPr>
          <w:p w:rsidR="00624E81" w:rsidRPr="00C23A8F" w:rsidRDefault="00C23A8F" w:rsidP="00624E81">
            <w:r w:rsidRPr="00C23A8F">
              <w:t xml:space="preserve">Valuing Difference continues to be taught through our spiral PSHE curriculum </w:t>
            </w:r>
            <w:r w:rsidR="00624E81" w:rsidRPr="00C23A8F">
              <w:t xml:space="preserve">from Nursery all the way through to Year 6 is. </w:t>
            </w:r>
            <w:r w:rsidRPr="00C23A8F">
              <w:t xml:space="preserve">This approach has allowed us to build up children’s skills and understanding. Through this theme children will explore their family and friends, looking at similarities and differences, being kind and caring, respect and challenge, the people we share the world with, It’s ok to be different, tolerance and respect, challenging gender stereotypes. </w:t>
            </w:r>
          </w:p>
          <w:p w:rsidR="005D4ADB" w:rsidRDefault="005D4ADB" w:rsidP="005D4ADB">
            <w:pPr>
              <w:pStyle w:val="NormalWeb"/>
              <w:rPr>
                <w:rFonts w:ascii="Calibri" w:hAnsi="Calibri" w:cs="Calibri"/>
                <w:color w:val="000000"/>
                <w:sz w:val="22"/>
                <w:szCs w:val="22"/>
              </w:rPr>
            </w:pPr>
            <w:r>
              <w:rPr>
                <w:rFonts w:ascii="Calibri" w:hAnsi="Calibri" w:cs="Calibri"/>
                <w:color w:val="000000"/>
                <w:sz w:val="22"/>
                <w:szCs w:val="22"/>
                <w:shd w:val="clear" w:color="auto" w:fill="FFFFFF"/>
              </w:rPr>
              <w:t xml:space="preserve">One of the strands of the JS curriculum is learning the weekly Torah portion with its related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/value. It is a spiral curriculum building on knowledge each year and the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/value changes depending on that year group's Torah portion focus. Children are able to explain how the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 we learn is related to their own lives. </w:t>
            </w:r>
          </w:p>
          <w:p w:rsidR="005D4ADB" w:rsidRDefault="005D4ADB" w:rsidP="005D4ADB">
            <w:pPr>
              <w:pStyle w:val="NormalWeb"/>
              <w:rPr>
                <w:rFonts w:ascii="Calibri" w:hAnsi="Calibri" w:cs="Calibri"/>
                <w:color w:val="000000"/>
                <w:sz w:val="22"/>
                <w:szCs w:val="22"/>
              </w:rPr>
            </w:pPr>
            <w:r>
              <w:rPr>
                <w:rFonts w:ascii="Calibri" w:hAnsi="Calibri" w:cs="Calibri"/>
                <w:color w:val="000000"/>
                <w:sz w:val="22"/>
                <w:szCs w:val="22"/>
                <w:shd w:val="clear" w:color="auto" w:fill="FFFFFF"/>
              </w:rPr>
              <w:t xml:space="preserve">Examples of this are as follows; Y2 </w:t>
            </w:r>
            <w:proofErr w:type="spellStart"/>
            <w:r>
              <w:rPr>
                <w:rFonts w:ascii="Calibri" w:hAnsi="Calibri" w:cs="Calibri"/>
                <w:color w:val="000000"/>
                <w:sz w:val="22"/>
                <w:szCs w:val="22"/>
                <w:shd w:val="clear" w:color="auto" w:fill="FFFFFF"/>
              </w:rPr>
              <w:t>Vayechi</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 recognising that each member of a family is different and special, Y3 </w:t>
            </w:r>
            <w:proofErr w:type="spellStart"/>
            <w:r>
              <w:rPr>
                <w:rFonts w:ascii="Calibri" w:hAnsi="Calibri" w:cs="Calibri"/>
                <w:color w:val="000000"/>
                <w:sz w:val="22"/>
                <w:szCs w:val="22"/>
                <w:shd w:val="clear" w:color="auto" w:fill="FFFFFF"/>
              </w:rPr>
              <w:t>Mishpatim</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 sensitivity to strangers, Y4 </w:t>
            </w:r>
            <w:proofErr w:type="spellStart"/>
            <w:r>
              <w:rPr>
                <w:rFonts w:ascii="Calibri" w:hAnsi="Calibri" w:cs="Calibri"/>
                <w:color w:val="000000"/>
                <w:sz w:val="22"/>
                <w:szCs w:val="22"/>
                <w:shd w:val="clear" w:color="auto" w:fill="FFFFFF"/>
              </w:rPr>
              <w:t>Vayigash</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 making strangers feel welcome, Y6 </w:t>
            </w:r>
            <w:proofErr w:type="spellStart"/>
            <w:r>
              <w:rPr>
                <w:rFonts w:ascii="Calibri" w:hAnsi="Calibri" w:cs="Calibri"/>
                <w:color w:val="000000"/>
                <w:sz w:val="22"/>
                <w:szCs w:val="22"/>
                <w:shd w:val="clear" w:color="auto" w:fill="FFFFFF"/>
              </w:rPr>
              <w:t>Balak</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acknowledging our differences and living accordingly.</w:t>
            </w:r>
          </w:p>
          <w:p w:rsidR="005D4ADB" w:rsidRDefault="005D4ADB" w:rsidP="005D4ADB">
            <w:pPr>
              <w:pStyle w:val="NormalWeb"/>
              <w:jc w:val="both"/>
              <w:rPr>
                <w:rFonts w:ascii="Calibri" w:hAnsi="Calibri" w:cs="Calibri"/>
                <w:color w:val="000000"/>
              </w:rPr>
            </w:pPr>
            <w:r>
              <w:rPr>
                <w:rFonts w:ascii="Calibri" w:hAnsi="Calibri" w:cs="Calibri"/>
                <w:color w:val="000000"/>
                <w:sz w:val="22"/>
                <w:szCs w:val="22"/>
                <w:shd w:val="clear" w:color="auto" w:fill="FFFFFF"/>
              </w:rPr>
              <w:t>We have continued our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 of the Month’ initiative. So far this year, we have had kindness, gratitude, respect and we are currently working on responsibility with a focus on the environment.   We encourage the children to foster a deep sense of inclusivity and appreciation for diversity within our own community and beyond when looking at these values.  The </w:t>
            </w:r>
            <w:proofErr w:type="spellStart"/>
            <w:r>
              <w:rPr>
                <w:rFonts w:ascii="Calibri" w:hAnsi="Calibri" w:cs="Calibri"/>
                <w:color w:val="000000"/>
                <w:sz w:val="22"/>
                <w:szCs w:val="22"/>
                <w:shd w:val="clear" w:color="auto" w:fill="FFFFFF"/>
              </w:rPr>
              <w:t>middah</w:t>
            </w:r>
            <w:proofErr w:type="spellEnd"/>
            <w:r>
              <w:rPr>
                <w:rFonts w:ascii="Calibri" w:hAnsi="Calibri" w:cs="Calibri"/>
                <w:color w:val="000000"/>
                <w:sz w:val="22"/>
                <w:szCs w:val="22"/>
                <w:shd w:val="clear" w:color="auto" w:fill="FFFFFF"/>
              </w:rPr>
              <w:t xml:space="preserve"> of the month is woven into our curriculum and school culture through discussions, activities, storytelling, </w:t>
            </w:r>
          </w:p>
          <w:p w:rsidR="005D4ADB" w:rsidRPr="00C23A8F" w:rsidRDefault="005D4ADB" w:rsidP="005D4ADB">
            <w:pPr>
              <w:pStyle w:val="NormalWeb"/>
              <w:jc w:val="both"/>
              <w:rPr>
                <w:rFonts w:ascii="Calibri" w:hAnsi="Calibri" w:cs="Calibri"/>
                <w:color w:val="000000"/>
              </w:rPr>
            </w:pPr>
            <w:r>
              <w:rPr>
                <w:rFonts w:ascii="Calibri" w:hAnsi="Calibri" w:cs="Calibri"/>
                <w:color w:val="000000"/>
                <w:sz w:val="22"/>
                <w:szCs w:val="22"/>
                <w:shd w:val="clear" w:color="auto" w:fill="FFFFFF"/>
              </w:rPr>
              <w:t xml:space="preserve">We also continue to encourage the children to think about different ways we can give Tzedakah (charity). We try to think about a wide range of charities so that children are exposed to different needs and </w:t>
            </w:r>
            <w:r w:rsidRPr="00C23A8F">
              <w:rPr>
                <w:rFonts w:ascii="Calibri" w:hAnsi="Calibri" w:cs="Calibri"/>
                <w:color w:val="000000"/>
                <w:sz w:val="22"/>
                <w:szCs w:val="22"/>
                <w:shd w:val="clear" w:color="auto" w:fill="FFFFFF"/>
              </w:rPr>
              <w:t>initiatives around the world. </w:t>
            </w:r>
          </w:p>
          <w:p w:rsidR="00700E9B" w:rsidRPr="00700E9B" w:rsidRDefault="00C23A8F" w:rsidP="00C23A8F">
            <w:pPr>
              <w:pStyle w:val="NormalWeb"/>
              <w:spacing w:before="0" w:beforeAutospacing="0" w:after="0" w:afterAutospacing="0"/>
            </w:pPr>
            <w:r w:rsidRPr="00C23A8F">
              <w:rPr>
                <w:rFonts w:asciiTheme="minorHAnsi" w:eastAsiaTheme="minorHAnsi" w:hAnsiTheme="minorHAnsi" w:cstheme="minorBidi"/>
                <w:sz w:val="22"/>
                <w:szCs w:val="22"/>
                <w:lang w:eastAsia="en-US"/>
              </w:rPr>
              <w:t xml:space="preserve">Planning has continued to be evaluated and adapted to </w:t>
            </w:r>
            <w:r w:rsidR="00624E81" w:rsidRPr="00C23A8F">
              <w:rPr>
                <w:rFonts w:asciiTheme="minorHAnsi" w:eastAsiaTheme="minorHAnsi" w:hAnsiTheme="minorHAnsi" w:cstheme="minorBidi"/>
                <w:sz w:val="22"/>
                <w:szCs w:val="22"/>
                <w:lang w:eastAsia="en-US"/>
              </w:rPr>
              <w:t>include</w:t>
            </w:r>
            <w:r w:rsidRPr="00C23A8F">
              <w:rPr>
                <w:rFonts w:asciiTheme="minorHAnsi" w:eastAsiaTheme="minorHAnsi" w:hAnsiTheme="minorHAnsi" w:cstheme="minorBidi"/>
                <w:sz w:val="22"/>
                <w:szCs w:val="22"/>
                <w:lang w:eastAsia="en-US"/>
              </w:rPr>
              <w:t xml:space="preserve"> a wider range of opportunities, this includes selecting</w:t>
            </w:r>
            <w:r w:rsidR="00703903" w:rsidRPr="00C23A8F">
              <w:rPr>
                <w:rFonts w:asciiTheme="minorHAnsi" w:eastAsiaTheme="minorHAnsi" w:hAnsiTheme="minorHAnsi" w:cstheme="minorBidi"/>
                <w:sz w:val="22"/>
                <w:szCs w:val="22"/>
                <w:lang w:eastAsia="en-US"/>
              </w:rPr>
              <w:t xml:space="preserve"> t</w:t>
            </w:r>
            <w:r w:rsidR="00497631" w:rsidRPr="00C23A8F">
              <w:rPr>
                <w:rFonts w:asciiTheme="minorHAnsi" w:eastAsiaTheme="minorHAnsi" w:hAnsiTheme="minorHAnsi" w:cstheme="minorBidi"/>
                <w:sz w:val="22"/>
                <w:szCs w:val="22"/>
                <w:lang w:eastAsia="en-US"/>
              </w:rPr>
              <w:t>exts to expose the children to a range of different genres and authors from a wide ran</w:t>
            </w:r>
            <w:r w:rsidR="00F84568">
              <w:rPr>
                <w:rFonts w:asciiTheme="minorHAnsi" w:eastAsiaTheme="minorHAnsi" w:hAnsiTheme="minorHAnsi" w:cstheme="minorBidi"/>
                <w:sz w:val="22"/>
                <w:szCs w:val="22"/>
                <w:lang w:eastAsia="en-US"/>
              </w:rPr>
              <w:t xml:space="preserve">ge of countries and backgrounds, discussing historical and scientific figures, celebrating key events (including black history month), cultural and global awareness through geographical topics such as migration. </w:t>
            </w:r>
          </w:p>
        </w:tc>
      </w:tr>
    </w:tbl>
    <w:p w:rsidR="00700E9B" w:rsidRDefault="00700E9B" w:rsidP="00B93080">
      <w:pPr>
        <w:ind w:hanging="2"/>
      </w:pPr>
    </w:p>
    <w:p w:rsidR="009845BA" w:rsidRDefault="009845BA" w:rsidP="00B93080">
      <w:pPr>
        <w:ind w:hanging="2"/>
        <w:rPr>
          <w:rFonts w:asciiTheme="majorHAnsi" w:eastAsiaTheme="majorEastAsia" w:hAnsiTheme="majorHAnsi" w:cs="Arial"/>
          <w:b/>
          <w:i/>
          <w:color w:val="2E74B5" w:themeColor="accent1" w:themeShade="BF"/>
          <w:sz w:val="24"/>
          <w:szCs w:val="24"/>
        </w:rPr>
      </w:pPr>
    </w:p>
    <w:p w:rsidR="00B93080" w:rsidRDefault="00B93080" w:rsidP="00B93080">
      <w:pPr>
        <w:ind w:hanging="2"/>
        <w:rPr>
          <w:rFonts w:asciiTheme="majorHAnsi" w:eastAsiaTheme="majorEastAsia" w:hAnsiTheme="majorHAnsi" w:cstheme="majorBidi"/>
          <w:color w:val="2E74B5" w:themeColor="accent1" w:themeShade="BF"/>
          <w:sz w:val="24"/>
          <w:szCs w:val="24"/>
        </w:rPr>
      </w:pPr>
      <w:r>
        <w:rPr>
          <w:rFonts w:asciiTheme="majorHAnsi" w:eastAsiaTheme="majorEastAsia" w:hAnsiTheme="majorHAnsi" w:cs="Arial"/>
          <w:b/>
          <w:i/>
          <w:color w:val="2E74B5" w:themeColor="accent1" w:themeShade="BF"/>
          <w:sz w:val="24"/>
          <w:szCs w:val="24"/>
        </w:rPr>
        <w:lastRenderedPageBreak/>
        <w:t xml:space="preserve">Objective 2: </w:t>
      </w:r>
      <w:r w:rsidRPr="00B93080">
        <w:rPr>
          <w:rFonts w:asciiTheme="majorHAnsi" w:eastAsiaTheme="majorEastAsia" w:hAnsiTheme="majorHAnsi" w:cstheme="majorBidi"/>
          <w:color w:val="2E74B5" w:themeColor="accent1" w:themeShade="BF"/>
          <w:sz w:val="24"/>
          <w:szCs w:val="24"/>
        </w:rPr>
        <w:t>To improve knowledge and skills of all stakeholders to enable them to identify and tackle difference and diversity.</w:t>
      </w:r>
    </w:p>
    <w:tbl>
      <w:tblPr>
        <w:tblStyle w:val="TableGrid"/>
        <w:tblW w:w="0" w:type="auto"/>
        <w:tblLook w:val="04A0" w:firstRow="1" w:lastRow="0" w:firstColumn="1" w:lastColumn="0" w:noHBand="0" w:noVBand="1"/>
      </w:tblPr>
      <w:tblGrid>
        <w:gridCol w:w="3964"/>
        <w:gridCol w:w="6492"/>
      </w:tblGrid>
      <w:tr w:rsidR="00700E9B" w:rsidTr="004B1D28">
        <w:tc>
          <w:tcPr>
            <w:tcW w:w="3964" w:type="dxa"/>
          </w:tcPr>
          <w:p w:rsidR="00700E9B" w:rsidRDefault="00700E9B" w:rsidP="00F368E4">
            <w:r>
              <w:t>To achieve this objective we plan to:</w:t>
            </w:r>
          </w:p>
        </w:tc>
        <w:tc>
          <w:tcPr>
            <w:tcW w:w="6492" w:type="dxa"/>
          </w:tcPr>
          <w:p w:rsidR="00700E9B" w:rsidRDefault="00700E9B" w:rsidP="00F368E4">
            <w:pPr>
              <w:ind w:hanging="2"/>
            </w:pPr>
            <w:r>
              <w:t>Progress we are making towards this objective:</w:t>
            </w:r>
          </w:p>
        </w:tc>
      </w:tr>
      <w:tr w:rsidR="00700E9B" w:rsidRPr="00700E9B" w:rsidTr="004B1D28">
        <w:tc>
          <w:tcPr>
            <w:tcW w:w="3964" w:type="dxa"/>
          </w:tcPr>
          <w:p w:rsidR="00700E9B" w:rsidRPr="00700E9B" w:rsidRDefault="00700E9B" w:rsidP="00700E9B">
            <w:pPr>
              <w:pStyle w:val="ListParagraph"/>
              <w:numPr>
                <w:ilvl w:val="0"/>
                <w:numId w:val="11"/>
              </w:numPr>
              <w:pBdr>
                <w:top w:val="nil"/>
                <w:left w:val="nil"/>
                <w:bottom w:val="nil"/>
                <w:right w:val="nil"/>
                <w:between w:val="nil"/>
              </w:pBdr>
              <w:suppressAutoHyphens/>
              <w:spacing w:after="0" w:line="1" w:lineRule="atLeast"/>
              <w:textDirection w:val="btLr"/>
              <w:textAlignment w:val="top"/>
              <w:outlineLvl w:val="0"/>
              <w:rPr>
                <w:rFonts w:asciiTheme="minorHAnsi" w:eastAsiaTheme="minorHAnsi" w:hAnsiTheme="minorHAnsi" w:cstheme="minorBidi"/>
                <w:sz w:val="22"/>
                <w:szCs w:val="22"/>
                <w:lang w:val="en-GB"/>
              </w:rPr>
            </w:pPr>
            <w:r w:rsidRPr="00700E9B">
              <w:rPr>
                <w:rFonts w:asciiTheme="minorHAnsi" w:eastAsiaTheme="minorHAnsi" w:hAnsiTheme="minorHAnsi" w:cstheme="minorBidi"/>
                <w:sz w:val="22"/>
                <w:szCs w:val="22"/>
                <w:lang w:val="en-GB"/>
              </w:rPr>
              <w:t xml:space="preserve">Develop CPD for all staff </w:t>
            </w:r>
          </w:p>
          <w:p w:rsidR="00700E9B" w:rsidRDefault="00700E9B" w:rsidP="00700E9B">
            <w:pPr>
              <w:pStyle w:val="ListParagraph"/>
              <w:numPr>
                <w:ilvl w:val="0"/>
                <w:numId w:val="11"/>
              </w:numPr>
              <w:suppressAutoHyphens/>
              <w:spacing w:after="0" w:line="1" w:lineRule="atLeast"/>
              <w:textAlignment w:val="top"/>
              <w:outlineLvl w:val="0"/>
            </w:pPr>
            <w:r w:rsidRPr="00700E9B">
              <w:rPr>
                <w:rFonts w:asciiTheme="minorHAnsi" w:eastAsiaTheme="minorHAnsi" w:hAnsiTheme="minorHAnsi" w:cstheme="minorBidi"/>
                <w:sz w:val="22"/>
                <w:szCs w:val="22"/>
                <w:lang w:val="en-GB"/>
              </w:rPr>
              <w:t>Increase parent workshops on RSE and equality</w:t>
            </w:r>
          </w:p>
        </w:tc>
        <w:tc>
          <w:tcPr>
            <w:tcW w:w="6492" w:type="dxa"/>
          </w:tcPr>
          <w:p w:rsidR="00230E36" w:rsidRPr="00DE4DC6" w:rsidRDefault="00CC4C49" w:rsidP="00230E36">
            <w:pPr>
              <w:pStyle w:val="NormalWeb"/>
              <w:spacing w:before="0" w:beforeAutospacing="0" w:after="0" w:afterAutospacing="0"/>
              <w:rPr>
                <w:rFonts w:asciiTheme="minorHAnsi" w:eastAsiaTheme="minorHAnsi" w:hAnsiTheme="minorHAnsi" w:cstheme="minorBidi"/>
                <w:sz w:val="22"/>
                <w:szCs w:val="22"/>
                <w:lang w:eastAsia="en-US"/>
              </w:rPr>
            </w:pPr>
            <w:r w:rsidRPr="00CC4C49">
              <w:rPr>
                <w:rFonts w:asciiTheme="minorHAnsi" w:eastAsiaTheme="minorHAnsi" w:hAnsiTheme="minorHAnsi" w:cstheme="minorBidi"/>
                <w:sz w:val="22"/>
                <w:szCs w:val="22"/>
                <w:lang w:eastAsia="en-US"/>
              </w:rPr>
              <w:t xml:space="preserve">Ongoing </w:t>
            </w:r>
            <w:r w:rsidR="00F66FD8" w:rsidRPr="00CC4C49">
              <w:rPr>
                <w:rFonts w:asciiTheme="minorHAnsi" w:eastAsiaTheme="minorHAnsi" w:hAnsiTheme="minorHAnsi" w:cstheme="minorBidi"/>
                <w:sz w:val="22"/>
                <w:szCs w:val="22"/>
                <w:lang w:eastAsia="en-US"/>
              </w:rPr>
              <w:t xml:space="preserve">CPD led </w:t>
            </w:r>
            <w:r w:rsidR="00230E36" w:rsidRPr="00CC4C49">
              <w:rPr>
                <w:rFonts w:asciiTheme="minorHAnsi" w:eastAsiaTheme="minorHAnsi" w:hAnsiTheme="minorHAnsi" w:cstheme="minorBidi"/>
                <w:sz w:val="22"/>
                <w:szCs w:val="22"/>
                <w:lang w:eastAsia="en-US"/>
              </w:rPr>
              <w:t xml:space="preserve">by headteacher on </w:t>
            </w:r>
            <w:r w:rsidR="00F66FD8" w:rsidRPr="00CC4C49">
              <w:rPr>
                <w:rFonts w:asciiTheme="minorHAnsi" w:eastAsiaTheme="minorHAnsi" w:hAnsiTheme="minorHAnsi" w:cstheme="minorBidi"/>
                <w:sz w:val="22"/>
                <w:szCs w:val="22"/>
                <w:lang w:eastAsia="en-US"/>
              </w:rPr>
              <w:t xml:space="preserve">school code of </w:t>
            </w:r>
            <w:r w:rsidR="00230E36" w:rsidRPr="00CC4C49">
              <w:rPr>
                <w:rFonts w:asciiTheme="minorHAnsi" w:eastAsiaTheme="minorHAnsi" w:hAnsiTheme="minorHAnsi" w:cstheme="minorBidi"/>
                <w:sz w:val="22"/>
                <w:szCs w:val="22"/>
                <w:lang w:eastAsia="en-US"/>
              </w:rPr>
              <w:t>conduct.</w:t>
            </w:r>
            <w:r w:rsidR="00DE4DC6">
              <w:rPr>
                <w:rFonts w:asciiTheme="minorHAnsi" w:eastAsiaTheme="minorHAnsi" w:hAnsiTheme="minorHAnsi" w:cstheme="minorBidi"/>
                <w:sz w:val="22"/>
                <w:szCs w:val="22"/>
                <w:lang w:eastAsia="en-US"/>
              </w:rPr>
              <w:t xml:space="preserve"> Induction process includes equality. </w:t>
            </w:r>
            <w:r w:rsidR="00DE4DC6" w:rsidRPr="00DE4DC6">
              <w:rPr>
                <w:rFonts w:asciiTheme="minorHAnsi" w:eastAsiaTheme="minorHAnsi" w:hAnsiTheme="minorHAnsi" w:cstheme="minorBidi"/>
                <w:sz w:val="22"/>
                <w:szCs w:val="22"/>
                <w:lang w:eastAsia="en-US"/>
              </w:rPr>
              <w:t xml:space="preserve">Teachers continue to teach PSHE and RW and are confident to discuss themes. </w:t>
            </w:r>
          </w:p>
          <w:p w:rsidR="00F66FD8" w:rsidRPr="001E5BDC" w:rsidRDefault="00F66FD8" w:rsidP="00624E81">
            <w:pPr>
              <w:rPr>
                <w:highlight w:val="yellow"/>
              </w:rPr>
            </w:pPr>
          </w:p>
          <w:p w:rsidR="00624E81" w:rsidRPr="00DA69A6" w:rsidRDefault="00624E81" w:rsidP="00624E81">
            <w:r w:rsidRPr="00DA69A6">
              <w:t xml:space="preserve">Parent workshops </w:t>
            </w:r>
            <w:r w:rsidR="00DA69A6">
              <w:t>and/</w:t>
            </w:r>
            <w:r w:rsidRPr="00DA69A6">
              <w:t xml:space="preserve">or drop in sessions </w:t>
            </w:r>
            <w:r w:rsidR="00DA69A6">
              <w:t>continue to be</w:t>
            </w:r>
            <w:r w:rsidRPr="00DA69A6">
              <w:t xml:space="preserve"> run each year for Years 4 to 6 in relation to understanding the RSE curriculum, what we teach and why we teach it. We also </w:t>
            </w:r>
            <w:r w:rsidR="00DA69A6">
              <w:t xml:space="preserve">continue to </w:t>
            </w:r>
            <w:r w:rsidRPr="00DA69A6">
              <w:t xml:space="preserve">make all parents aware of the key themes we teach in PSHE each year at the year group curriculum evenings. Any parent that has further questions has the opportunity to meet with the RSE lead. </w:t>
            </w:r>
          </w:p>
          <w:p w:rsidR="00F66FD8" w:rsidRPr="00624E81" w:rsidRDefault="00624E81" w:rsidP="00F66FD8">
            <w:pPr>
              <w:rPr>
                <w:rFonts w:ascii="NTPreCursivef" w:hAnsi="NTPreCursivef"/>
                <w:sz w:val="26"/>
                <w:szCs w:val="26"/>
              </w:rPr>
            </w:pPr>
            <w:r w:rsidRPr="00DA69A6">
              <w:t xml:space="preserve">In order to ensure all of our staff are confident teaching aspects of the PSHE curriculum including the use of specific vocabulary, the PSHE lead has conversations </w:t>
            </w:r>
            <w:r w:rsidR="00230E36" w:rsidRPr="00DA69A6">
              <w:t xml:space="preserve">around this at key times in the </w:t>
            </w:r>
            <w:r w:rsidRPr="00DA69A6">
              <w:t>curriculum with specific year groups and staff.</w:t>
            </w:r>
          </w:p>
        </w:tc>
      </w:tr>
    </w:tbl>
    <w:p w:rsidR="00700E9B" w:rsidRDefault="00700E9B" w:rsidP="00B93080">
      <w:pPr>
        <w:ind w:hanging="2"/>
      </w:pPr>
    </w:p>
    <w:p w:rsidR="00B93080" w:rsidRPr="00B93080" w:rsidRDefault="00EA536C" w:rsidP="00B93080">
      <w:pPr>
        <w:spacing w:after="0"/>
        <w:ind w:hanging="2"/>
        <w:rPr>
          <w:rFonts w:asciiTheme="majorHAnsi" w:eastAsiaTheme="majorEastAsia" w:hAnsiTheme="majorHAnsi" w:cstheme="majorBidi"/>
          <w:i/>
          <w:color w:val="2E74B5" w:themeColor="accent1" w:themeShade="BF"/>
          <w:sz w:val="24"/>
          <w:szCs w:val="24"/>
        </w:rPr>
      </w:pPr>
      <w:r w:rsidRPr="00B93080">
        <w:rPr>
          <w:rFonts w:asciiTheme="majorHAnsi" w:eastAsiaTheme="majorEastAsia" w:hAnsiTheme="majorHAnsi" w:cs="Arial"/>
          <w:b/>
          <w:i/>
          <w:color w:val="2E74B5" w:themeColor="accent1" w:themeShade="BF"/>
          <w:sz w:val="24"/>
          <w:szCs w:val="24"/>
        </w:rPr>
        <w:t xml:space="preserve">Objective </w:t>
      </w:r>
      <w:r w:rsidR="00B93080">
        <w:rPr>
          <w:rFonts w:asciiTheme="majorHAnsi" w:eastAsiaTheme="majorEastAsia" w:hAnsiTheme="majorHAnsi" w:cs="Arial"/>
          <w:b/>
          <w:i/>
          <w:color w:val="2E74B5" w:themeColor="accent1" w:themeShade="BF"/>
          <w:sz w:val="24"/>
          <w:szCs w:val="24"/>
        </w:rPr>
        <w:t>3</w:t>
      </w:r>
      <w:r w:rsidRPr="00B93080">
        <w:rPr>
          <w:rFonts w:asciiTheme="majorHAnsi" w:eastAsiaTheme="majorEastAsia" w:hAnsiTheme="majorHAnsi" w:cs="Arial"/>
          <w:b/>
          <w:i/>
          <w:color w:val="2E74B5" w:themeColor="accent1" w:themeShade="BF"/>
          <w:sz w:val="24"/>
          <w:szCs w:val="24"/>
        </w:rPr>
        <w:t>:</w:t>
      </w:r>
      <w:r w:rsidRPr="00EA536C">
        <w:rPr>
          <w:rFonts w:cs="Arial"/>
          <w:b/>
          <w:i/>
          <w:sz w:val="24"/>
          <w:szCs w:val="24"/>
        </w:rPr>
        <w:t xml:space="preserve"> </w:t>
      </w:r>
      <w:r w:rsidRPr="00B93080">
        <w:rPr>
          <w:rFonts w:asciiTheme="majorHAnsi" w:eastAsiaTheme="majorEastAsia" w:hAnsiTheme="majorHAnsi" w:cstheme="majorBidi"/>
          <w:color w:val="2E74B5" w:themeColor="accent1" w:themeShade="BF"/>
          <w:sz w:val="24"/>
          <w:szCs w:val="24"/>
        </w:rPr>
        <w:t xml:space="preserve">To </w:t>
      </w:r>
      <w:r w:rsidR="00B93080" w:rsidRPr="00B93080">
        <w:rPr>
          <w:rFonts w:asciiTheme="majorHAnsi" w:eastAsiaTheme="majorEastAsia" w:hAnsiTheme="majorHAnsi" w:cstheme="majorBidi"/>
          <w:color w:val="2E74B5" w:themeColor="accent1" w:themeShade="BF"/>
          <w:sz w:val="24"/>
          <w:szCs w:val="24"/>
        </w:rPr>
        <w:t xml:space="preserve">ensure changes to the curriculum are well considered to ensure good outcomes for identified under achieving groups. </w:t>
      </w:r>
      <w:r w:rsidR="00B93080" w:rsidRPr="00B93080">
        <w:rPr>
          <w:rFonts w:asciiTheme="majorHAnsi" w:eastAsiaTheme="majorEastAsia" w:hAnsiTheme="majorHAnsi" w:cstheme="majorBidi"/>
          <w:i/>
          <w:color w:val="2E74B5" w:themeColor="accent1" w:themeShade="BF"/>
          <w:sz w:val="24"/>
          <w:szCs w:val="24"/>
        </w:rPr>
        <w:t>(To narrow the gap between girls and boys in maths by 6% by Spring 23.</w:t>
      </w:r>
    </w:p>
    <w:p w:rsidR="00EA536C" w:rsidRPr="00B93080" w:rsidRDefault="00B93080" w:rsidP="00B93080">
      <w:pPr>
        <w:pStyle w:val="Heading2"/>
        <w:rPr>
          <w:i/>
          <w:sz w:val="24"/>
          <w:szCs w:val="24"/>
        </w:rPr>
      </w:pPr>
      <w:r w:rsidRPr="00B93080">
        <w:rPr>
          <w:i/>
          <w:sz w:val="24"/>
          <w:szCs w:val="24"/>
        </w:rPr>
        <w:t>To narrow the gap between boys and girls in writing by 5% by Spring 23.)</w:t>
      </w:r>
    </w:p>
    <w:p w:rsidR="00EA536C" w:rsidRDefault="00EA536C" w:rsidP="00EA536C">
      <w:pPr>
        <w:rPr>
          <w:highlight w:val="yellow"/>
        </w:rPr>
      </w:pPr>
    </w:p>
    <w:tbl>
      <w:tblPr>
        <w:tblStyle w:val="TableGrid"/>
        <w:tblW w:w="0" w:type="auto"/>
        <w:tblLook w:val="04A0" w:firstRow="1" w:lastRow="0" w:firstColumn="1" w:lastColumn="0" w:noHBand="0" w:noVBand="1"/>
      </w:tblPr>
      <w:tblGrid>
        <w:gridCol w:w="3964"/>
        <w:gridCol w:w="6492"/>
      </w:tblGrid>
      <w:tr w:rsidR="00575ED9" w:rsidTr="004B1D28">
        <w:tc>
          <w:tcPr>
            <w:tcW w:w="3964" w:type="dxa"/>
          </w:tcPr>
          <w:p w:rsidR="00575ED9" w:rsidRDefault="00575ED9" w:rsidP="00F368E4">
            <w:r>
              <w:t>To achieve this objective we plan to:</w:t>
            </w:r>
          </w:p>
        </w:tc>
        <w:tc>
          <w:tcPr>
            <w:tcW w:w="6492" w:type="dxa"/>
          </w:tcPr>
          <w:p w:rsidR="00575ED9" w:rsidRDefault="00575ED9" w:rsidP="00F368E4">
            <w:pPr>
              <w:ind w:hanging="2"/>
            </w:pPr>
            <w:r>
              <w:t>Progress we are making towards this objective:</w:t>
            </w:r>
          </w:p>
        </w:tc>
      </w:tr>
      <w:tr w:rsidR="00575ED9" w:rsidRPr="00700E9B" w:rsidTr="004B1D28">
        <w:tc>
          <w:tcPr>
            <w:tcW w:w="3964" w:type="dxa"/>
          </w:tcPr>
          <w:p w:rsidR="00575ED9" w:rsidRPr="00575ED9" w:rsidRDefault="00575ED9" w:rsidP="00575ED9">
            <w:pPr>
              <w:pStyle w:val="ListParagraph"/>
              <w:numPr>
                <w:ilvl w:val="0"/>
                <w:numId w:val="11"/>
              </w:numPr>
              <w:pBdr>
                <w:top w:val="nil"/>
                <w:left w:val="nil"/>
                <w:bottom w:val="nil"/>
                <w:right w:val="nil"/>
                <w:between w:val="nil"/>
              </w:pBdr>
              <w:suppressAutoHyphens/>
              <w:spacing w:before="0" w:after="0" w:line="1" w:lineRule="atLeast"/>
              <w:textDirection w:val="btLr"/>
              <w:textAlignment w:val="top"/>
              <w:outlineLvl w:val="0"/>
              <w:rPr>
                <w:rFonts w:asciiTheme="minorHAnsi" w:eastAsiaTheme="minorHAnsi" w:hAnsiTheme="minorHAnsi" w:cstheme="minorBidi"/>
                <w:sz w:val="22"/>
                <w:szCs w:val="22"/>
                <w:lang w:val="en-GB"/>
              </w:rPr>
            </w:pPr>
            <w:r w:rsidRPr="00575ED9">
              <w:rPr>
                <w:rFonts w:asciiTheme="minorHAnsi" w:eastAsiaTheme="minorHAnsi" w:hAnsiTheme="minorHAnsi" w:cstheme="minorBidi"/>
                <w:sz w:val="22"/>
                <w:szCs w:val="22"/>
                <w:lang w:val="en-GB"/>
              </w:rPr>
              <w:t>Analyse IDL for English and maths to assess impact</w:t>
            </w:r>
          </w:p>
          <w:p w:rsidR="00575ED9" w:rsidRPr="00575ED9" w:rsidRDefault="00575ED9" w:rsidP="00575ED9">
            <w:pPr>
              <w:pStyle w:val="ListParagraph"/>
              <w:numPr>
                <w:ilvl w:val="0"/>
                <w:numId w:val="11"/>
              </w:numPr>
              <w:pBdr>
                <w:top w:val="nil"/>
                <w:left w:val="nil"/>
                <w:bottom w:val="nil"/>
                <w:right w:val="nil"/>
                <w:between w:val="nil"/>
              </w:pBdr>
              <w:suppressAutoHyphens/>
              <w:spacing w:before="0" w:after="0" w:line="1" w:lineRule="atLeast"/>
              <w:textDirection w:val="btLr"/>
              <w:textAlignment w:val="top"/>
              <w:outlineLvl w:val="0"/>
              <w:rPr>
                <w:rFonts w:asciiTheme="minorHAnsi" w:eastAsiaTheme="minorHAnsi" w:hAnsiTheme="minorHAnsi" w:cstheme="minorBidi"/>
                <w:sz w:val="22"/>
                <w:szCs w:val="22"/>
                <w:lang w:val="en-GB"/>
              </w:rPr>
            </w:pPr>
            <w:r w:rsidRPr="00575ED9">
              <w:rPr>
                <w:rFonts w:asciiTheme="minorHAnsi" w:eastAsiaTheme="minorHAnsi" w:hAnsiTheme="minorHAnsi" w:cstheme="minorBidi"/>
                <w:sz w:val="22"/>
                <w:szCs w:val="22"/>
                <w:lang w:val="en-GB"/>
              </w:rPr>
              <w:t>Look into Ready to progress as a maths intervention for identified children</w:t>
            </w:r>
          </w:p>
          <w:p w:rsidR="00575ED9" w:rsidRPr="00575ED9" w:rsidRDefault="00575ED9" w:rsidP="00575ED9">
            <w:pPr>
              <w:pStyle w:val="ListParagraph"/>
              <w:numPr>
                <w:ilvl w:val="0"/>
                <w:numId w:val="11"/>
              </w:numPr>
              <w:pBdr>
                <w:top w:val="nil"/>
                <w:left w:val="nil"/>
                <w:bottom w:val="nil"/>
                <w:right w:val="nil"/>
                <w:between w:val="nil"/>
              </w:pBdr>
              <w:suppressAutoHyphens/>
              <w:spacing w:before="0" w:after="0" w:line="1" w:lineRule="atLeast"/>
              <w:textDirection w:val="btLr"/>
              <w:textAlignment w:val="top"/>
              <w:outlineLvl w:val="0"/>
              <w:rPr>
                <w:rFonts w:asciiTheme="minorHAnsi" w:eastAsiaTheme="minorHAnsi" w:hAnsiTheme="minorHAnsi" w:cstheme="minorBidi"/>
                <w:sz w:val="22"/>
                <w:szCs w:val="22"/>
                <w:lang w:val="en-GB"/>
              </w:rPr>
            </w:pPr>
            <w:r w:rsidRPr="00575ED9">
              <w:rPr>
                <w:rFonts w:asciiTheme="minorHAnsi" w:eastAsiaTheme="minorHAnsi" w:hAnsiTheme="minorHAnsi" w:cstheme="minorBidi"/>
                <w:sz w:val="22"/>
                <w:szCs w:val="22"/>
                <w:lang w:val="en-GB"/>
              </w:rPr>
              <w:t>Research and establish writing intervention groups</w:t>
            </w:r>
          </w:p>
          <w:p w:rsidR="00575ED9" w:rsidRPr="00575ED9" w:rsidRDefault="00575ED9" w:rsidP="00575ED9">
            <w:pPr>
              <w:pStyle w:val="ListParagraph"/>
              <w:numPr>
                <w:ilvl w:val="0"/>
                <w:numId w:val="11"/>
              </w:numPr>
              <w:pBdr>
                <w:top w:val="nil"/>
                <w:left w:val="nil"/>
                <w:bottom w:val="nil"/>
                <w:right w:val="nil"/>
                <w:between w:val="nil"/>
              </w:pBdr>
              <w:suppressAutoHyphens/>
              <w:spacing w:before="0" w:after="0" w:line="1" w:lineRule="atLeast"/>
              <w:textDirection w:val="btLr"/>
              <w:textAlignment w:val="top"/>
              <w:outlineLvl w:val="0"/>
              <w:rPr>
                <w:rFonts w:asciiTheme="minorHAnsi" w:eastAsiaTheme="minorHAnsi" w:hAnsiTheme="minorHAnsi" w:cstheme="minorBidi"/>
                <w:sz w:val="22"/>
                <w:szCs w:val="22"/>
                <w:lang w:val="en-GB"/>
              </w:rPr>
            </w:pPr>
            <w:r w:rsidRPr="00575ED9">
              <w:rPr>
                <w:rFonts w:asciiTheme="minorHAnsi" w:eastAsiaTheme="minorHAnsi" w:hAnsiTheme="minorHAnsi" w:cstheme="minorBidi"/>
                <w:sz w:val="22"/>
                <w:szCs w:val="22"/>
                <w:lang w:val="en-GB"/>
              </w:rPr>
              <w:t>School led tutoring, analyse data and impact</w:t>
            </w:r>
          </w:p>
          <w:p w:rsidR="00575ED9" w:rsidRPr="00575ED9" w:rsidRDefault="00575ED9" w:rsidP="00575ED9">
            <w:pPr>
              <w:pStyle w:val="ListParagraph"/>
              <w:numPr>
                <w:ilvl w:val="0"/>
                <w:numId w:val="11"/>
              </w:numPr>
              <w:pBdr>
                <w:top w:val="nil"/>
                <w:left w:val="nil"/>
                <w:bottom w:val="nil"/>
                <w:right w:val="nil"/>
                <w:between w:val="nil"/>
              </w:pBdr>
              <w:suppressAutoHyphens/>
              <w:spacing w:before="0" w:after="0" w:line="1" w:lineRule="atLeast"/>
              <w:textDirection w:val="btLr"/>
              <w:textAlignment w:val="top"/>
              <w:outlineLvl w:val="0"/>
              <w:rPr>
                <w:rFonts w:asciiTheme="minorHAnsi" w:eastAsiaTheme="minorHAnsi" w:hAnsiTheme="minorHAnsi" w:cstheme="minorBidi"/>
                <w:sz w:val="22"/>
                <w:szCs w:val="22"/>
                <w:lang w:val="en-GB"/>
              </w:rPr>
            </w:pPr>
            <w:r w:rsidRPr="00575ED9">
              <w:rPr>
                <w:rFonts w:asciiTheme="minorHAnsi" w:eastAsiaTheme="minorHAnsi" w:hAnsiTheme="minorHAnsi" w:cstheme="minorBidi"/>
                <w:sz w:val="22"/>
                <w:szCs w:val="22"/>
                <w:lang w:val="en-GB"/>
              </w:rPr>
              <w:t>Quality first teaching, targeted questioning, feedback and marking</w:t>
            </w:r>
          </w:p>
          <w:p w:rsidR="00575ED9" w:rsidRPr="00575ED9" w:rsidRDefault="00575ED9" w:rsidP="00575ED9">
            <w:pPr>
              <w:pStyle w:val="ListParagraph"/>
              <w:numPr>
                <w:ilvl w:val="0"/>
                <w:numId w:val="11"/>
              </w:numPr>
              <w:suppressAutoHyphens/>
              <w:spacing w:before="0" w:after="0" w:line="1" w:lineRule="atLeast"/>
              <w:textAlignment w:val="top"/>
              <w:outlineLvl w:val="0"/>
              <w:rPr>
                <w:rFonts w:asciiTheme="minorHAnsi" w:eastAsiaTheme="minorHAnsi" w:hAnsiTheme="minorHAnsi" w:cstheme="minorBidi"/>
                <w:sz w:val="22"/>
                <w:szCs w:val="22"/>
                <w:lang w:val="en-GB"/>
              </w:rPr>
            </w:pPr>
            <w:r w:rsidRPr="00575ED9">
              <w:rPr>
                <w:rFonts w:asciiTheme="minorHAnsi" w:eastAsiaTheme="minorHAnsi" w:hAnsiTheme="minorHAnsi" w:cstheme="minorBidi"/>
                <w:sz w:val="22"/>
                <w:szCs w:val="22"/>
                <w:lang w:val="en-GB"/>
              </w:rPr>
              <w:t>To remove barriers to learning such as behaviour, social and emotional wellbeing (zones of regulation, therapy, develop wellbeing action plan)</w:t>
            </w:r>
          </w:p>
        </w:tc>
        <w:tc>
          <w:tcPr>
            <w:tcW w:w="6492" w:type="dxa"/>
          </w:tcPr>
          <w:p w:rsidR="007130AF" w:rsidRDefault="007130AF" w:rsidP="00575ED9">
            <w:pPr>
              <w:ind w:hanging="2"/>
            </w:pPr>
            <w:r w:rsidRPr="007130AF">
              <w:t xml:space="preserve">The target to narrow the gap between girls and boys in maths was achieved this time last year. However this gap has now grown again and shows that it continues to fluctuate. </w:t>
            </w:r>
          </w:p>
          <w:p w:rsidR="007130AF" w:rsidRPr="007130AF" w:rsidRDefault="007130AF" w:rsidP="00575ED9">
            <w:pPr>
              <w:ind w:hanging="2"/>
            </w:pPr>
            <w:r w:rsidRPr="007130AF">
              <w:t xml:space="preserve">Narrowing the gap between girls and boys remains a target on the SIP. </w:t>
            </w:r>
            <w:r w:rsidR="00496089">
              <w:t xml:space="preserve">Strategies are in place such as; targeted interventions, instructional strategies, girls only maths groups. </w:t>
            </w:r>
          </w:p>
          <w:p w:rsidR="007130AF" w:rsidRPr="0085604F" w:rsidRDefault="00E77395" w:rsidP="00E77395">
            <w:pPr>
              <w:pStyle w:val="NormalWeb"/>
              <w:spacing w:before="0" w:beforeAutospacing="0" w:after="0" w:afterAutospacing="0"/>
              <w:rPr>
                <w:rFonts w:asciiTheme="minorHAnsi" w:eastAsiaTheme="minorHAnsi" w:hAnsiTheme="minorHAnsi" w:cstheme="minorBidi"/>
                <w:sz w:val="22"/>
                <w:szCs w:val="22"/>
                <w:lang w:eastAsia="en-US"/>
              </w:rPr>
            </w:pPr>
            <w:r w:rsidRPr="007130AF">
              <w:rPr>
                <w:rFonts w:asciiTheme="minorHAnsi" w:eastAsiaTheme="minorHAnsi" w:hAnsiTheme="minorHAnsi" w:cstheme="minorBidi"/>
                <w:sz w:val="22"/>
                <w:szCs w:val="22"/>
                <w:lang w:eastAsia="en-US"/>
              </w:rPr>
              <w:t xml:space="preserve">Gap </w:t>
            </w:r>
            <w:r w:rsidRPr="0085604F">
              <w:rPr>
                <w:rFonts w:asciiTheme="minorHAnsi" w:eastAsiaTheme="minorHAnsi" w:hAnsiTheme="minorHAnsi" w:cstheme="minorBidi"/>
                <w:sz w:val="22"/>
                <w:szCs w:val="22"/>
                <w:lang w:eastAsia="en-US"/>
              </w:rPr>
              <w:t>to narrow boys and girls in writing has no</w:t>
            </w:r>
            <w:r w:rsidR="007130AF" w:rsidRPr="0085604F">
              <w:rPr>
                <w:rFonts w:asciiTheme="minorHAnsi" w:eastAsiaTheme="minorHAnsi" w:hAnsiTheme="minorHAnsi" w:cstheme="minorBidi"/>
                <w:sz w:val="22"/>
                <w:szCs w:val="22"/>
                <w:lang w:eastAsia="en-US"/>
              </w:rPr>
              <w:t>w</w:t>
            </w:r>
            <w:r w:rsidRPr="0085604F">
              <w:rPr>
                <w:rFonts w:asciiTheme="minorHAnsi" w:eastAsiaTheme="minorHAnsi" w:hAnsiTheme="minorHAnsi" w:cstheme="minorBidi"/>
                <w:sz w:val="22"/>
                <w:szCs w:val="22"/>
                <w:lang w:eastAsia="en-US"/>
              </w:rPr>
              <w:t xml:space="preserve"> been achieved. </w:t>
            </w:r>
          </w:p>
          <w:p w:rsidR="00E77395" w:rsidRDefault="00E77395" w:rsidP="00E77395">
            <w:pPr>
              <w:pStyle w:val="NormalWeb"/>
              <w:spacing w:before="0" w:beforeAutospacing="0" w:after="0" w:afterAutospacing="0"/>
              <w:rPr>
                <w:rFonts w:asciiTheme="minorHAnsi" w:eastAsiaTheme="minorHAnsi" w:hAnsiTheme="minorHAnsi" w:cstheme="minorBidi"/>
                <w:sz w:val="22"/>
                <w:szCs w:val="22"/>
                <w:lang w:eastAsia="en-US"/>
              </w:rPr>
            </w:pPr>
            <w:r w:rsidRPr="0085604F">
              <w:rPr>
                <w:rFonts w:asciiTheme="minorHAnsi" w:eastAsiaTheme="minorHAnsi" w:hAnsiTheme="minorHAnsi" w:cstheme="minorBidi"/>
                <w:sz w:val="22"/>
                <w:szCs w:val="22"/>
                <w:lang w:eastAsia="en-US"/>
              </w:rPr>
              <w:t xml:space="preserve">Strategies </w:t>
            </w:r>
            <w:r w:rsidR="007130AF" w:rsidRPr="0085604F">
              <w:rPr>
                <w:rFonts w:asciiTheme="minorHAnsi" w:eastAsiaTheme="minorHAnsi" w:hAnsiTheme="minorHAnsi" w:cstheme="minorBidi"/>
                <w:sz w:val="22"/>
                <w:szCs w:val="22"/>
                <w:lang w:eastAsia="en-US"/>
              </w:rPr>
              <w:t xml:space="preserve">that were put </w:t>
            </w:r>
            <w:r w:rsidRPr="0085604F">
              <w:rPr>
                <w:rFonts w:asciiTheme="minorHAnsi" w:eastAsiaTheme="minorHAnsi" w:hAnsiTheme="minorHAnsi" w:cstheme="minorBidi"/>
                <w:sz w:val="22"/>
                <w:szCs w:val="22"/>
                <w:lang w:eastAsia="en-US"/>
              </w:rPr>
              <w:t xml:space="preserve">in place </w:t>
            </w:r>
            <w:r w:rsidR="0085604F" w:rsidRPr="0085604F">
              <w:rPr>
                <w:rFonts w:asciiTheme="minorHAnsi" w:eastAsiaTheme="minorHAnsi" w:hAnsiTheme="minorHAnsi" w:cstheme="minorBidi"/>
                <w:sz w:val="22"/>
                <w:szCs w:val="22"/>
                <w:lang w:eastAsia="en-US"/>
              </w:rPr>
              <w:t xml:space="preserve">to support this will continue </w:t>
            </w:r>
            <w:proofErr w:type="spellStart"/>
            <w:r w:rsidR="0085604F" w:rsidRPr="0085604F">
              <w:rPr>
                <w:rFonts w:asciiTheme="minorHAnsi" w:eastAsiaTheme="minorHAnsi" w:hAnsiTheme="minorHAnsi" w:cstheme="minorBidi"/>
                <w:sz w:val="22"/>
                <w:szCs w:val="22"/>
                <w:lang w:eastAsia="en-US"/>
              </w:rPr>
              <w:t>ie</w:t>
            </w:r>
            <w:proofErr w:type="spellEnd"/>
            <w:r w:rsidRPr="0085604F">
              <w:rPr>
                <w:rFonts w:asciiTheme="minorHAnsi" w:eastAsiaTheme="minorHAnsi" w:hAnsiTheme="minorHAnsi" w:cstheme="minorBidi"/>
                <w:sz w:val="22"/>
                <w:szCs w:val="22"/>
                <w:lang w:eastAsia="en-US"/>
              </w:rPr>
              <w:t>; changes to CSD</w:t>
            </w:r>
            <w:r w:rsidR="00166435" w:rsidRPr="0085604F">
              <w:rPr>
                <w:rFonts w:asciiTheme="minorHAnsi" w:eastAsiaTheme="minorHAnsi" w:hAnsiTheme="minorHAnsi" w:cstheme="minorBidi"/>
                <w:sz w:val="22"/>
                <w:szCs w:val="22"/>
                <w:lang w:eastAsia="en-US"/>
              </w:rPr>
              <w:t xml:space="preserve"> to</w:t>
            </w:r>
            <w:r w:rsidRPr="0085604F">
              <w:rPr>
                <w:rFonts w:asciiTheme="minorHAnsi" w:eastAsiaTheme="minorHAnsi" w:hAnsiTheme="minorHAnsi" w:cstheme="minorBidi"/>
                <w:sz w:val="22"/>
                <w:szCs w:val="22"/>
                <w:lang w:eastAsia="en-US"/>
              </w:rPr>
              <w:t xml:space="preserve"> include opportunities for boys to </w:t>
            </w:r>
            <w:r w:rsidR="00166435" w:rsidRPr="0085604F">
              <w:rPr>
                <w:rFonts w:asciiTheme="minorHAnsi" w:eastAsiaTheme="minorHAnsi" w:hAnsiTheme="minorHAnsi" w:cstheme="minorBidi"/>
                <w:sz w:val="22"/>
                <w:szCs w:val="22"/>
                <w:lang w:eastAsia="en-US"/>
              </w:rPr>
              <w:t>engage in more interesting and relatable writing based on their interests and experiences as well as themes they are passionate about</w:t>
            </w:r>
            <w:r w:rsidR="0085604F" w:rsidRPr="0085604F">
              <w:rPr>
                <w:rFonts w:asciiTheme="minorHAnsi" w:eastAsiaTheme="minorHAnsi" w:hAnsiTheme="minorHAnsi" w:cstheme="minorBidi"/>
                <w:sz w:val="22"/>
                <w:szCs w:val="22"/>
                <w:lang w:eastAsia="en-US"/>
              </w:rPr>
              <w:t>, i</w:t>
            </w:r>
            <w:r w:rsidR="00166435" w:rsidRPr="0085604F">
              <w:rPr>
                <w:rFonts w:asciiTheme="minorHAnsi" w:eastAsiaTheme="minorHAnsi" w:hAnsiTheme="minorHAnsi" w:cstheme="minorBidi"/>
                <w:sz w:val="22"/>
                <w:szCs w:val="22"/>
                <w:lang w:eastAsia="en-US"/>
              </w:rPr>
              <w:t xml:space="preserve">ntegrating technology tools and digital platforms that boys may find appealing </w:t>
            </w:r>
            <w:proofErr w:type="spellStart"/>
            <w:r w:rsidR="00166435" w:rsidRPr="0085604F">
              <w:rPr>
                <w:rFonts w:asciiTheme="minorHAnsi" w:eastAsiaTheme="minorHAnsi" w:hAnsiTheme="minorHAnsi" w:cstheme="minorBidi"/>
                <w:sz w:val="22"/>
                <w:szCs w:val="22"/>
                <w:lang w:eastAsia="en-US"/>
              </w:rPr>
              <w:t>eg</w:t>
            </w:r>
            <w:proofErr w:type="spellEnd"/>
            <w:r w:rsidR="00166435" w:rsidRPr="0085604F">
              <w:rPr>
                <w:rFonts w:asciiTheme="minorHAnsi" w:eastAsiaTheme="minorHAnsi" w:hAnsiTheme="minorHAnsi" w:cstheme="minorBidi"/>
                <w:sz w:val="22"/>
                <w:szCs w:val="22"/>
                <w:lang w:eastAsia="en-US"/>
              </w:rPr>
              <w:t xml:space="preserve"> blogging, writing online games etc.</w:t>
            </w:r>
            <w:r w:rsidR="00496089">
              <w:rPr>
                <w:rFonts w:asciiTheme="minorHAnsi" w:eastAsiaTheme="minorHAnsi" w:hAnsiTheme="minorHAnsi" w:cstheme="minorBidi"/>
                <w:sz w:val="22"/>
                <w:szCs w:val="22"/>
                <w:lang w:eastAsia="en-US"/>
              </w:rPr>
              <w:t xml:space="preserve"> Writing interventions in the form of writing conferencing remain a successful tool. </w:t>
            </w:r>
          </w:p>
          <w:p w:rsidR="00496089" w:rsidRPr="0085604F" w:rsidRDefault="00496089" w:rsidP="00E77395">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CPD for staff and research by subject leaders will continue to take place. </w:t>
            </w:r>
          </w:p>
          <w:p w:rsidR="00E77395" w:rsidRPr="00496089" w:rsidRDefault="00E77395" w:rsidP="00575ED9">
            <w:pPr>
              <w:ind w:hanging="2"/>
            </w:pPr>
          </w:p>
          <w:p w:rsidR="00496089" w:rsidRPr="00496089" w:rsidRDefault="00496089" w:rsidP="00575ED9">
            <w:pPr>
              <w:ind w:hanging="2"/>
            </w:pPr>
            <w:r w:rsidRPr="00496089">
              <w:t xml:space="preserve">New </w:t>
            </w:r>
            <w:proofErr w:type="spellStart"/>
            <w:r w:rsidRPr="00496089">
              <w:t>SENdco</w:t>
            </w:r>
            <w:proofErr w:type="spellEnd"/>
            <w:r w:rsidRPr="00496089">
              <w:t xml:space="preserve"> in place – worked well to ensure support is in place to remove all barriers to learning. </w:t>
            </w:r>
          </w:p>
          <w:p w:rsidR="00496089" w:rsidRPr="001E5BDC" w:rsidRDefault="00496089" w:rsidP="00575ED9">
            <w:pPr>
              <w:ind w:hanging="2"/>
              <w:rPr>
                <w:highlight w:val="yellow"/>
              </w:rPr>
            </w:pPr>
          </w:p>
          <w:p w:rsidR="00575ED9" w:rsidRPr="001E5BDC" w:rsidRDefault="00575ED9" w:rsidP="00575ED9">
            <w:pPr>
              <w:ind w:hanging="2"/>
              <w:rPr>
                <w:highlight w:val="yellow"/>
              </w:rPr>
            </w:pPr>
            <w:r w:rsidRPr="00496089">
              <w:t>Wellbeing action plan</w:t>
            </w:r>
            <w:r w:rsidR="00496089" w:rsidRPr="00496089">
              <w:t xml:space="preserve"> continues to be</w:t>
            </w:r>
            <w:r w:rsidRPr="00496089">
              <w:t xml:space="preserve"> in place to support the social and emotional needs of identified children</w:t>
            </w:r>
            <w:r w:rsidR="00F916EA" w:rsidRPr="00496089">
              <w:t>. T</w:t>
            </w:r>
            <w:r w:rsidRPr="00496089">
              <w:t>his includes</w:t>
            </w:r>
            <w:r w:rsidR="00F916EA" w:rsidRPr="00496089">
              <w:t xml:space="preserve"> </w:t>
            </w:r>
            <w:r w:rsidR="00496089" w:rsidRPr="00496089">
              <w:t xml:space="preserve">ongoing </w:t>
            </w:r>
            <w:r w:rsidRPr="00496089">
              <w:t>support from UP (unlockin</w:t>
            </w:r>
            <w:r w:rsidR="00A916F4" w:rsidRPr="00496089">
              <w:t>g potential) through therapy, drop in sessions</w:t>
            </w:r>
            <w:r w:rsidR="00F916EA" w:rsidRPr="00496089">
              <w:t xml:space="preserve"> and </w:t>
            </w:r>
            <w:proofErr w:type="spellStart"/>
            <w:r w:rsidR="00F916EA" w:rsidRPr="00496089">
              <w:t>checkins</w:t>
            </w:r>
            <w:proofErr w:type="spellEnd"/>
            <w:r w:rsidR="00F916EA" w:rsidRPr="00496089">
              <w:t>. It also includes soft starts, adapted timetables, social groups and friendship groups as well as</w:t>
            </w:r>
            <w:r w:rsidR="00A916F4" w:rsidRPr="00496089">
              <w:t xml:space="preserve"> therapy dog. </w:t>
            </w:r>
            <w:r w:rsidR="00192033">
              <w:t xml:space="preserve">Annual wellbeing survey identifies areas to further support. </w:t>
            </w:r>
          </w:p>
          <w:p w:rsidR="00A916F4" w:rsidRPr="001E5BDC" w:rsidRDefault="00A916F4" w:rsidP="00575ED9">
            <w:pPr>
              <w:ind w:hanging="2"/>
              <w:rPr>
                <w:highlight w:val="yellow"/>
              </w:rPr>
            </w:pPr>
          </w:p>
          <w:p w:rsidR="00A916F4" w:rsidRPr="001E5BDC" w:rsidRDefault="00A916F4" w:rsidP="00575ED9">
            <w:pPr>
              <w:ind w:hanging="2"/>
              <w:rPr>
                <w:highlight w:val="yellow"/>
              </w:rPr>
            </w:pPr>
            <w:r w:rsidRPr="00B65A7B">
              <w:rPr>
                <w:rFonts w:ascii="Calibri" w:hAnsi="Calibri" w:cs="Calibri"/>
                <w:color w:val="000000"/>
              </w:rPr>
              <w:t xml:space="preserve">Wizard Theatre Company has </w:t>
            </w:r>
            <w:r w:rsidR="00496089" w:rsidRPr="00B65A7B">
              <w:rPr>
                <w:rFonts w:ascii="Calibri" w:hAnsi="Calibri" w:cs="Calibri"/>
                <w:color w:val="000000"/>
              </w:rPr>
              <w:t xml:space="preserve">been back in school and has now supported </w:t>
            </w:r>
            <w:r w:rsidR="00B65A7B" w:rsidRPr="00B65A7B">
              <w:rPr>
                <w:rFonts w:ascii="Calibri" w:hAnsi="Calibri" w:cs="Calibri"/>
                <w:color w:val="000000"/>
              </w:rPr>
              <w:t>238</w:t>
            </w:r>
            <w:r w:rsidR="00A04D8B" w:rsidRPr="00B65A7B">
              <w:rPr>
                <w:rFonts w:ascii="Calibri" w:hAnsi="Calibri" w:cs="Calibri"/>
                <w:color w:val="000000"/>
              </w:rPr>
              <w:t xml:space="preserve"> </w:t>
            </w:r>
            <w:r w:rsidRPr="00B65A7B">
              <w:rPr>
                <w:rFonts w:ascii="Calibri" w:hAnsi="Calibri" w:cs="Calibri"/>
                <w:color w:val="000000"/>
              </w:rPr>
              <w:t>children. This is a Brent funded programme which has supported the children to build</w:t>
            </w:r>
            <w:r w:rsidRPr="00496089">
              <w:rPr>
                <w:rFonts w:ascii="Calibri" w:hAnsi="Calibri" w:cs="Calibri"/>
                <w:color w:val="000000"/>
              </w:rPr>
              <w:t xml:space="preserve"> their confidence, self-esteem, literacy and listening skills. All sessions have been very practical and </w:t>
            </w:r>
            <w:r w:rsidRPr="00496089">
              <w:rPr>
                <w:rFonts w:ascii="Calibri" w:hAnsi="Calibri" w:cs="Calibri"/>
                <w:color w:val="000000"/>
              </w:rPr>
              <w:lastRenderedPageBreak/>
              <w:t xml:space="preserve">promoted teamwork to help build and develop positive relationships. The facilitator designed and tailored each session to fit the needs of the group and to reflect the progress they have made. Teachers have </w:t>
            </w:r>
            <w:r w:rsidR="00496089" w:rsidRPr="00496089">
              <w:rPr>
                <w:rFonts w:ascii="Calibri" w:hAnsi="Calibri" w:cs="Calibri"/>
                <w:color w:val="000000"/>
              </w:rPr>
              <w:t>continued to comment</w:t>
            </w:r>
            <w:r w:rsidRPr="00496089">
              <w:rPr>
                <w:rFonts w:ascii="Calibri" w:hAnsi="Calibri" w:cs="Calibri"/>
                <w:color w:val="000000"/>
              </w:rPr>
              <w:t xml:space="preserve"> on increased confidence of all children that took part in the sessions.</w:t>
            </w:r>
          </w:p>
          <w:p w:rsidR="00575ED9" w:rsidRPr="001E5BDC" w:rsidRDefault="00575ED9" w:rsidP="00575ED9">
            <w:pPr>
              <w:ind w:hanging="2"/>
              <w:rPr>
                <w:highlight w:val="yellow"/>
              </w:rPr>
            </w:pPr>
          </w:p>
          <w:p w:rsidR="00575ED9" w:rsidRDefault="00E77395" w:rsidP="00496089">
            <w:pPr>
              <w:ind w:hanging="2"/>
            </w:pPr>
            <w:r w:rsidRPr="00496089">
              <w:t xml:space="preserve">School led tutoring </w:t>
            </w:r>
            <w:r w:rsidR="00496089" w:rsidRPr="00496089">
              <w:t>is</w:t>
            </w:r>
            <w:r w:rsidR="00496089">
              <w:t xml:space="preserve"> no longer in place – funding stopped. </w:t>
            </w:r>
            <w:r w:rsidRPr="00E77395">
              <w:t xml:space="preserve"> </w:t>
            </w:r>
          </w:p>
        </w:tc>
      </w:tr>
    </w:tbl>
    <w:p w:rsidR="00575ED9" w:rsidRPr="00B93080" w:rsidRDefault="00575ED9" w:rsidP="00EA536C">
      <w:pPr>
        <w:rPr>
          <w:highlight w:val="yellow"/>
        </w:rPr>
      </w:pPr>
    </w:p>
    <w:p w:rsidR="008735D2" w:rsidRDefault="008735D2" w:rsidP="00700E9B">
      <w:pPr>
        <w:rPr>
          <w:b/>
        </w:rPr>
      </w:pPr>
    </w:p>
    <w:p w:rsidR="00700E9B" w:rsidRPr="002C7907" w:rsidRDefault="00700E9B" w:rsidP="00700E9B">
      <w:pPr>
        <w:rPr>
          <w:b/>
        </w:rPr>
      </w:pPr>
      <w:r w:rsidRPr="002C7907">
        <w:rPr>
          <w:b/>
        </w:rPr>
        <w:t>To narrow the gap between girls and boys in maths by 6% by Spring 23</w:t>
      </w:r>
    </w:p>
    <w:p w:rsidR="00700E9B" w:rsidRPr="002C7907" w:rsidRDefault="00700E9B" w:rsidP="00700E9B">
      <w:pPr>
        <w:pStyle w:val="Heading3"/>
        <w:ind w:hanging="2"/>
        <w:rPr>
          <w:rStyle w:val="IntenseEmphasis"/>
        </w:rPr>
      </w:pPr>
      <w:r w:rsidRPr="002C7907">
        <w:rPr>
          <w:rStyle w:val="IntenseEmphasis"/>
        </w:rPr>
        <w:t>% of children achieving working at (EXS) + in maths</w:t>
      </w:r>
    </w:p>
    <w:tbl>
      <w:tblPr>
        <w:tblStyle w:val="TableGrid"/>
        <w:tblW w:w="0" w:type="auto"/>
        <w:tblLook w:val="04A0" w:firstRow="1" w:lastRow="0" w:firstColumn="1" w:lastColumn="0" w:noHBand="0" w:noVBand="1"/>
      </w:tblPr>
      <w:tblGrid>
        <w:gridCol w:w="1288"/>
        <w:gridCol w:w="1288"/>
        <w:gridCol w:w="1288"/>
        <w:gridCol w:w="1288"/>
        <w:gridCol w:w="1304"/>
      </w:tblGrid>
      <w:tr w:rsidR="00700E9B" w:rsidTr="00F368E4">
        <w:tc>
          <w:tcPr>
            <w:tcW w:w="1288" w:type="dxa"/>
          </w:tcPr>
          <w:p w:rsidR="00700E9B" w:rsidRDefault="00700E9B" w:rsidP="00F368E4">
            <w:pPr>
              <w:ind w:hanging="2"/>
            </w:pPr>
          </w:p>
        </w:tc>
        <w:tc>
          <w:tcPr>
            <w:tcW w:w="1288" w:type="dxa"/>
            <w:shd w:val="clear" w:color="auto" w:fill="ACB9CA" w:themeFill="text2" w:themeFillTint="66"/>
          </w:tcPr>
          <w:p w:rsidR="00700E9B" w:rsidRPr="0077612E" w:rsidRDefault="00700E9B" w:rsidP="00F368E4">
            <w:pPr>
              <w:ind w:hanging="2"/>
              <w:jc w:val="center"/>
              <w:rPr>
                <w:b/>
              </w:rPr>
            </w:pPr>
            <w:r w:rsidRPr="0077612E">
              <w:rPr>
                <w:b/>
              </w:rPr>
              <w:t>Whole cohort</w:t>
            </w:r>
          </w:p>
        </w:tc>
        <w:tc>
          <w:tcPr>
            <w:tcW w:w="1288" w:type="dxa"/>
            <w:shd w:val="clear" w:color="auto" w:fill="ACB9CA" w:themeFill="text2" w:themeFillTint="66"/>
          </w:tcPr>
          <w:p w:rsidR="00700E9B" w:rsidRPr="0077612E" w:rsidRDefault="00700E9B" w:rsidP="00F368E4">
            <w:pPr>
              <w:ind w:hanging="2"/>
              <w:jc w:val="center"/>
              <w:rPr>
                <w:b/>
              </w:rPr>
            </w:pPr>
            <w:r w:rsidRPr="0077612E">
              <w:rPr>
                <w:b/>
              </w:rPr>
              <w:t>Girls</w:t>
            </w:r>
          </w:p>
          <w:p w:rsidR="00700E9B" w:rsidRPr="0077612E" w:rsidRDefault="00700E9B" w:rsidP="00F368E4">
            <w:pPr>
              <w:ind w:hanging="2"/>
              <w:jc w:val="center"/>
              <w:rPr>
                <w:b/>
              </w:rPr>
            </w:pPr>
          </w:p>
        </w:tc>
        <w:tc>
          <w:tcPr>
            <w:tcW w:w="1288" w:type="dxa"/>
            <w:shd w:val="clear" w:color="auto" w:fill="ACB9CA" w:themeFill="text2" w:themeFillTint="66"/>
          </w:tcPr>
          <w:p w:rsidR="00700E9B" w:rsidRPr="0077612E" w:rsidRDefault="00700E9B" w:rsidP="00F368E4">
            <w:pPr>
              <w:ind w:hanging="2"/>
              <w:jc w:val="center"/>
              <w:rPr>
                <w:b/>
              </w:rPr>
            </w:pPr>
            <w:r w:rsidRPr="0077612E">
              <w:rPr>
                <w:b/>
              </w:rPr>
              <w:t>Boys</w:t>
            </w:r>
          </w:p>
          <w:p w:rsidR="00700E9B" w:rsidRPr="0077612E" w:rsidRDefault="00700E9B" w:rsidP="00F368E4">
            <w:pPr>
              <w:ind w:hanging="2"/>
              <w:jc w:val="center"/>
              <w:rPr>
                <w:b/>
              </w:rPr>
            </w:pPr>
          </w:p>
        </w:tc>
        <w:tc>
          <w:tcPr>
            <w:tcW w:w="1304" w:type="dxa"/>
            <w:shd w:val="clear" w:color="auto" w:fill="ACB9CA" w:themeFill="text2" w:themeFillTint="66"/>
          </w:tcPr>
          <w:p w:rsidR="00700E9B" w:rsidRDefault="00700E9B" w:rsidP="00F368E4">
            <w:pPr>
              <w:ind w:hanging="2"/>
              <w:jc w:val="center"/>
              <w:rPr>
                <w:b/>
              </w:rPr>
            </w:pPr>
            <w:r>
              <w:rPr>
                <w:b/>
              </w:rPr>
              <w:t xml:space="preserve">Gap </w:t>
            </w:r>
          </w:p>
          <w:p w:rsidR="00700E9B" w:rsidRPr="0077612E" w:rsidRDefault="00700E9B" w:rsidP="00F368E4">
            <w:pPr>
              <w:ind w:hanging="2"/>
              <w:jc w:val="center"/>
              <w:rPr>
                <w:b/>
              </w:rPr>
            </w:pPr>
            <w:r>
              <w:rPr>
                <w:b/>
              </w:rPr>
              <w:t>(difference)</w:t>
            </w:r>
          </w:p>
        </w:tc>
      </w:tr>
      <w:tr w:rsidR="007456E5" w:rsidTr="007456E5">
        <w:tc>
          <w:tcPr>
            <w:tcW w:w="1288" w:type="dxa"/>
            <w:shd w:val="clear" w:color="auto" w:fill="ACB9CA" w:themeFill="text2" w:themeFillTint="66"/>
          </w:tcPr>
          <w:p w:rsidR="007456E5" w:rsidRPr="0077612E" w:rsidRDefault="007456E5" w:rsidP="007456E5">
            <w:pPr>
              <w:ind w:hanging="2"/>
              <w:rPr>
                <w:b/>
              </w:rPr>
            </w:pPr>
            <w:proofErr w:type="spellStart"/>
            <w:r>
              <w:rPr>
                <w:b/>
              </w:rPr>
              <w:t>Aut</w:t>
            </w:r>
            <w:proofErr w:type="spellEnd"/>
            <w:r>
              <w:rPr>
                <w:b/>
              </w:rPr>
              <w:t xml:space="preserve"> 24.25</w:t>
            </w:r>
          </w:p>
        </w:tc>
        <w:tc>
          <w:tcPr>
            <w:tcW w:w="1288" w:type="dxa"/>
            <w:shd w:val="clear" w:color="auto" w:fill="D5DCE4" w:themeFill="text2" w:themeFillTint="33"/>
          </w:tcPr>
          <w:p w:rsidR="007456E5" w:rsidRPr="00E607B6" w:rsidRDefault="007456E5" w:rsidP="007456E5">
            <w:pPr>
              <w:jc w:val="center"/>
              <w:rPr>
                <w:b/>
              </w:rPr>
            </w:pPr>
            <w:r>
              <w:rPr>
                <w:b/>
              </w:rPr>
              <w:t>69.6</w:t>
            </w:r>
          </w:p>
        </w:tc>
        <w:tc>
          <w:tcPr>
            <w:tcW w:w="1288" w:type="dxa"/>
            <w:shd w:val="clear" w:color="auto" w:fill="DEEAF6" w:themeFill="accent1" w:themeFillTint="33"/>
          </w:tcPr>
          <w:p w:rsidR="007456E5" w:rsidRPr="00E607B6" w:rsidRDefault="007456E5" w:rsidP="007456E5">
            <w:pPr>
              <w:ind w:hanging="2"/>
              <w:jc w:val="center"/>
            </w:pPr>
            <w:r>
              <w:t>64.3</w:t>
            </w:r>
          </w:p>
        </w:tc>
        <w:tc>
          <w:tcPr>
            <w:tcW w:w="1288" w:type="dxa"/>
            <w:shd w:val="clear" w:color="auto" w:fill="DEEAF6" w:themeFill="accent1" w:themeFillTint="33"/>
          </w:tcPr>
          <w:p w:rsidR="007456E5" w:rsidRPr="00E607B6" w:rsidRDefault="007456E5" w:rsidP="007456E5">
            <w:pPr>
              <w:ind w:hanging="2"/>
              <w:jc w:val="center"/>
            </w:pPr>
            <w:r>
              <w:t>74.8</w:t>
            </w:r>
          </w:p>
        </w:tc>
        <w:tc>
          <w:tcPr>
            <w:tcW w:w="1304" w:type="dxa"/>
            <w:shd w:val="clear" w:color="auto" w:fill="DEEAF6" w:themeFill="accent1" w:themeFillTint="33"/>
          </w:tcPr>
          <w:p w:rsidR="007456E5" w:rsidRPr="00D36824" w:rsidRDefault="007456E5" w:rsidP="007456E5">
            <w:pPr>
              <w:ind w:hanging="2"/>
              <w:jc w:val="center"/>
            </w:pPr>
            <w:r>
              <w:t>-10.5</w:t>
            </w:r>
          </w:p>
        </w:tc>
      </w:tr>
      <w:tr w:rsidR="007456E5" w:rsidTr="007456E5">
        <w:tc>
          <w:tcPr>
            <w:tcW w:w="1288" w:type="dxa"/>
            <w:shd w:val="clear" w:color="auto" w:fill="ACB9CA" w:themeFill="text2" w:themeFillTint="66"/>
          </w:tcPr>
          <w:p w:rsidR="007456E5" w:rsidRDefault="007456E5" w:rsidP="007456E5">
            <w:pPr>
              <w:ind w:hanging="2"/>
              <w:rPr>
                <w:b/>
              </w:rPr>
            </w:pPr>
            <w:r>
              <w:rPr>
                <w:b/>
              </w:rPr>
              <w:t>Sum 23.24</w:t>
            </w:r>
          </w:p>
        </w:tc>
        <w:tc>
          <w:tcPr>
            <w:tcW w:w="1288" w:type="dxa"/>
            <w:shd w:val="clear" w:color="auto" w:fill="D5DCE4" w:themeFill="text2" w:themeFillTint="33"/>
          </w:tcPr>
          <w:p w:rsidR="007456E5" w:rsidRPr="0077612E" w:rsidRDefault="007456E5" w:rsidP="007456E5">
            <w:pPr>
              <w:ind w:hanging="2"/>
              <w:jc w:val="center"/>
              <w:rPr>
                <w:b/>
              </w:rPr>
            </w:pPr>
            <w:r>
              <w:rPr>
                <w:b/>
              </w:rPr>
              <w:t>80.4</w:t>
            </w:r>
          </w:p>
        </w:tc>
        <w:tc>
          <w:tcPr>
            <w:tcW w:w="1288" w:type="dxa"/>
            <w:shd w:val="clear" w:color="auto" w:fill="DEEAF6" w:themeFill="accent1" w:themeFillTint="33"/>
          </w:tcPr>
          <w:p w:rsidR="007456E5" w:rsidRPr="007456E5" w:rsidRDefault="007456E5" w:rsidP="007456E5">
            <w:pPr>
              <w:ind w:hanging="2"/>
              <w:jc w:val="center"/>
            </w:pPr>
            <w:r w:rsidRPr="007456E5">
              <w:t>76.2</w:t>
            </w:r>
          </w:p>
        </w:tc>
        <w:tc>
          <w:tcPr>
            <w:tcW w:w="1288" w:type="dxa"/>
            <w:shd w:val="clear" w:color="auto" w:fill="DEEAF6" w:themeFill="accent1" w:themeFillTint="33"/>
          </w:tcPr>
          <w:p w:rsidR="007456E5" w:rsidRPr="007456E5" w:rsidRDefault="007456E5" w:rsidP="007456E5">
            <w:pPr>
              <w:ind w:hanging="2"/>
              <w:jc w:val="center"/>
            </w:pPr>
            <w:r w:rsidRPr="007456E5">
              <w:t>84.6</w:t>
            </w:r>
          </w:p>
        </w:tc>
        <w:tc>
          <w:tcPr>
            <w:tcW w:w="1304" w:type="dxa"/>
            <w:shd w:val="clear" w:color="auto" w:fill="DEEAF6" w:themeFill="accent1" w:themeFillTint="33"/>
          </w:tcPr>
          <w:p w:rsidR="007456E5" w:rsidRPr="007456E5" w:rsidRDefault="007456E5" w:rsidP="007456E5">
            <w:pPr>
              <w:ind w:hanging="2"/>
              <w:jc w:val="center"/>
            </w:pPr>
            <w:r>
              <w:t>-</w:t>
            </w:r>
            <w:r w:rsidRPr="007456E5">
              <w:t>8.4</w:t>
            </w:r>
          </w:p>
        </w:tc>
      </w:tr>
      <w:tr w:rsidR="007456E5" w:rsidTr="007456E5">
        <w:tc>
          <w:tcPr>
            <w:tcW w:w="1288" w:type="dxa"/>
            <w:shd w:val="clear" w:color="auto" w:fill="ACB9CA" w:themeFill="text2" w:themeFillTint="66"/>
          </w:tcPr>
          <w:p w:rsidR="007456E5" w:rsidRDefault="007456E5" w:rsidP="007456E5">
            <w:pPr>
              <w:ind w:hanging="2"/>
              <w:rPr>
                <w:b/>
              </w:rPr>
            </w:pPr>
            <w:proofErr w:type="spellStart"/>
            <w:r>
              <w:rPr>
                <w:b/>
              </w:rPr>
              <w:t>Spr</w:t>
            </w:r>
            <w:proofErr w:type="spellEnd"/>
            <w:r>
              <w:rPr>
                <w:b/>
              </w:rPr>
              <w:t xml:space="preserve"> 23.24</w:t>
            </w:r>
          </w:p>
        </w:tc>
        <w:tc>
          <w:tcPr>
            <w:tcW w:w="1288" w:type="dxa"/>
            <w:shd w:val="clear" w:color="auto" w:fill="D5DCE4" w:themeFill="text2" w:themeFillTint="33"/>
          </w:tcPr>
          <w:p w:rsidR="007456E5" w:rsidRPr="00C2568C" w:rsidRDefault="007456E5" w:rsidP="007456E5">
            <w:pPr>
              <w:jc w:val="center"/>
              <w:rPr>
                <w:b/>
              </w:rPr>
            </w:pPr>
            <w:r w:rsidRPr="00BF2637">
              <w:rPr>
                <w:b/>
              </w:rPr>
              <w:t>78.2</w:t>
            </w:r>
          </w:p>
        </w:tc>
        <w:tc>
          <w:tcPr>
            <w:tcW w:w="1288" w:type="dxa"/>
            <w:shd w:val="clear" w:color="auto" w:fill="DEEAF6" w:themeFill="accent1" w:themeFillTint="33"/>
          </w:tcPr>
          <w:p w:rsidR="007456E5" w:rsidRPr="00C2568C" w:rsidRDefault="007456E5" w:rsidP="007456E5">
            <w:pPr>
              <w:ind w:hanging="2"/>
              <w:jc w:val="center"/>
            </w:pPr>
            <w:r>
              <w:t>72.7</w:t>
            </w:r>
          </w:p>
        </w:tc>
        <w:tc>
          <w:tcPr>
            <w:tcW w:w="1288" w:type="dxa"/>
            <w:shd w:val="clear" w:color="auto" w:fill="DEEAF6" w:themeFill="accent1" w:themeFillTint="33"/>
          </w:tcPr>
          <w:p w:rsidR="007456E5" w:rsidRPr="00C2568C" w:rsidRDefault="007456E5" w:rsidP="007456E5">
            <w:pPr>
              <w:ind w:hanging="2"/>
              <w:jc w:val="center"/>
            </w:pPr>
            <w:r>
              <w:t>83.5</w:t>
            </w:r>
          </w:p>
        </w:tc>
        <w:tc>
          <w:tcPr>
            <w:tcW w:w="1304" w:type="dxa"/>
            <w:shd w:val="clear" w:color="auto" w:fill="DEEAF6" w:themeFill="accent1" w:themeFillTint="33"/>
          </w:tcPr>
          <w:p w:rsidR="007456E5" w:rsidRPr="007456E5" w:rsidRDefault="007456E5" w:rsidP="007456E5">
            <w:pPr>
              <w:ind w:hanging="2"/>
              <w:jc w:val="center"/>
            </w:pPr>
            <w:r>
              <w:t>-</w:t>
            </w:r>
            <w:r w:rsidRPr="007456E5">
              <w:t>10.8</w:t>
            </w:r>
          </w:p>
        </w:tc>
      </w:tr>
      <w:tr w:rsidR="007456E5" w:rsidTr="00F368E4">
        <w:trPr>
          <w:trHeight w:val="86"/>
        </w:trPr>
        <w:tc>
          <w:tcPr>
            <w:tcW w:w="1288" w:type="dxa"/>
            <w:shd w:val="clear" w:color="auto" w:fill="ACB9CA" w:themeFill="text2" w:themeFillTint="66"/>
          </w:tcPr>
          <w:p w:rsidR="007456E5" w:rsidRPr="0077612E" w:rsidRDefault="007456E5" w:rsidP="007456E5">
            <w:pPr>
              <w:ind w:hanging="2"/>
              <w:rPr>
                <w:b/>
              </w:rPr>
            </w:pPr>
            <w:proofErr w:type="spellStart"/>
            <w:r>
              <w:rPr>
                <w:b/>
              </w:rPr>
              <w:t>Aut</w:t>
            </w:r>
            <w:proofErr w:type="spellEnd"/>
            <w:r>
              <w:rPr>
                <w:b/>
              </w:rPr>
              <w:t xml:space="preserve"> 23.24</w:t>
            </w:r>
          </w:p>
        </w:tc>
        <w:tc>
          <w:tcPr>
            <w:tcW w:w="1288" w:type="dxa"/>
            <w:shd w:val="clear" w:color="auto" w:fill="D5DCE4" w:themeFill="text2" w:themeFillTint="33"/>
          </w:tcPr>
          <w:p w:rsidR="007456E5" w:rsidRPr="00FA7862" w:rsidRDefault="007456E5" w:rsidP="007456E5">
            <w:pPr>
              <w:ind w:hanging="2"/>
              <w:jc w:val="center"/>
              <w:rPr>
                <w:b/>
              </w:rPr>
            </w:pPr>
            <w:r w:rsidRPr="0082078A">
              <w:rPr>
                <w:b/>
              </w:rPr>
              <w:t>71.1</w:t>
            </w:r>
          </w:p>
        </w:tc>
        <w:tc>
          <w:tcPr>
            <w:tcW w:w="1288" w:type="dxa"/>
            <w:shd w:val="clear" w:color="auto" w:fill="DEEAF6" w:themeFill="accent1" w:themeFillTint="33"/>
          </w:tcPr>
          <w:p w:rsidR="007456E5" w:rsidRPr="00EA695C" w:rsidRDefault="007456E5" w:rsidP="007456E5">
            <w:pPr>
              <w:ind w:hanging="2"/>
              <w:jc w:val="center"/>
            </w:pPr>
            <w:r w:rsidRPr="0082078A">
              <w:t>67.6</w:t>
            </w:r>
          </w:p>
        </w:tc>
        <w:tc>
          <w:tcPr>
            <w:tcW w:w="1288" w:type="dxa"/>
            <w:shd w:val="clear" w:color="auto" w:fill="DEEAF6" w:themeFill="accent1" w:themeFillTint="33"/>
          </w:tcPr>
          <w:p w:rsidR="007456E5" w:rsidRPr="00EA695C" w:rsidRDefault="007456E5" w:rsidP="007456E5">
            <w:pPr>
              <w:ind w:hanging="2"/>
              <w:jc w:val="center"/>
            </w:pPr>
            <w:r w:rsidRPr="0082078A">
              <w:t>74.5</w:t>
            </w:r>
          </w:p>
        </w:tc>
        <w:tc>
          <w:tcPr>
            <w:tcW w:w="1304" w:type="dxa"/>
            <w:shd w:val="clear" w:color="auto" w:fill="DEEAF6" w:themeFill="accent1" w:themeFillTint="33"/>
          </w:tcPr>
          <w:p w:rsidR="007456E5" w:rsidRDefault="007456E5" w:rsidP="007456E5">
            <w:pPr>
              <w:ind w:hanging="2"/>
              <w:jc w:val="center"/>
            </w:pPr>
            <w:r>
              <w:t>-</w:t>
            </w:r>
            <w:r w:rsidRPr="0082078A">
              <w:t>6.9</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r>
              <w:rPr>
                <w:b/>
              </w:rPr>
              <w:t>Sum 22.23</w:t>
            </w:r>
          </w:p>
        </w:tc>
        <w:tc>
          <w:tcPr>
            <w:tcW w:w="1288" w:type="dxa"/>
            <w:shd w:val="clear" w:color="auto" w:fill="D5DCE4" w:themeFill="text2" w:themeFillTint="33"/>
          </w:tcPr>
          <w:p w:rsidR="007456E5" w:rsidRPr="00FA7862" w:rsidRDefault="007456E5" w:rsidP="007456E5">
            <w:pPr>
              <w:ind w:hanging="2"/>
              <w:jc w:val="center"/>
              <w:rPr>
                <w:b/>
              </w:rPr>
            </w:pPr>
            <w:r w:rsidRPr="0082078A">
              <w:rPr>
                <w:b/>
              </w:rPr>
              <w:t>85.2</w:t>
            </w:r>
          </w:p>
        </w:tc>
        <w:tc>
          <w:tcPr>
            <w:tcW w:w="1288" w:type="dxa"/>
            <w:shd w:val="clear" w:color="auto" w:fill="DEEAF6" w:themeFill="accent1" w:themeFillTint="33"/>
          </w:tcPr>
          <w:p w:rsidR="007456E5" w:rsidRPr="00EA695C" w:rsidRDefault="007456E5" w:rsidP="007456E5">
            <w:pPr>
              <w:ind w:hanging="2"/>
              <w:jc w:val="center"/>
            </w:pPr>
            <w:r w:rsidRPr="0082078A">
              <w:t>80.2</w:t>
            </w:r>
          </w:p>
        </w:tc>
        <w:tc>
          <w:tcPr>
            <w:tcW w:w="1288" w:type="dxa"/>
            <w:shd w:val="clear" w:color="auto" w:fill="DEEAF6" w:themeFill="accent1" w:themeFillTint="33"/>
          </w:tcPr>
          <w:p w:rsidR="007456E5" w:rsidRPr="00EA695C" w:rsidRDefault="007456E5" w:rsidP="007456E5">
            <w:pPr>
              <w:ind w:hanging="2"/>
              <w:jc w:val="center"/>
            </w:pPr>
            <w:r w:rsidRPr="0082078A">
              <w:t>88.8</w:t>
            </w:r>
          </w:p>
        </w:tc>
        <w:tc>
          <w:tcPr>
            <w:tcW w:w="1304" w:type="dxa"/>
            <w:shd w:val="clear" w:color="auto" w:fill="DEEAF6" w:themeFill="accent1" w:themeFillTint="33"/>
          </w:tcPr>
          <w:p w:rsidR="007456E5" w:rsidRDefault="007456E5" w:rsidP="007456E5">
            <w:pPr>
              <w:ind w:hanging="2"/>
              <w:jc w:val="center"/>
            </w:pPr>
            <w:r>
              <w:t>-</w:t>
            </w:r>
            <w:r w:rsidRPr="0082078A">
              <w:t>8.6</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proofErr w:type="spellStart"/>
            <w:r>
              <w:rPr>
                <w:b/>
              </w:rPr>
              <w:t>Spr</w:t>
            </w:r>
            <w:proofErr w:type="spellEnd"/>
            <w:r>
              <w:rPr>
                <w:b/>
              </w:rPr>
              <w:t xml:space="preserve"> 22.23</w:t>
            </w:r>
          </w:p>
        </w:tc>
        <w:tc>
          <w:tcPr>
            <w:tcW w:w="1288" w:type="dxa"/>
            <w:shd w:val="clear" w:color="auto" w:fill="D5DCE4" w:themeFill="text2" w:themeFillTint="33"/>
          </w:tcPr>
          <w:p w:rsidR="007456E5" w:rsidRDefault="007456E5" w:rsidP="007456E5">
            <w:pPr>
              <w:ind w:hanging="2"/>
              <w:jc w:val="center"/>
              <w:rPr>
                <w:b/>
              </w:rPr>
            </w:pPr>
            <w:r w:rsidRPr="0082078A">
              <w:rPr>
                <w:b/>
              </w:rPr>
              <w:t>76.5</w:t>
            </w:r>
          </w:p>
        </w:tc>
        <w:tc>
          <w:tcPr>
            <w:tcW w:w="1288" w:type="dxa"/>
            <w:shd w:val="clear" w:color="auto" w:fill="DEEAF6" w:themeFill="accent1" w:themeFillTint="33"/>
          </w:tcPr>
          <w:p w:rsidR="007456E5" w:rsidRPr="00EA695C" w:rsidRDefault="007456E5" w:rsidP="007456E5">
            <w:pPr>
              <w:ind w:hanging="2"/>
              <w:jc w:val="center"/>
            </w:pPr>
            <w:r w:rsidRPr="0082078A">
              <w:t>71.6</w:t>
            </w:r>
          </w:p>
        </w:tc>
        <w:tc>
          <w:tcPr>
            <w:tcW w:w="1288" w:type="dxa"/>
            <w:shd w:val="clear" w:color="auto" w:fill="DEEAF6" w:themeFill="accent1" w:themeFillTint="33"/>
          </w:tcPr>
          <w:p w:rsidR="007456E5" w:rsidRPr="00EA695C" w:rsidRDefault="007456E5" w:rsidP="007456E5">
            <w:pPr>
              <w:ind w:hanging="2"/>
              <w:jc w:val="center"/>
            </w:pPr>
            <w:r>
              <w:t>81.1</w:t>
            </w:r>
          </w:p>
        </w:tc>
        <w:tc>
          <w:tcPr>
            <w:tcW w:w="1304" w:type="dxa"/>
            <w:shd w:val="clear" w:color="auto" w:fill="DEEAF6" w:themeFill="accent1" w:themeFillTint="33"/>
          </w:tcPr>
          <w:p w:rsidR="007456E5" w:rsidRDefault="007456E5" w:rsidP="007456E5">
            <w:pPr>
              <w:ind w:hanging="2"/>
              <w:jc w:val="center"/>
            </w:pPr>
            <w:r>
              <w:t>-</w:t>
            </w:r>
            <w:r w:rsidRPr="0082078A">
              <w:t>9.5</w:t>
            </w:r>
          </w:p>
        </w:tc>
      </w:tr>
      <w:tr w:rsidR="007456E5" w:rsidTr="00F368E4">
        <w:trPr>
          <w:trHeight w:val="86"/>
        </w:trPr>
        <w:tc>
          <w:tcPr>
            <w:tcW w:w="1288" w:type="dxa"/>
            <w:shd w:val="clear" w:color="auto" w:fill="ACB9CA" w:themeFill="text2" w:themeFillTint="66"/>
          </w:tcPr>
          <w:p w:rsidR="007456E5" w:rsidRPr="0077612E" w:rsidRDefault="007456E5" w:rsidP="007456E5">
            <w:pPr>
              <w:ind w:hanging="2"/>
              <w:rPr>
                <w:b/>
              </w:rPr>
            </w:pPr>
            <w:proofErr w:type="spellStart"/>
            <w:r>
              <w:rPr>
                <w:b/>
              </w:rPr>
              <w:t>Aut</w:t>
            </w:r>
            <w:proofErr w:type="spellEnd"/>
            <w:r>
              <w:rPr>
                <w:b/>
              </w:rPr>
              <w:t xml:space="preserve"> 22.23</w:t>
            </w:r>
          </w:p>
        </w:tc>
        <w:tc>
          <w:tcPr>
            <w:tcW w:w="1288" w:type="dxa"/>
            <w:shd w:val="clear" w:color="auto" w:fill="D5DCE4" w:themeFill="text2" w:themeFillTint="33"/>
          </w:tcPr>
          <w:p w:rsidR="007456E5" w:rsidRPr="00FA7862" w:rsidRDefault="007456E5" w:rsidP="007456E5">
            <w:pPr>
              <w:ind w:hanging="2"/>
              <w:jc w:val="center"/>
              <w:rPr>
                <w:b/>
              </w:rPr>
            </w:pPr>
            <w:r>
              <w:rPr>
                <w:b/>
              </w:rPr>
              <w:t>69.7%</w:t>
            </w:r>
          </w:p>
        </w:tc>
        <w:tc>
          <w:tcPr>
            <w:tcW w:w="1288" w:type="dxa"/>
            <w:shd w:val="clear" w:color="auto" w:fill="DEEAF6" w:themeFill="accent1" w:themeFillTint="33"/>
          </w:tcPr>
          <w:p w:rsidR="007456E5" w:rsidRPr="00EA695C" w:rsidRDefault="007456E5" w:rsidP="007456E5">
            <w:pPr>
              <w:ind w:hanging="2"/>
              <w:jc w:val="center"/>
            </w:pPr>
            <w:r w:rsidRPr="00EA695C">
              <w:t>64%</w:t>
            </w:r>
          </w:p>
        </w:tc>
        <w:tc>
          <w:tcPr>
            <w:tcW w:w="1288" w:type="dxa"/>
            <w:shd w:val="clear" w:color="auto" w:fill="DEEAF6" w:themeFill="accent1" w:themeFillTint="33"/>
          </w:tcPr>
          <w:p w:rsidR="007456E5" w:rsidRPr="00EA695C" w:rsidRDefault="007456E5" w:rsidP="007456E5">
            <w:pPr>
              <w:ind w:hanging="2"/>
              <w:jc w:val="center"/>
            </w:pPr>
            <w:r w:rsidRPr="00EA695C">
              <w:t>75%</w:t>
            </w:r>
          </w:p>
        </w:tc>
        <w:tc>
          <w:tcPr>
            <w:tcW w:w="1304" w:type="dxa"/>
            <w:shd w:val="clear" w:color="auto" w:fill="DEEAF6" w:themeFill="accent1" w:themeFillTint="33"/>
          </w:tcPr>
          <w:p w:rsidR="007456E5" w:rsidRDefault="007456E5" w:rsidP="007456E5">
            <w:pPr>
              <w:ind w:hanging="2"/>
              <w:jc w:val="center"/>
            </w:pPr>
            <w:r>
              <w:t>-11</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r>
              <w:rPr>
                <w:b/>
              </w:rPr>
              <w:t>Sum 21.22</w:t>
            </w:r>
          </w:p>
        </w:tc>
        <w:tc>
          <w:tcPr>
            <w:tcW w:w="1288" w:type="dxa"/>
            <w:shd w:val="clear" w:color="auto" w:fill="D5DCE4" w:themeFill="text2" w:themeFillTint="33"/>
          </w:tcPr>
          <w:p w:rsidR="007456E5" w:rsidRPr="007C676C" w:rsidRDefault="007456E5" w:rsidP="007456E5">
            <w:pPr>
              <w:ind w:hanging="2"/>
              <w:jc w:val="center"/>
              <w:rPr>
                <w:b/>
              </w:rPr>
            </w:pPr>
            <w:r>
              <w:rPr>
                <w:b/>
              </w:rPr>
              <w:t>87.6</w:t>
            </w:r>
          </w:p>
        </w:tc>
        <w:tc>
          <w:tcPr>
            <w:tcW w:w="1288" w:type="dxa"/>
            <w:shd w:val="clear" w:color="auto" w:fill="DEEAF6" w:themeFill="accent1" w:themeFillTint="33"/>
          </w:tcPr>
          <w:p w:rsidR="007456E5" w:rsidRPr="00EA695C" w:rsidRDefault="007456E5" w:rsidP="007456E5">
            <w:pPr>
              <w:ind w:hanging="2"/>
              <w:jc w:val="center"/>
            </w:pPr>
            <w:r w:rsidRPr="00EA695C">
              <w:t>86.1</w:t>
            </w:r>
          </w:p>
        </w:tc>
        <w:tc>
          <w:tcPr>
            <w:tcW w:w="1288" w:type="dxa"/>
            <w:shd w:val="clear" w:color="auto" w:fill="DEEAF6" w:themeFill="accent1" w:themeFillTint="33"/>
          </w:tcPr>
          <w:p w:rsidR="007456E5" w:rsidRPr="00EA695C" w:rsidRDefault="007456E5" w:rsidP="007456E5">
            <w:pPr>
              <w:ind w:hanging="2"/>
              <w:jc w:val="center"/>
            </w:pPr>
            <w:r w:rsidRPr="00EA695C">
              <w:t>89</w:t>
            </w:r>
          </w:p>
        </w:tc>
        <w:tc>
          <w:tcPr>
            <w:tcW w:w="1304" w:type="dxa"/>
            <w:shd w:val="clear" w:color="auto" w:fill="DEEAF6" w:themeFill="accent1" w:themeFillTint="33"/>
          </w:tcPr>
          <w:p w:rsidR="007456E5" w:rsidRDefault="007456E5" w:rsidP="007456E5">
            <w:pPr>
              <w:ind w:hanging="2"/>
              <w:jc w:val="center"/>
            </w:pPr>
            <w:r>
              <w:t>-2.9</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proofErr w:type="spellStart"/>
            <w:r>
              <w:rPr>
                <w:b/>
              </w:rPr>
              <w:t>Spr</w:t>
            </w:r>
            <w:proofErr w:type="spellEnd"/>
            <w:r>
              <w:rPr>
                <w:b/>
              </w:rPr>
              <w:t xml:space="preserve"> 21.22</w:t>
            </w:r>
          </w:p>
        </w:tc>
        <w:tc>
          <w:tcPr>
            <w:tcW w:w="1288" w:type="dxa"/>
            <w:shd w:val="clear" w:color="auto" w:fill="D5DCE4" w:themeFill="text2" w:themeFillTint="33"/>
          </w:tcPr>
          <w:p w:rsidR="007456E5" w:rsidRPr="007C676C" w:rsidRDefault="007456E5" w:rsidP="007456E5">
            <w:pPr>
              <w:ind w:hanging="2"/>
              <w:jc w:val="center"/>
              <w:rPr>
                <w:b/>
              </w:rPr>
            </w:pPr>
            <w:r>
              <w:rPr>
                <w:b/>
              </w:rPr>
              <w:t>75.7</w:t>
            </w:r>
          </w:p>
        </w:tc>
        <w:tc>
          <w:tcPr>
            <w:tcW w:w="1288" w:type="dxa"/>
            <w:shd w:val="clear" w:color="auto" w:fill="DEEAF6" w:themeFill="accent1" w:themeFillTint="33"/>
          </w:tcPr>
          <w:p w:rsidR="007456E5" w:rsidRPr="00EA695C" w:rsidRDefault="007456E5" w:rsidP="007456E5">
            <w:pPr>
              <w:ind w:hanging="2"/>
              <w:jc w:val="center"/>
            </w:pPr>
            <w:r w:rsidRPr="00EA695C">
              <w:t>71</w:t>
            </w:r>
          </w:p>
        </w:tc>
        <w:tc>
          <w:tcPr>
            <w:tcW w:w="1288" w:type="dxa"/>
            <w:shd w:val="clear" w:color="auto" w:fill="DEEAF6" w:themeFill="accent1" w:themeFillTint="33"/>
          </w:tcPr>
          <w:p w:rsidR="007456E5" w:rsidRPr="00EA695C" w:rsidRDefault="007456E5" w:rsidP="007456E5">
            <w:pPr>
              <w:ind w:hanging="2"/>
              <w:jc w:val="center"/>
            </w:pPr>
            <w:r w:rsidRPr="00EA695C">
              <w:t>80.1</w:t>
            </w:r>
          </w:p>
        </w:tc>
        <w:tc>
          <w:tcPr>
            <w:tcW w:w="1304" w:type="dxa"/>
            <w:shd w:val="clear" w:color="auto" w:fill="DEEAF6" w:themeFill="accent1" w:themeFillTint="33"/>
          </w:tcPr>
          <w:p w:rsidR="007456E5" w:rsidRDefault="007456E5" w:rsidP="007456E5">
            <w:pPr>
              <w:ind w:hanging="2"/>
              <w:jc w:val="center"/>
            </w:pPr>
            <w:r>
              <w:t>-9.1</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proofErr w:type="spellStart"/>
            <w:r>
              <w:rPr>
                <w:b/>
              </w:rPr>
              <w:t>Aut</w:t>
            </w:r>
            <w:proofErr w:type="spellEnd"/>
            <w:r>
              <w:rPr>
                <w:b/>
              </w:rPr>
              <w:t xml:space="preserve"> 21.22</w:t>
            </w:r>
          </w:p>
        </w:tc>
        <w:tc>
          <w:tcPr>
            <w:tcW w:w="1288" w:type="dxa"/>
            <w:shd w:val="clear" w:color="auto" w:fill="D5DCE4" w:themeFill="text2" w:themeFillTint="33"/>
          </w:tcPr>
          <w:p w:rsidR="007456E5" w:rsidRPr="007C676C" w:rsidRDefault="007456E5" w:rsidP="007456E5">
            <w:pPr>
              <w:ind w:hanging="2"/>
              <w:jc w:val="center"/>
              <w:rPr>
                <w:b/>
              </w:rPr>
            </w:pPr>
            <w:r w:rsidRPr="007C676C">
              <w:rPr>
                <w:b/>
              </w:rPr>
              <w:t>64.7</w:t>
            </w:r>
          </w:p>
        </w:tc>
        <w:tc>
          <w:tcPr>
            <w:tcW w:w="1288" w:type="dxa"/>
            <w:shd w:val="clear" w:color="auto" w:fill="DEEAF6" w:themeFill="accent1" w:themeFillTint="33"/>
          </w:tcPr>
          <w:p w:rsidR="007456E5" w:rsidRPr="00EA695C" w:rsidRDefault="007456E5" w:rsidP="007456E5">
            <w:pPr>
              <w:ind w:hanging="2"/>
              <w:jc w:val="center"/>
            </w:pPr>
            <w:r w:rsidRPr="00EA695C">
              <w:t>58</w:t>
            </w:r>
          </w:p>
        </w:tc>
        <w:tc>
          <w:tcPr>
            <w:tcW w:w="1288" w:type="dxa"/>
            <w:shd w:val="clear" w:color="auto" w:fill="DEEAF6" w:themeFill="accent1" w:themeFillTint="33"/>
          </w:tcPr>
          <w:p w:rsidR="007456E5" w:rsidRPr="00EA695C" w:rsidRDefault="007456E5" w:rsidP="007456E5">
            <w:pPr>
              <w:ind w:hanging="2"/>
              <w:jc w:val="center"/>
            </w:pPr>
            <w:r w:rsidRPr="00EA695C">
              <w:t>70.9</w:t>
            </w:r>
          </w:p>
        </w:tc>
        <w:tc>
          <w:tcPr>
            <w:tcW w:w="1304" w:type="dxa"/>
            <w:shd w:val="clear" w:color="auto" w:fill="DEEAF6" w:themeFill="accent1" w:themeFillTint="33"/>
          </w:tcPr>
          <w:p w:rsidR="007456E5" w:rsidRDefault="007456E5" w:rsidP="007456E5">
            <w:pPr>
              <w:ind w:hanging="2"/>
              <w:jc w:val="center"/>
            </w:pPr>
            <w:r>
              <w:t>-12.9</w:t>
            </w:r>
          </w:p>
        </w:tc>
      </w:tr>
    </w:tbl>
    <w:p w:rsidR="00EA536C" w:rsidRDefault="00EA536C" w:rsidP="00EA536C"/>
    <w:p w:rsidR="00624E81" w:rsidRPr="00624E81" w:rsidRDefault="00624E81" w:rsidP="00EA536C">
      <w:pPr>
        <w:rPr>
          <w:rStyle w:val="IntenseEmphasis"/>
          <w:rFonts w:asciiTheme="majorHAnsi" w:eastAsiaTheme="majorEastAsia" w:hAnsiTheme="majorHAnsi" w:cstheme="majorBidi"/>
          <w:sz w:val="24"/>
          <w:szCs w:val="24"/>
        </w:rPr>
      </w:pPr>
      <w:r w:rsidRPr="00624E81">
        <w:rPr>
          <w:rStyle w:val="IntenseEmphasis"/>
          <w:rFonts w:asciiTheme="majorHAnsi" w:eastAsiaTheme="majorEastAsia" w:hAnsiTheme="majorHAnsi" w:cstheme="majorBidi"/>
          <w:sz w:val="24"/>
          <w:szCs w:val="24"/>
        </w:rPr>
        <w:t>Analysis:</w:t>
      </w:r>
    </w:p>
    <w:p w:rsidR="00182815" w:rsidRDefault="00182815" w:rsidP="00EA536C">
      <w:r w:rsidRPr="00A56BB5">
        <w:t xml:space="preserve">The gap has narrowed </w:t>
      </w:r>
      <w:r w:rsidR="00A56BB5" w:rsidRPr="00A56BB5">
        <w:t>over time</w:t>
      </w:r>
      <w:r w:rsidRPr="00A56BB5">
        <w:t xml:space="preserve"> from </w:t>
      </w:r>
      <w:proofErr w:type="spellStart"/>
      <w:r w:rsidRPr="00A56BB5">
        <w:t>Aut</w:t>
      </w:r>
      <w:proofErr w:type="spellEnd"/>
      <w:r w:rsidRPr="00A56BB5">
        <w:t xml:space="preserve"> 21.22 to </w:t>
      </w:r>
      <w:proofErr w:type="spellStart"/>
      <w:r w:rsidR="00A56BB5" w:rsidRPr="00A56BB5">
        <w:t>Aut</w:t>
      </w:r>
      <w:proofErr w:type="spellEnd"/>
      <w:r w:rsidR="00A56BB5" w:rsidRPr="00A56BB5">
        <w:t xml:space="preserve"> 24.25</w:t>
      </w:r>
      <w:r w:rsidRPr="00A56BB5">
        <w:t xml:space="preserve">. </w:t>
      </w:r>
      <w:r w:rsidR="00A56BB5" w:rsidRPr="00A56BB5">
        <w:t xml:space="preserve">In </w:t>
      </w:r>
      <w:proofErr w:type="spellStart"/>
      <w:r w:rsidR="00A56BB5" w:rsidRPr="00A56BB5">
        <w:t>Aut</w:t>
      </w:r>
      <w:proofErr w:type="spellEnd"/>
      <w:r w:rsidR="00A56BB5" w:rsidRPr="00A56BB5">
        <w:t xml:space="preserve"> 23.24</w:t>
      </w:r>
      <w:r w:rsidRPr="00A56BB5">
        <w:t xml:space="preserve"> it ha</w:t>
      </w:r>
      <w:r w:rsidR="00A56BB5" w:rsidRPr="00A56BB5">
        <w:t>d</w:t>
      </w:r>
      <w:r w:rsidRPr="00A56BB5">
        <w:t xml:space="preserve"> narrowed by</w:t>
      </w:r>
      <w:r w:rsidR="00A56BB5" w:rsidRPr="00A56BB5">
        <w:t xml:space="preserve"> the target set of </w:t>
      </w:r>
      <w:r w:rsidRPr="00A56BB5">
        <w:t>6%.</w:t>
      </w:r>
      <w:r>
        <w:t xml:space="preserve"> </w:t>
      </w:r>
      <w:r w:rsidR="00A56BB5">
        <w:t xml:space="preserve">However the gap does fluctuate overtime. </w:t>
      </w:r>
    </w:p>
    <w:p w:rsidR="00182815" w:rsidRDefault="00182815" w:rsidP="00700E9B">
      <w:pPr>
        <w:rPr>
          <w:b/>
        </w:rPr>
      </w:pPr>
    </w:p>
    <w:p w:rsidR="00700E9B" w:rsidRPr="002C7907" w:rsidRDefault="00700E9B" w:rsidP="00700E9B">
      <w:pPr>
        <w:rPr>
          <w:b/>
        </w:rPr>
      </w:pPr>
      <w:r w:rsidRPr="002C7907">
        <w:rPr>
          <w:b/>
        </w:rPr>
        <w:t>To narrow the gap between boys and girls in writing by 5% by Spring 23.</w:t>
      </w:r>
    </w:p>
    <w:p w:rsidR="00700E9B" w:rsidRPr="00C054BC" w:rsidRDefault="00700E9B" w:rsidP="00700E9B">
      <w:pPr>
        <w:pStyle w:val="Heading3"/>
        <w:ind w:hanging="2"/>
        <w:rPr>
          <w:i/>
          <w:iCs/>
          <w:color w:val="5B9BD5" w:themeColor="accent1"/>
        </w:rPr>
      </w:pPr>
      <w:r>
        <w:rPr>
          <w:rStyle w:val="IntenseEmphasis"/>
        </w:rPr>
        <w:t xml:space="preserve">% of </w:t>
      </w:r>
      <w:r w:rsidRPr="002C7907">
        <w:rPr>
          <w:rStyle w:val="IntenseEmphasis"/>
        </w:rPr>
        <w:t>children achieving working at (EXS) +</w:t>
      </w:r>
      <w:r>
        <w:rPr>
          <w:rStyle w:val="IntenseEmphasis"/>
        </w:rPr>
        <w:t xml:space="preserve"> in writing</w:t>
      </w:r>
    </w:p>
    <w:tbl>
      <w:tblPr>
        <w:tblStyle w:val="TableGrid"/>
        <w:tblW w:w="0" w:type="auto"/>
        <w:tblLook w:val="04A0" w:firstRow="1" w:lastRow="0" w:firstColumn="1" w:lastColumn="0" w:noHBand="0" w:noVBand="1"/>
      </w:tblPr>
      <w:tblGrid>
        <w:gridCol w:w="1288"/>
        <w:gridCol w:w="1288"/>
        <w:gridCol w:w="1288"/>
        <w:gridCol w:w="1288"/>
        <w:gridCol w:w="1304"/>
      </w:tblGrid>
      <w:tr w:rsidR="00700E9B" w:rsidTr="00F368E4">
        <w:tc>
          <w:tcPr>
            <w:tcW w:w="1288" w:type="dxa"/>
          </w:tcPr>
          <w:p w:rsidR="00700E9B" w:rsidRDefault="00700E9B" w:rsidP="00F368E4">
            <w:pPr>
              <w:ind w:hanging="2"/>
            </w:pPr>
          </w:p>
        </w:tc>
        <w:tc>
          <w:tcPr>
            <w:tcW w:w="1288" w:type="dxa"/>
            <w:shd w:val="clear" w:color="auto" w:fill="ACB9CA" w:themeFill="text2" w:themeFillTint="66"/>
          </w:tcPr>
          <w:p w:rsidR="00700E9B" w:rsidRPr="0077612E" w:rsidRDefault="00700E9B" w:rsidP="00F368E4">
            <w:pPr>
              <w:ind w:hanging="2"/>
              <w:jc w:val="center"/>
              <w:rPr>
                <w:b/>
              </w:rPr>
            </w:pPr>
            <w:r w:rsidRPr="0077612E">
              <w:rPr>
                <w:b/>
              </w:rPr>
              <w:t>Whole cohort</w:t>
            </w:r>
          </w:p>
        </w:tc>
        <w:tc>
          <w:tcPr>
            <w:tcW w:w="1288" w:type="dxa"/>
            <w:shd w:val="clear" w:color="auto" w:fill="ACB9CA" w:themeFill="text2" w:themeFillTint="66"/>
          </w:tcPr>
          <w:p w:rsidR="00700E9B" w:rsidRPr="0077612E" w:rsidRDefault="00700E9B" w:rsidP="00F368E4">
            <w:pPr>
              <w:ind w:hanging="2"/>
              <w:jc w:val="center"/>
              <w:rPr>
                <w:b/>
              </w:rPr>
            </w:pPr>
            <w:r w:rsidRPr="0077612E">
              <w:rPr>
                <w:b/>
              </w:rPr>
              <w:t>Girls</w:t>
            </w:r>
          </w:p>
          <w:p w:rsidR="00700E9B" w:rsidRPr="0077612E" w:rsidRDefault="00700E9B" w:rsidP="00F368E4">
            <w:pPr>
              <w:ind w:hanging="2"/>
              <w:jc w:val="center"/>
              <w:rPr>
                <w:b/>
              </w:rPr>
            </w:pPr>
          </w:p>
        </w:tc>
        <w:tc>
          <w:tcPr>
            <w:tcW w:w="1288" w:type="dxa"/>
            <w:shd w:val="clear" w:color="auto" w:fill="ACB9CA" w:themeFill="text2" w:themeFillTint="66"/>
          </w:tcPr>
          <w:p w:rsidR="00700E9B" w:rsidRPr="0077612E" w:rsidRDefault="00700E9B" w:rsidP="00F368E4">
            <w:pPr>
              <w:ind w:hanging="2"/>
              <w:jc w:val="center"/>
              <w:rPr>
                <w:b/>
              </w:rPr>
            </w:pPr>
            <w:r w:rsidRPr="0077612E">
              <w:rPr>
                <w:b/>
              </w:rPr>
              <w:t>Boys</w:t>
            </w:r>
          </w:p>
          <w:p w:rsidR="00700E9B" w:rsidRPr="0077612E" w:rsidRDefault="00700E9B" w:rsidP="00F368E4">
            <w:pPr>
              <w:ind w:hanging="2"/>
              <w:jc w:val="center"/>
              <w:rPr>
                <w:b/>
              </w:rPr>
            </w:pPr>
          </w:p>
        </w:tc>
        <w:tc>
          <w:tcPr>
            <w:tcW w:w="1304" w:type="dxa"/>
            <w:shd w:val="clear" w:color="auto" w:fill="ACB9CA" w:themeFill="text2" w:themeFillTint="66"/>
          </w:tcPr>
          <w:p w:rsidR="00700E9B" w:rsidRDefault="00700E9B" w:rsidP="00F368E4">
            <w:pPr>
              <w:ind w:hanging="2"/>
              <w:jc w:val="center"/>
              <w:rPr>
                <w:b/>
              </w:rPr>
            </w:pPr>
            <w:r>
              <w:rPr>
                <w:b/>
              </w:rPr>
              <w:t xml:space="preserve">Gap </w:t>
            </w:r>
          </w:p>
          <w:p w:rsidR="00700E9B" w:rsidRPr="0077612E" w:rsidRDefault="00700E9B" w:rsidP="00F368E4">
            <w:pPr>
              <w:ind w:hanging="2"/>
              <w:jc w:val="center"/>
              <w:rPr>
                <w:b/>
              </w:rPr>
            </w:pPr>
            <w:r>
              <w:rPr>
                <w:b/>
              </w:rPr>
              <w:t>(difference)</w:t>
            </w:r>
          </w:p>
        </w:tc>
      </w:tr>
      <w:tr w:rsidR="007456E5" w:rsidTr="007456E5">
        <w:tc>
          <w:tcPr>
            <w:tcW w:w="1288" w:type="dxa"/>
            <w:shd w:val="clear" w:color="auto" w:fill="ACB9CA" w:themeFill="text2" w:themeFillTint="66"/>
          </w:tcPr>
          <w:p w:rsidR="007456E5" w:rsidRPr="0077612E" w:rsidRDefault="007456E5" w:rsidP="007456E5">
            <w:pPr>
              <w:ind w:hanging="2"/>
              <w:rPr>
                <w:b/>
              </w:rPr>
            </w:pPr>
            <w:proofErr w:type="spellStart"/>
            <w:r>
              <w:rPr>
                <w:b/>
              </w:rPr>
              <w:t>Aut</w:t>
            </w:r>
            <w:proofErr w:type="spellEnd"/>
            <w:r>
              <w:rPr>
                <w:b/>
              </w:rPr>
              <w:t xml:space="preserve"> 24.25</w:t>
            </w:r>
          </w:p>
        </w:tc>
        <w:tc>
          <w:tcPr>
            <w:tcW w:w="1288" w:type="dxa"/>
            <w:shd w:val="clear" w:color="auto" w:fill="D5DCE4" w:themeFill="text2" w:themeFillTint="33"/>
          </w:tcPr>
          <w:p w:rsidR="007456E5" w:rsidRPr="00E607B6" w:rsidRDefault="007456E5" w:rsidP="007456E5">
            <w:pPr>
              <w:jc w:val="center"/>
              <w:rPr>
                <w:b/>
              </w:rPr>
            </w:pPr>
            <w:r>
              <w:rPr>
                <w:b/>
              </w:rPr>
              <w:t>69.6</w:t>
            </w:r>
          </w:p>
        </w:tc>
        <w:tc>
          <w:tcPr>
            <w:tcW w:w="1288" w:type="dxa"/>
            <w:shd w:val="clear" w:color="auto" w:fill="DEEAF6" w:themeFill="accent1" w:themeFillTint="33"/>
          </w:tcPr>
          <w:p w:rsidR="007456E5" w:rsidRPr="00E607B6" w:rsidRDefault="007456E5" w:rsidP="007456E5">
            <w:pPr>
              <w:jc w:val="center"/>
            </w:pPr>
            <w:r>
              <w:t>72.3</w:t>
            </w:r>
          </w:p>
        </w:tc>
        <w:tc>
          <w:tcPr>
            <w:tcW w:w="1288" w:type="dxa"/>
            <w:shd w:val="clear" w:color="auto" w:fill="DEEAF6" w:themeFill="accent1" w:themeFillTint="33"/>
          </w:tcPr>
          <w:p w:rsidR="007456E5" w:rsidRPr="00E607B6" w:rsidRDefault="007456E5" w:rsidP="007456E5">
            <w:pPr>
              <w:jc w:val="center"/>
            </w:pPr>
            <w:r>
              <w:t>67.1</w:t>
            </w:r>
          </w:p>
        </w:tc>
        <w:tc>
          <w:tcPr>
            <w:tcW w:w="1304" w:type="dxa"/>
            <w:shd w:val="clear" w:color="auto" w:fill="DEEAF6" w:themeFill="accent1" w:themeFillTint="33"/>
          </w:tcPr>
          <w:p w:rsidR="007456E5" w:rsidRPr="00D36824" w:rsidRDefault="007960DF" w:rsidP="007456E5">
            <w:pPr>
              <w:jc w:val="center"/>
            </w:pPr>
            <w:r>
              <w:t>-</w:t>
            </w:r>
            <w:r w:rsidR="007456E5">
              <w:t>5.2</w:t>
            </w:r>
          </w:p>
        </w:tc>
      </w:tr>
      <w:tr w:rsidR="007456E5" w:rsidTr="007456E5">
        <w:tc>
          <w:tcPr>
            <w:tcW w:w="1288" w:type="dxa"/>
            <w:shd w:val="clear" w:color="auto" w:fill="ACB9CA" w:themeFill="text2" w:themeFillTint="66"/>
          </w:tcPr>
          <w:p w:rsidR="007456E5" w:rsidRDefault="007456E5" w:rsidP="007456E5">
            <w:pPr>
              <w:ind w:hanging="2"/>
              <w:rPr>
                <w:b/>
              </w:rPr>
            </w:pPr>
            <w:r>
              <w:rPr>
                <w:b/>
              </w:rPr>
              <w:t>Sum 23.24</w:t>
            </w:r>
          </w:p>
        </w:tc>
        <w:tc>
          <w:tcPr>
            <w:tcW w:w="1288" w:type="dxa"/>
            <w:shd w:val="clear" w:color="auto" w:fill="D5DCE4" w:themeFill="text2" w:themeFillTint="33"/>
          </w:tcPr>
          <w:p w:rsidR="007456E5" w:rsidRPr="00D36824" w:rsidRDefault="007456E5" w:rsidP="007456E5">
            <w:pPr>
              <w:jc w:val="center"/>
              <w:rPr>
                <w:b/>
              </w:rPr>
            </w:pPr>
            <w:r w:rsidRPr="00D36824">
              <w:rPr>
                <w:b/>
              </w:rPr>
              <w:t>76.1</w:t>
            </w:r>
          </w:p>
        </w:tc>
        <w:tc>
          <w:tcPr>
            <w:tcW w:w="1288" w:type="dxa"/>
            <w:shd w:val="clear" w:color="auto" w:fill="DEEAF6" w:themeFill="accent1" w:themeFillTint="33"/>
          </w:tcPr>
          <w:p w:rsidR="007456E5" w:rsidRPr="008E1C1D" w:rsidRDefault="007456E5" w:rsidP="007456E5">
            <w:pPr>
              <w:jc w:val="center"/>
            </w:pPr>
            <w:r w:rsidRPr="008E1C1D">
              <w:t>78.6</w:t>
            </w:r>
          </w:p>
        </w:tc>
        <w:tc>
          <w:tcPr>
            <w:tcW w:w="1288" w:type="dxa"/>
            <w:shd w:val="clear" w:color="auto" w:fill="DEEAF6" w:themeFill="accent1" w:themeFillTint="33"/>
          </w:tcPr>
          <w:p w:rsidR="007456E5" w:rsidRPr="008E1C1D" w:rsidRDefault="007456E5" w:rsidP="007456E5">
            <w:pPr>
              <w:jc w:val="center"/>
            </w:pPr>
            <w:r w:rsidRPr="008E1C1D">
              <w:t>73.6</w:t>
            </w:r>
          </w:p>
        </w:tc>
        <w:tc>
          <w:tcPr>
            <w:tcW w:w="1304" w:type="dxa"/>
            <w:shd w:val="clear" w:color="auto" w:fill="DEEAF6" w:themeFill="accent1" w:themeFillTint="33"/>
          </w:tcPr>
          <w:p w:rsidR="007456E5" w:rsidRPr="00D36824" w:rsidRDefault="007960DF" w:rsidP="007456E5">
            <w:pPr>
              <w:jc w:val="center"/>
            </w:pPr>
            <w:r>
              <w:t>-</w:t>
            </w:r>
            <w:r w:rsidR="007456E5" w:rsidRPr="00D36824">
              <w:t>5</w:t>
            </w:r>
          </w:p>
        </w:tc>
      </w:tr>
      <w:tr w:rsidR="007456E5" w:rsidTr="007456E5">
        <w:tc>
          <w:tcPr>
            <w:tcW w:w="1288" w:type="dxa"/>
            <w:shd w:val="clear" w:color="auto" w:fill="ACB9CA" w:themeFill="text2" w:themeFillTint="66"/>
          </w:tcPr>
          <w:p w:rsidR="007456E5" w:rsidRDefault="007456E5" w:rsidP="007456E5">
            <w:pPr>
              <w:ind w:hanging="2"/>
              <w:rPr>
                <w:b/>
              </w:rPr>
            </w:pPr>
            <w:proofErr w:type="spellStart"/>
            <w:r>
              <w:rPr>
                <w:b/>
              </w:rPr>
              <w:t>Spr</w:t>
            </w:r>
            <w:proofErr w:type="spellEnd"/>
            <w:r>
              <w:rPr>
                <w:b/>
              </w:rPr>
              <w:t xml:space="preserve"> 23.24</w:t>
            </w:r>
          </w:p>
        </w:tc>
        <w:tc>
          <w:tcPr>
            <w:tcW w:w="1288" w:type="dxa"/>
            <w:shd w:val="clear" w:color="auto" w:fill="D5DCE4" w:themeFill="text2" w:themeFillTint="33"/>
          </w:tcPr>
          <w:p w:rsidR="007456E5" w:rsidRPr="00C2568C" w:rsidRDefault="007456E5" w:rsidP="007456E5">
            <w:pPr>
              <w:jc w:val="center"/>
              <w:rPr>
                <w:b/>
              </w:rPr>
            </w:pPr>
            <w:r w:rsidRPr="00BF2637">
              <w:rPr>
                <w:b/>
              </w:rPr>
              <w:t>77.4</w:t>
            </w:r>
          </w:p>
        </w:tc>
        <w:tc>
          <w:tcPr>
            <w:tcW w:w="1288" w:type="dxa"/>
            <w:shd w:val="clear" w:color="auto" w:fill="DEEAF6" w:themeFill="accent1" w:themeFillTint="33"/>
          </w:tcPr>
          <w:p w:rsidR="007456E5" w:rsidRPr="006D3F02" w:rsidRDefault="007456E5" w:rsidP="007456E5">
            <w:pPr>
              <w:jc w:val="center"/>
            </w:pPr>
            <w:r>
              <w:t>71.5</w:t>
            </w:r>
          </w:p>
        </w:tc>
        <w:tc>
          <w:tcPr>
            <w:tcW w:w="1288" w:type="dxa"/>
            <w:shd w:val="clear" w:color="auto" w:fill="DEEAF6" w:themeFill="accent1" w:themeFillTint="33"/>
          </w:tcPr>
          <w:p w:rsidR="007456E5" w:rsidRPr="006D3F02" w:rsidRDefault="007456E5" w:rsidP="007456E5">
            <w:pPr>
              <w:jc w:val="center"/>
            </w:pPr>
            <w:r w:rsidRPr="001E25E8">
              <w:t>65.1</w:t>
            </w:r>
          </w:p>
        </w:tc>
        <w:tc>
          <w:tcPr>
            <w:tcW w:w="1304" w:type="dxa"/>
            <w:shd w:val="clear" w:color="auto" w:fill="DEEAF6" w:themeFill="accent1" w:themeFillTint="33"/>
          </w:tcPr>
          <w:p w:rsidR="007456E5" w:rsidRPr="00236B38" w:rsidRDefault="007960DF" w:rsidP="007456E5">
            <w:pPr>
              <w:jc w:val="center"/>
              <w:rPr>
                <w:i/>
                <w:sz w:val="24"/>
                <w:szCs w:val="24"/>
              </w:rPr>
            </w:pPr>
            <w:r>
              <w:rPr>
                <w:i/>
                <w:sz w:val="24"/>
                <w:szCs w:val="24"/>
              </w:rPr>
              <w:t>-</w:t>
            </w:r>
            <w:r w:rsidR="007456E5">
              <w:rPr>
                <w:i/>
                <w:sz w:val="24"/>
                <w:szCs w:val="24"/>
              </w:rPr>
              <w:t>6.4</w:t>
            </w:r>
          </w:p>
        </w:tc>
      </w:tr>
      <w:tr w:rsidR="007456E5" w:rsidTr="00F368E4">
        <w:trPr>
          <w:trHeight w:val="86"/>
        </w:trPr>
        <w:tc>
          <w:tcPr>
            <w:tcW w:w="1288" w:type="dxa"/>
            <w:shd w:val="clear" w:color="auto" w:fill="ACB9CA" w:themeFill="text2" w:themeFillTint="66"/>
          </w:tcPr>
          <w:p w:rsidR="007456E5" w:rsidRPr="0077612E" w:rsidRDefault="007456E5" w:rsidP="007456E5">
            <w:pPr>
              <w:ind w:hanging="2"/>
              <w:rPr>
                <w:b/>
              </w:rPr>
            </w:pPr>
            <w:proofErr w:type="spellStart"/>
            <w:r>
              <w:rPr>
                <w:b/>
              </w:rPr>
              <w:t>Aut</w:t>
            </w:r>
            <w:proofErr w:type="spellEnd"/>
            <w:r>
              <w:rPr>
                <w:b/>
              </w:rPr>
              <w:t xml:space="preserve"> 23.24</w:t>
            </w:r>
          </w:p>
        </w:tc>
        <w:tc>
          <w:tcPr>
            <w:tcW w:w="1288" w:type="dxa"/>
            <w:shd w:val="clear" w:color="auto" w:fill="D5DCE4" w:themeFill="text2" w:themeFillTint="33"/>
          </w:tcPr>
          <w:p w:rsidR="007456E5" w:rsidRDefault="007456E5" w:rsidP="007456E5">
            <w:pPr>
              <w:ind w:hanging="2"/>
              <w:jc w:val="center"/>
              <w:rPr>
                <w:b/>
              </w:rPr>
            </w:pPr>
            <w:r w:rsidRPr="0082078A">
              <w:rPr>
                <w:b/>
              </w:rPr>
              <w:t>62.5</w:t>
            </w:r>
          </w:p>
        </w:tc>
        <w:tc>
          <w:tcPr>
            <w:tcW w:w="1288" w:type="dxa"/>
            <w:shd w:val="clear" w:color="auto" w:fill="DEEAF6" w:themeFill="accent1" w:themeFillTint="33"/>
          </w:tcPr>
          <w:p w:rsidR="007456E5" w:rsidRPr="0082078A" w:rsidRDefault="007456E5" w:rsidP="007456E5">
            <w:pPr>
              <w:ind w:hanging="2"/>
              <w:jc w:val="center"/>
            </w:pPr>
            <w:r w:rsidRPr="0082078A">
              <w:t>68</w:t>
            </w:r>
          </w:p>
        </w:tc>
        <w:tc>
          <w:tcPr>
            <w:tcW w:w="1288" w:type="dxa"/>
            <w:shd w:val="clear" w:color="auto" w:fill="DEEAF6" w:themeFill="accent1" w:themeFillTint="33"/>
          </w:tcPr>
          <w:p w:rsidR="007456E5" w:rsidRPr="0082078A" w:rsidRDefault="007456E5" w:rsidP="007456E5">
            <w:pPr>
              <w:ind w:hanging="2"/>
              <w:jc w:val="center"/>
            </w:pPr>
            <w:r w:rsidRPr="0082078A">
              <w:t>57.3</w:t>
            </w:r>
          </w:p>
        </w:tc>
        <w:tc>
          <w:tcPr>
            <w:tcW w:w="1304" w:type="dxa"/>
            <w:shd w:val="clear" w:color="auto" w:fill="DEEAF6" w:themeFill="accent1" w:themeFillTint="33"/>
          </w:tcPr>
          <w:p w:rsidR="007456E5" w:rsidRPr="0082078A" w:rsidRDefault="007456E5" w:rsidP="007456E5">
            <w:pPr>
              <w:ind w:hanging="2"/>
              <w:jc w:val="center"/>
            </w:pPr>
            <w:r>
              <w:t>-</w:t>
            </w:r>
            <w:r w:rsidRPr="0082078A">
              <w:t>10.7</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r>
              <w:rPr>
                <w:b/>
              </w:rPr>
              <w:t>Sum 22.23</w:t>
            </w:r>
          </w:p>
        </w:tc>
        <w:tc>
          <w:tcPr>
            <w:tcW w:w="1288" w:type="dxa"/>
            <w:shd w:val="clear" w:color="auto" w:fill="D5DCE4" w:themeFill="text2" w:themeFillTint="33"/>
          </w:tcPr>
          <w:p w:rsidR="007456E5" w:rsidRDefault="007456E5" w:rsidP="007456E5">
            <w:pPr>
              <w:ind w:hanging="2"/>
              <w:jc w:val="center"/>
              <w:rPr>
                <w:b/>
              </w:rPr>
            </w:pPr>
            <w:r w:rsidRPr="0082078A">
              <w:rPr>
                <w:b/>
              </w:rPr>
              <w:t>78.3</w:t>
            </w:r>
          </w:p>
        </w:tc>
        <w:tc>
          <w:tcPr>
            <w:tcW w:w="1288" w:type="dxa"/>
            <w:shd w:val="clear" w:color="auto" w:fill="DEEAF6" w:themeFill="accent1" w:themeFillTint="33"/>
          </w:tcPr>
          <w:p w:rsidR="007456E5" w:rsidRDefault="007456E5" w:rsidP="007456E5">
            <w:pPr>
              <w:ind w:hanging="2"/>
              <w:jc w:val="center"/>
            </w:pPr>
            <w:r w:rsidRPr="0082078A">
              <w:t>82.3</w:t>
            </w:r>
          </w:p>
        </w:tc>
        <w:tc>
          <w:tcPr>
            <w:tcW w:w="1288" w:type="dxa"/>
            <w:shd w:val="clear" w:color="auto" w:fill="DEEAF6" w:themeFill="accent1" w:themeFillTint="33"/>
          </w:tcPr>
          <w:p w:rsidR="007456E5" w:rsidRPr="00EA695C" w:rsidRDefault="007456E5" w:rsidP="007456E5">
            <w:pPr>
              <w:ind w:hanging="2"/>
              <w:jc w:val="center"/>
            </w:pPr>
            <w:r w:rsidRPr="0082078A">
              <w:t>74.1</w:t>
            </w:r>
          </w:p>
        </w:tc>
        <w:tc>
          <w:tcPr>
            <w:tcW w:w="1304" w:type="dxa"/>
            <w:shd w:val="clear" w:color="auto" w:fill="DEEAF6" w:themeFill="accent1" w:themeFillTint="33"/>
          </w:tcPr>
          <w:p w:rsidR="007456E5" w:rsidRDefault="007456E5" w:rsidP="007456E5">
            <w:pPr>
              <w:ind w:hanging="2"/>
              <w:jc w:val="center"/>
            </w:pPr>
            <w:r>
              <w:t>-</w:t>
            </w:r>
            <w:r w:rsidRPr="0082078A">
              <w:t>8.3</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proofErr w:type="spellStart"/>
            <w:r>
              <w:rPr>
                <w:b/>
              </w:rPr>
              <w:t>Spr</w:t>
            </w:r>
            <w:proofErr w:type="spellEnd"/>
            <w:r>
              <w:rPr>
                <w:b/>
              </w:rPr>
              <w:t xml:space="preserve"> 22.23</w:t>
            </w:r>
          </w:p>
        </w:tc>
        <w:tc>
          <w:tcPr>
            <w:tcW w:w="1288" w:type="dxa"/>
            <w:shd w:val="clear" w:color="auto" w:fill="D5DCE4" w:themeFill="text2" w:themeFillTint="33"/>
          </w:tcPr>
          <w:p w:rsidR="007456E5" w:rsidRDefault="007456E5" w:rsidP="007456E5">
            <w:pPr>
              <w:ind w:hanging="2"/>
              <w:jc w:val="center"/>
              <w:rPr>
                <w:b/>
              </w:rPr>
            </w:pPr>
            <w:r w:rsidRPr="0082078A">
              <w:rPr>
                <w:b/>
              </w:rPr>
              <w:t>71.4</w:t>
            </w:r>
          </w:p>
        </w:tc>
        <w:tc>
          <w:tcPr>
            <w:tcW w:w="1288" w:type="dxa"/>
            <w:shd w:val="clear" w:color="auto" w:fill="DEEAF6" w:themeFill="accent1" w:themeFillTint="33"/>
          </w:tcPr>
          <w:p w:rsidR="007456E5" w:rsidRDefault="007456E5" w:rsidP="007456E5">
            <w:pPr>
              <w:ind w:hanging="2"/>
              <w:jc w:val="center"/>
            </w:pPr>
            <w:r>
              <w:t>77.5</w:t>
            </w:r>
          </w:p>
        </w:tc>
        <w:tc>
          <w:tcPr>
            <w:tcW w:w="1288" w:type="dxa"/>
            <w:shd w:val="clear" w:color="auto" w:fill="DEEAF6" w:themeFill="accent1" w:themeFillTint="33"/>
          </w:tcPr>
          <w:p w:rsidR="007456E5" w:rsidRPr="00EA695C" w:rsidRDefault="007456E5" w:rsidP="007456E5">
            <w:pPr>
              <w:ind w:hanging="2"/>
              <w:jc w:val="center"/>
            </w:pPr>
            <w:r w:rsidRPr="0082078A">
              <w:t>65.7</w:t>
            </w:r>
          </w:p>
        </w:tc>
        <w:tc>
          <w:tcPr>
            <w:tcW w:w="1304" w:type="dxa"/>
            <w:shd w:val="clear" w:color="auto" w:fill="DEEAF6" w:themeFill="accent1" w:themeFillTint="33"/>
          </w:tcPr>
          <w:p w:rsidR="007456E5" w:rsidRDefault="007456E5" w:rsidP="007456E5">
            <w:pPr>
              <w:ind w:hanging="2"/>
              <w:jc w:val="center"/>
            </w:pPr>
            <w:r>
              <w:t>-</w:t>
            </w:r>
            <w:r w:rsidRPr="0082078A">
              <w:t>11.8</w:t>
            </w:r>
          </w:p>
        </w:tc>
      </w:tr>
      <w:tr w:rsidR="007456E5" w:rsidTr="00F368E4">
        <w:trPr>
          <w:trHeight w:val="86"/>
        </w:trPr>
        <w:tc>
          <w:tcPr>
            <w:tcW w:w="1288" w:type="dxa"/>
            <w:shd w:val="clear" w:color="auto" w:fill="ACB9CA" w:themeFill="text2" w:themeFillTint="66"/>
          </w:tcPr>
          <w:p w:rsidR="007456E5" w:rsidRPr="0077612E" w:rsidRDefault="007456E5" w:rsidP="007456E5">
            <w:pPr>
              <w:ind w:hanging="2"/>
              <w:rPr>
                <w:b/>
              </w:rPr>
            </w:pPr>
            <w:proofErr w:type="spellStart"/>
            <w:r>
              <w:rPr>
                <w:b/>
              </w:rPr>
              <w:t>Aut</w:t>
            </w:r>
            <w:proofErr w:type="spellEnd"/>
            <w:r>
              <w:rPr>
                <w:b/>
              </w:rPr>
              <w:t xml:space="preserve"> 22.23</w:t>
            </w:r>
          </w:p>
        </w:tc>
        <w:tc>
          <w:tcPr>
            <w:tcW w:w="1288" w:type="dxa"/>
            <w:shd w:val="clear" w:color="auto" w:fill="D5DCE4" w:themeFill="text2" w:themeFillTint="33"/>
          </w:tcPr>
          <w:p w:rsidR="007456E5" w:rsidRPr="00FA7862" w:rsidRDefault="007456E5" w:rsidP="007456E5">
            <w:pPr>
              <w:ind w:hanging="2"/>
              <w:jc w:val="center"/>
              <w:rPr>
                <w:b/>
              </w:rPr>
            </w:pPr>
            <w:r>
              <w:rPr>
                <w:b/>
              </w:rPr>
              <w:t>67.2%</w:t>
            </w:r>
          </w:p>
        </w:tc>
        <w:tc>
          <w:tcPr>
            <w:tcW w:w="1288" w:type="dxa"/>
            <w:shd w:val="clear" w:color="auto" w:fill="DEEAF6" w:themeFill="accent1" w:themeFillTint="33"/>
          </w:tcPr>
          <w:p w:rsidR="007456E5" w:rsidRPr="00FA7862" w:rsidRDefault="007456E5" w:rsidP="007456E5">
            <w:pPr>
              <w:ind w:hanging="2"/>
              <w:jc w:val="center"/>
            </w:pPr>
            <w:r>
              <w:t>74%</w:t>
            </w:r>
          </w:p>
        </w:tc>
        <w:tc>
          <w:tcPr>
            <w:tcW w:w="1288" w:type="dxa"/>
            <w:shd w:val="clear" w:color="auto" w:fill="DEEAF6" w:themeFill="accent1" w:themeFillTint="33"/>
          </w:tcPr>
          <w:p w:rsidR="007456E5" w:rsidRPr="00EA695C" w:rsidRDefault="007456E5" w:rsidP="007456E5">
            <w:pPr>
              <w:ind w:hanging="2"/>
              <w:jc w:val="center"/>
            </w:pPr>
            <w:r w:rsidRPr="00EA695C">
              <w:t>61%</w:t>
            </w:r>
          </w:p>
        </w:tc>
        <w:tc>
          <w:tcPr>
            <w:tcW w:w="1304" w:type="dxa"/>
            <w:shd w:val="clear" w:color="auto" w:fill="DEEAF6" w:themeFill="accent1" w:themeFillTint="33"/>
          </w:tcPr>
          <w:p w:rsidR="007456E5" w:rsidRPr="0082078A" w:rsidRDefault="007456E5" w:rsidP="007456E5">
            <w:pPr>
              <w:ind w:hanging="2"/>
              <w:jc w:val="center"/>
            </w:pPr>
            <w:r w:rsidRPr="00C054BC">
              <w:t>-13</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r>
              <w:rPr>
                <w:b/>
              </w:rPr>
              <w:t>Sum 21.22</w:t>
            </w:r>
          </w:p>
        </w:tc>
        <w:tc>
          <w:tcPr>
            <w:tcW w:w="1288" w:type="dxa"/>
            <w:shd w:val="clear" w:color="auto" w:fill="D5DCE4" w:themeFill="text2" w:themeFillTint="33"/>
          </w:tcPr>
          <w:p w:rsidR="007456E5" w:rsidRPr="007C676C" w:rsidRDefault="007456E5" w:rsidP="007456E5">
            <w:pPr>
              <w:ind w:hanging="2"/>
              <w:jc w:val="center"/>
              <w:rPr>
                <w:b/>
              </w:rPr>
            </w:pPr>
            <w:r>
              <w:rPr>
                <w:b/>
              </w:rPr>
              <w:t>79.9</w:t>
            </w:r>
          </w:p>
        </w:tc>
        <w:tc>
          <w:tcPr>
            <w:tcW w:w="1288" w:type="dxa"/>
            <w:shd w:val="clear" w:color="auto" w:fill="DEEAF6" w:themeFill="accent1" w:themeFillTint="33"/>
          </w:tcPr>
          <w:p w:rsidR="007456E5" w:rsidRDefault="007456E5" w:rsidP="007456E5">
            <w:pPr>
              <w:ind w:hanging="2"/>
              <w:jc w:val="center"/>
            </w:pPr>
            <w:r>
              <w:t>84.5</w:t>
            </w:r>
          </w:p>
        </w:tc>
        <w:tc>
          <w:tcPr>
            <w:tcW w:w="1288" w:type="dxa"/>
            <w:shd w:val="clear" w:color="auto" w:fill="DEEAF6" w:themeFill="accent1" w:themeFillTint="33"/>
          </w:tcPr>
          <w:p w:rsidR="007456E5" w:rsidRPr="00EA695C" w:rsidRDefault="007456E5" w:rsidP="007456E5">
            <w:pPr>
              <w:ind w:hanging="2"/>
              <w:jc w:val="center"/>
            </w:pPr>
            <w:r w:rsidRPr="00EA695C">
              <w:t>75.7</w:t>
            </w:r>
          </w:p>
        </w:tc>
        <w:tc>
          <w:tcPr>
            <w:tcW w:w="1304" w:type="dxa"/>
            <w:shd w:val="clear" w:color="auto" w:fill="DEEAF6" w:themeFill="accent1" w:themeFillTint="33"/>
          </w:tcPr>
          <w:p w:rsidR="007456E5" w:rsidRDefault="007456E5" w:rsidP="007456E5">
            <w:pPr>
              <w:ind w:hanging="2"/>
              <w:jc w:val="center"/>
            </w:pPr>
            <w:r>
              <w:t>-8.8</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proofErr w:type="spellStart"/>
            <w:r>
              <w:rPr>
                <w:b/>
              </w:rPr>
              <w:t>Spr</w:t>
            </w:r>
            <w:proofErr w:type="spellEnd"/>
            <w:r>
              <w:rPr>
                <w:b/>
              </w:rPr>
              <w:t xml:space="preserve"> 21.22</w:t>
            </w:r>
          </w:p>
        </w:tc>
        <w:tc>
          <w:tcPr>
            <w:tcW w:w="1288" w:type="dxa"/>
            <w:shd w:val="clear" w:color="auto" w:fill="D5DCE4" w:themeFill="text2" w:themeFillTint="33"/>
          </w:tcPr>
          <w:p w:rsidR="007456E5" w:rsidRPr="007C676C" w:rsidRDefault="007456E5" w:rsidP="007456E5">
            <w:pPr>
              <w:ind w:hanging="2"/>
              <w:jc w:val="center"/>
              <w:rPr>
                <w:b/>
              </w:rPr>
            </w:pPr>
            <w:r>
              <w:rPr>
                <w:b/>
              </w:rPr>
              <w:t>70.9</w:t>
            </w:r>
          </w:p>
        </w:tc>
        <w:tc>
          <w:tcPr>
            <w:tcW w:w="1288" w:type="dxa"/>
            <w:shd w:val="clear" w:color="auto" w:fill="DEEAF6" w:themeFill="accent1" w:themeFillTint="33"/>
          </w:tcPr>
          <w:p w:rsidR="007456E5" w:rsidRDefault="007456E5" w:rsidP="007456E5">
            <w:pPr>
              <w:ind w:hanging="2"/>
              <w:jc w:val="center"/>
            </w:pPr>
            <w:r>
              <w:t>75.2</w:t>
            </w:r>
          </w:p>
        </w:tc>
        <w:tc>
          <w:tcPr>
            <w:tcW w:w="1288" w:type="dxa"/>
            <w:shd w:val="clear" w:color="auto" w:fill="DEEAF6" w:themeFill="accent1" w:themeFillTint="33"/>
          </w:tcPr>
          <w:p w:rsidR="007456E5" w:rsidRPr="00EA695C" w:rsidRDefault="007456E5" w:rsidP="007456E5">
            <w:pPr>
              <w:ind w:hanging="2"/>
              <w:jc w:val="center"/>
            </w:pPr>
            <w:r w:rsidRPr="00EA695C">
              <w:t>66.8</w:t>
            </w:r>
          </w:p>
        </w:tc>
        <w:tc>
          <w:tcPr>
            <w:tcW w:w="1304" w:type="dxa"/>
            <w:shd w:val="clear" w:color="auto" w:fill="DEEAF6" w:themeFill="accent1" w:themeFillTint="33"/>
          </w:tcPr>
          <w:p w:rsidR="007456E5" w:rsidRDefault="007456E5" w:rsidP="007456E5">
            <w:pPr>
              <w:ind w:hanging="2"/>
              <w:jc w:val="center"/>
            </w:pPr>
            <w:r>
              <w:t>-8.4</w:t>
            </w:r>
          </w:p>
        </w:tc>
      </w:tr>
      <w:tr w:rsidR="007456E5" w:rsidTr="00F368E4">
        <w:trPr>
          <w:trHeight w:val="86"/>
        </w:trPr>
        <w:tc>
          <w:tcPr>
            <w:tcW w:w="1288" w:type="dxa"/>
            <w:shd w:val="clear" w:color="auto" w:fill="ACB9CA" w:themeFill="text2" w:themeFillTint="66"/>
          </w:tcPr>
          <w:p w:rsidR="007456E5" w:rsidRDefault="007456E5" w:rsidP="007456E5">
            <w:pPr>
              <w:ind w:hanging="2"/>
              <w:rPr>
                <w:b/>
              </w:rPr>
            </w:pPr>
            <w:proofErr w:type="spellStart"/>
            <w:r>
              <w:rPr>
                <w:b/>
              </w:rPr>
              <w:t>Aut</w:t>
            </w:r>
            <w:proofErr w:type="spellEnd"/>
            <w:r>
              <w:rPr>
                <w:b/>
              </w:rPr>
              <w:t xml:space="preserve"> 21.22</w:t>
            </w:r>
          </w:p>
        </w:tc>
        <w:tc>
          <w:tcPr>
            <w:tcW w:w="1288" w:type="dxa"/>
            <w:shd w:val="clear" w:color="auto" w:fill="D5DCE4" w:themeFill="text2" w:themeFillTint="33"/>
          </w:tcPr>
          <w:p w:rsidR="007456E5" w:rsidRPr="007C676C" w:rsidRDefault="007456E5" w:rsidP="007456E5">
            <w:pPr>
              <w:ind w:hanging="2"/>
              <w:jc w:val="center"/>
              <w:rPr>
                <w:b/>
              </w:rPr>
            </w:pPr>
            <w:r w:rsidRPr="007C676C">
              <w:rPr>
                <w:b/>
              </w:rPr>
              <w:t>62.9</w:t>
            </w:r>
          </w:p>
        </w:tc>
        <w:tc>
          <w:tcPr>
            <w:tcW w:w="1288" w:type="dxa"/>
            <w:shd w:val="clear" w:color="auto" w:fill="DEEAF6" w:themeFill="accent1" w:themeFillTint="33"/>
          </w:tcPr>
          <w:p w:rsidR="007456E5" w:rsidRDefault="007456E5" w:rsidP="007456E5">
            <w:pPr>
              <w:ind w:hanging="2"/>
              <w:jc w:val="center"/>
            </w:pPr>
            <w:r>
              <w:t>68.5</w:t>
            </w:r>
          </w:p>
        </w:tc>
        <w:tc>
          <w:tcPr>
            <w:tcW w:w="1288" w:type="dxa"/>
            <w:shd w:val="clear" w:color="auto" w:fill="DEEAF6" w:themeFill="accent1" w:themeFillTint="33"/>
          </w:tcPr>
          <w:p w:rsidR="007456E5" w:rsidRPr="00EA695C" w:rsidRDefault="007456E5" w:rsidP="007456E5">
            <w:pPr>
              <w:ind w:hanging="2"/>
              <w:jc w:val="center"/>
            </w:pPr>
            <w:r w:rsidRPr="00EA695C">
              <w:t>57.8</w:t>
            </w:r>
          </w:p>
        </w:tc>
        <w:tc>
          <w:tcPr>
            <w:tcW w:w="1304" w:type="dxa"/>
            <w:shd w:val="clear" w:color="auto" w:fill="DEEAF6" w:themeFill="accent1" w:themeFillTint="33"/>
          </w:tcPr>
          <w:p w:rsidR="007456E5" w:rsidRPr="00721A2C" w:rsidRDefault="007456E5" w:rsidP="007456E5">
            <w:pPr>
              <w:ind w:hanging="2"/>
              <w:jc w:val="center"/>
              <w:rPr>
                <w:highlight w:val="yellow"/>
              </w:rPr>
            </w:pPr>
            <w:r w:rsidRPr="00C054BC">
              <w:t>-10.7</w:t>
            </w:r>
          </w:p>
        </w:tc>
      </w:tr>
    </w:tbl>
    <w:p w:rsidR="00182815" w:rsidRDefault="00182815" w:rsidP="00182815"/>
    <w:p w:rsidR="00624E81" w:rsidRPr="00624E81" w:rsidRDefault="00624E81" w:rsidP="00624E81">
      <w:pPr>
        <w:rPr>
          <w:rStyle w:val="IntenseEmphasis"/>
          <w:rFonts w:asciiTheme="majorHAnsi" w:eastAsiaTheme="majorEastAsia" w:hAnsiTheme="majorHAnsi" w:cstheme="majorBidi"/>
          <w:sz w:val="24"/>
          <w:szCs w:val="24"/>
        </w:rPr>
      </w:pPr>
      <w:r w:rsidRPr="00624E81">
        <w:rPr>
          <w:rStyle w:val="IntenseEmphasis"/>
          <w:rFonts w:asciiTheme="majorHAnsi" w:eastAsiaTheme="majorEastAsia" w:hAnsiTheme="majorHAnsi" w:cstheme="majorBidi"/>
          <w:sz w:val="24"/>
          <w:szCs w:val="24"/>
        </w:rPr>
        <w:t>Analysis:</w:t>
      </w:r>
    </w:p>
    <w:p w:rsidR="00610566" w:rsidRDefault="00A56BB5" w:rsidP="00EA536C">
      <w:pPr>
        <w:rPr>
          <w:b/>
          <w:i/>
          <w:u w:val="single"/>
        </w:rPr>
      </w:pPr>
      <w:r w:rsidRPr="00A56BB5">
        <w:t>To date (</w:t>
      </w:r>
      <w:proofErr w:type="spellStart"/>
      <w:r w:rsidRPr="00A56BB5">
        <w:t>Aut</w:t>
      </w:r>
      <w:proofErr w:type="spellEnd"/>
      <w:r w:rsidRPr="00A56BB5">
        <w:t xml:space="preserve"> 24</w:t>
      </w:r>
      <w:r w:rsidR="00182815" w:rsidRPr="00A56BB5">
        <w:t>.2</w:t>
      </w:r>
      <w:r w:rsidRPr="00A56BB5">
        <w:t>5</w:t>
      </w:r>
      <w:r w:rsidR="00182815" w:rsidRPr="00A56BB5">
        <w:t xml:space="preserve">) </w:t>
      </w:r>
      <w:r w:rsidRPr="00A56BB5">
        <w:t>the gap has</w:t>
      </w:r>
      <w:r w:rsidR="001F2630" w:rsidRPr="00A56BB5">
        <w:t xml:space="preserve"> decreased by </w:t>
      </w:r>
      <w:r w:rsidRPr="00A56BB5">
        <w:t>5.5</w:t>
      </w:r>
      <w:r w:rsidR="001F2630" w:rsidRPr="00A56BB5">
        <w:t xml:space="preserve">pp </w:t>
      </w:r>
      <w:r w:rsidRPr="00A56BB5">
        <w:t xml:space="preserve">since </w:t>
      </w:r>
      <w:proofErr w:type="spellStart"/>
      <w:r w:rsidRPr="00A56BB5">
        <w:t>Aut</w:t>
      </w:r>
      <w:proofErr w:type="spellEnd"/>
      <w:r w:rsidRPr="00A56BB5">
        <w:t xml:space="preserve"> 21.22, therefore meeting the target. </w:t>
      </w:r>
      <w:r w:rsidR="001F2630">
        <w:t xml:space="preserve"> </w:t>
      </w:r>
      <w:r>
        <w:t xml:space="preserve">It has taken some time to narrow this gap and it is still fluctuating. </w:t>
      </w:r>
    </w:p>
    <w:sectPr w:rsidR="00610566" w:rsidSect="003E6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TPreCursivef">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FD0"/>
    <w:multiLevelType w:val="hybridMultilevel"/>
    <w:tmpl w:val="142AD7EE"/>
    <w:lvl w:ilvl="0" w:tplc="85B888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F64B2"/>
    <w:multiLevelType w:val="hybridMultilevel"/>
    <w:tmpl w:val="9B32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95904"/>
    <w:multiLevelType w:val="multilevel"/>
    <w:tmpl w:val="61D83852"/>
    <w:lvl w:ilvl="0">
      <w:start w:val="1"/>
      <w:numFmt w:val="decimal"/>
      <w:pStyle w:val="ColorfulList-Accen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5C4026"/>
    <w:multiLevelType w:val="hybridMultilevel"/>
    <w:tmpl w:val="1830295A"/>
    <w:lvl w:ilvl="0" w:tplc="6980F45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05EEC"/>
    <w:multiLevelType w:val="hybridMultilevel"/>
    <w:tmpl w:val="8B1A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21FB0"/>
    <w:multiLevelType w:val="hybridMultilevel"/>
    <w:tmpl w:val="92868C2C"/>
    <w:lvl w:ilvl="0" w:tplc="85B888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93747"/>
    <w:multiLevelType w:val="hybridMultilevel"/>
    <w:tmpl w:val="2F06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14F53"/>
    <w:multiLevelType w:val="multilevel"/>
    <w:tmpl w:val="BFCA5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312B7"/>
    <w:multiLevelType w:val="hybridMultilevel"/>
    <w:tmpl w:val="436C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D51F0"/>
    <w:multiLevelType w:val="hybridMultilevel"/>
    <w:tmpl w:val="73F4C80A"/>
    <w:lvl w:ilvl="0" w:tplc="85B888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E7D6773"/>
    <w:multiLevelType w:val="hybridMultilevel"/>
    <w:tmpl w:val="C286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3"/>
  </w:num>
  <w:num w:numId="5">
    <w:abstractNumId w:val="11"/>
  </w:num>
  <w:num w:numId="6">
    <w:abstractNumId w:val="3"/>
  </w:num>
  <w:num w:numId="7">
    <w:abstractNumId w:val="9"/>
  </w:num>
  <w:num w:numId="8">
    <w:abstractNumId w:val="5"/>
  </w:num>
  <w:num w:numId="9">
    <w:abstractNumId w:val="0"/>
  </w:num>
  <w:num w:numId="10">
    <w:abstractNumId w:val="3"/>
  </w:num>
  <w:num w:numId="11">
    <w:abstractNumId w:val="6"/>
  </w:num>
  <w:num w:numId="12">
    <w:abstractNumId w:val="3"/>
  </w:num>
  <w:num w:numId="13">
    <w:abstractNumId w:val="2"/>
  </w:num>
  <w:num w:numId="14">
    <w:abstractNumId w:val="8"/>
  </w:num>
  <w:num w:numId="15">
    <w:abstractNumId w:val="3"/>
  </w:num>
  <w:num w:numId="16">
    <w:abstractNumId w:val="3"/>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6C"/>
    <w:rsid w:val="0001755E"/>
    <w:rsid w:val="000A63AD"/>
    <w:rsid w:val="000F56EE"/>
    <w:rsid w:val="00166435"/>
    <w:rsid w:val="00182815"/>
    <w:rsid w:val="00192033"/>
    <w:rsid w:val="001A0F73"/>
    <w:rsid w:val="001B6136"/>
    <w:rsid w:val="001E4185"/>
    <w:rsid w:val="001E5BDC"/>
    <w:rsid w:val="001F2630"/>
    <w:rsid w:val="00230E36"/>
    <w:rsid w:val="002A4D78"/>
    <w:rsid w:val="00381F3A"/>
    <w:rsid w:val="00396A97"/>
    <w:rsid w:val="003B6B50"/>
    <w:rsid w:val="003E650B"/>
    <w:rsid w:val="0042064A"/>
    <w:rsid w:val="004229CE"/>
    <w:rsid w:val="004712DC"/>
    <w:rsid w:val="00496089"/>
    <w:rsid w:val="00497631"/>
    <w:rsid w:val="004B1D28"/>
    <w:rsid w:val="00575ED9"/>
    <w:rsid w:val="005D4ADB"/>
    <w:rsid w:val="00610566"/>
    <w:rsid w:val="00624E81"/>
    <w:rsid w:val="006D7A9B"/>
    <w:rsid w:val="006F3B08"/>
    <w:rsid w:val="00700B17"/>
    <w:rsid w:val="00700E9B"/>
    <w:rsid w:val="00703903"/>
    <w:rsid w:val="007130AF"/>
    <w:rsid w:val="007456E5"/>
    <w:rsid w:val="0079396F"/>
    <w:rsid w:val="007960DF"/>
    <w:rsid w:val="0082078A"/>
    <w:rsid w:val="00846DF9"/>
    <w:rsid w:val="0085604F"/>
    <w:rsid w:val="008735D2"/>
    <w:rsid w:val="00911D34"/>
    <w:rsid w:val="009310C7"/>
    <w:rsid w:val="00940C01"/>
    <w:rsid w:val="009845BA"/>
    <w:rsid w:val="009A4C08"/>
    <w:rsid w:val="00A04D8B"/>
    <w:rsid w:val="00A56BB5"/>
    <w:rsid w:val="00A916F4"/>
    <w:rsid w:val="00AB22CA"/>
    <w:rsid w:val="00AE4AB3"/>
    <w:rsid w:val="00AF136C"/>
    <w:rsid w:val="00B35A81"/>
    <w:rsid w:val="00B65A7B"/>
    <w:rsid w:val="00B93080"/>
    <w:rsid w:val="00BB537C"/>
    <w:rsid w:val="00BE19FB"/>
    <w:rsid w:val="00BF5E40"/>
    <w:rsid w:val="00C23A8F"/>
    <w:rsid w:val="00CC4C49"/>
    <w:rsid w:val="00CC7731"/>
    <w:rsid w:val="00CD568C"/>
    <w:rsid w:val="00CF6D0F"/>
    <w:rsid w:val="00D228F6"/>
    <w:rsid w:val="00DA69A6"/>
    <w:rsid w:val="00DD1B1F"/>
    <w:rsid w:val="00DD5831"/>
    <w:rsid w:val="00DE4DC6"/>
    <w:rsid w:val="00E0764C"/>
    <w:rsid w:val="00E118FD"/>
    <w:rsid w:val="00E456D7"/>
    <w:rsid w:val="00E50805"/>
    <w:rsid w:val="00E63375"/>
    <w:rsid w:val="00E72770"/>
    <w:rsid w:val="00E77395"/>
    <w:rsid w:val="00EA536C"/>
    <w:rsid w:val="00F17995"/>
    <w:rsid w:val="00F477FC"/>
    <w:rsid w:val="00F66FD8"/>
    <w:rsid w:val="00F74778"/>
    <w:rsid w:val="00F84568"/>
    <w:rsid w:val="00F916EA"/>
    <w:rsid w:val="00F93626"/>
    <w:rsid w:val="00FE4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74FDB-1E83-4188-A1E7-04F32C72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3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53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63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3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53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qFormat/>
    <w:rsid w:val="00EA536C"/>
    <w:pPr>
      <w:numPr>
        <w:numId w:val="1"/>
      </w:numPr>
      <w:spacing w:before="120" w:after="120" w:line="240" w:lineRule="auto"/>
    </w:pPr>
    <w:rPr>
      <w:rFonts w:ascii="Arial" w:eastAsia="MS Mincho" w:hAnsi="Arial" w:cs="Times New Roman"/>
      <w:sz w:val="20"/>
      <w:szCs w:val="24"/>
      <w:lang w:val="en-US"/>
    </w:rPr>
  </w:style>
  <w:style w:type="paragraph" w:styleId="IntenseQuote">
    <w:name w:val="Intense Quote"/>
    <w:basedOn w:val="Normal"/>
    <w:next w:val="Normal"/>
    <w:link w:val="IntenseQuoteChar"/>
    <w:uiPriority w:val="30"/>
    <w:qFormat/>
    <w:rsid w:val="00EA53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536C"/>
    <w:rPr>
      <w:i/>
      <w:iCs/>
      <w:color w:val="5B9BD5" w:themeColor="accent1"/>
    </w:rPr>
  </w:style>
  <w:style w:type="table" w:styleId="TableGrid">
    <w:name w:val="Table Grid"/>
    <w:basedOn w:val="TableNormal"/>
    <w:uiPriority w:val="59"/>
    <w:rsid w:val="00EA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75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755E"/>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846DF9"/>
    <w:rPr>
      <w:color w:val="0563C1" w:themeColor="hyperlink"/>
      <w:u w:val="single"/>
    </w:rPr>
  </w:style>
  <w:style w:type="paragraph" w:styleId="BalloonText">
    <w:name w:val="Balloon Text"/>
    <w:basedOn w:val="Normal"/>
    <w:link w:val="BalloonTextChar"/>
    <w:uiPriority w:val="99"/>
    <w:semiHidden/>
    <w:unhideWhenUsed/>
    <w:rsid w:val="00BB5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7C"/>
    <w:rPr>
      <w:rFonts w:ascii="Segoe UI" w:hAnsi="Segoe UI" w:cs="Segoe UI"/>
      <w:sz w:val="18"/>
      <w:szCs w:val="18"/>
    </w:rPr>
  </w:style>
  <w:style w:type="paragraph" w:styleId="NormalWeb">
    <w:name w:val="Normal (Web)"/>
    <w:basedOn w:val="Normal"/>
    <w:uiPriority w:val="99"/>
    <w:unhideWhenUsed/>
    <w:rsid w:val="000A6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A63AD"/>
    <w:rPr>
      <w:rFonts w:asciiTheme="majorHAnsi" w:eastAsiaTheme="majorEastAsia" w:hAnsiTheme="majorHAnsi" w:cstheme="majorBidi"/>
      <w:color w:val="1F4D78" w:themeColor="accent1" w:themeShade="7F"/>
      <w:sz w:val="24"/>
      <w:szCs w:val="24"/>
    </w:rPr>
  </w:style>
  <w:style w:type="paragraph" w:customStyle="1" w:styleId="ColorfulList-Accent11">
    <w:name w:val="Colorful List - Accent 11"/>
    <w:basedOn w:val="Normal"/>
    <w:rsid w:val="00700E9B"/>
    <w:pPr>
      <w:numPr>
        <w:numId w:val="13"/>
      </w:numPr>
      <w:suppressAutoHyphens/>
      <w:spacing w:before="120" w:after="120" w:line="1" w:lineRule="atLeast"/>
      <w:ind w:leftChars="-1" w:left="567" w:hangingChars="1" w:hanging="283"/>
      <w:textDirection w:val="btLr"/>
      <w:textAlignment w:val="top"/>
      <w:outlineLvl w:val="0"/>
    </w:pPr>
    <w:rPr>
      <w:rFonts w:ascii="Arial" w:eastAsia="Times New Roman" w:hAnsi="Arial" w:cs="Times New Roman"/>
      <w:position w:val="-1"/>
      <w:sz w:val="20"/>
      <w:szCs w:val="20"/>
    </w:rPr>
  </w:style>
  <w:style w:type="character" w:styleId="IntenseEmphasis">
    <w:name w:val="Intense Emphasis"/>
    <w:basedOn w:val="DefaultParagraphFont"/>
    <w:uiPriority w:val="21"/>
    <w:qFormat/>
    <w:rsid w:val="00700E9B"/>
    <w:rPr>
      <w:i/>
      <w:iCs/>
      <w:color w:val="5B9BD5" w:themeColor="accent1"/>
    </w:rPr>
  </w:style>
  <w:style w:type="paragraph" w:customStyle="1" w:styleId="Default">
    <w:name w:val="Default"/>
    <w:rsid w:val="00C23A8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162">
      <w:bodyDiv w:val="1"/>
      <w:marLeft w:val="0"/>
      <w:marRight w:val="0"/>
      <w:marTop w:val="0"/>
      <w:marBottom w:val="0"/>
      <w:divBdr>
        <w:top w:val="none" w:sz="0" w:space="0" w:color="auto"/>
        <w:left w:val="none" w:sz="0" w:space="0" w:color="auto"/>
        <w:bottom w:val="none" w:sz="0" w:space="0" w:color="auto"/>
        <w:right w:val="none" w:sz="0" w:space="0" w:color="auto"/>
      </w:divBdr>
    </w:div>
    <w:div w:id="196085928">
      <w:bodyDiv w:val="1"/>
      <w:marLeft w:val="0"/>
      <w:marRight w:val="0"/>
      <w:marTop w:val="0"/>
      <w:marBottom w:val="0"/>
      <w:divBdr>
        <w:top w:val="none" w:sz="0" w:space="0" w:color="auto"/>
        <w:left w:val="none" w:sz="0" w:space="0" w:color="auto"/>
        <w:bottom w:val="none" w:sz="0" w:space="0" w:color="auto"/>
        <w:right w:val="none" w:sz="0" w:space="0" w:color="auto"/>
      </w:divBdr>
    </w:div>
    <w:div w:id="293293847">
      <w:bodyDiv w:val="1"/>
      <w:marLeft w:val="0"/>
      <w:marRight w:val="0"/>
      <w:marTop w:val="0"/>
      <w:marBottom w:val="0"/>
      <w:divBdr>
        <w:top w:val="none" w:sz="0" w:space="0" w:color="auto"/>
        <w:left w:val="none" w:sz="0" w:space="0" w:color="auto"/>
        <w:bottom w:val="none" w:sz="0" w:space="0" w:color="auto"/>
        <w:right w:val="none" w:sz="0" w:space="0" w:color="auto"/>
      </w:divBdr>
      <w:divsChild>
        <w:div w:id="364602165">
          <w:marLeft w:val="-680"/>
          <w:marRight w:val="0"/>
          <w:marTop w:val="0"/>
          <w:marBottom w:val="0"/>
          <w:divBdr>
            <w:top w:val="none" w:sz="0" w:space="0" w:color="auto"/>
            <w:left w:val="none" w:sz="0" w:space="0" w:color="auto"/>
            <w:bottom w:val="none" w:sz="0" w:space="0" w:color="auto"/>
            <w:right w:val="none" w:sz="0" w:space="0" w:color="auto"/>
          </w:divBdr>
        </w:div>
      </w:divsChild>
    </w:div>
    <w:div w:id="476917967">
      <w:bodyDiv w:val="1"/>
      <w:marLeft w:val="0"/>
      <w:marRight w:val="0"/>
      <w:marTop w:val="0"/>
      <w:marBottom w:val="0"/>
      <w:divBdr>
        <w:top w:val="none" w:sz="0" w:space="0" w:color="auto"/>
        <w:left w:val="none" w:sz="0" w:space="0" w:color="auto"/>
        <w:bottom w:val="none" w:sz="0" w:space="0" w:color="auto"/>
        <w:right w:val="none" w:sz="0" w:space="0" w:color="auto"/>
      </w:divBdr>
      <w:divsChild>
        <w:div w:id="1868059431">
          <w:marLeft w:val="-680"/>
          <w:marRight w:val="0"/>
          <w:marTop w:val="0"/>
          <w:marBottom w:val="0"/>
          <w:divBdr>
            <w:top w:val="none" w:sz="0" w:space="0" w:color="auto"/>
            <w:left w:val="none" w:sz="0" w:space="0" w:color="auto"/>
            <w:bottom w:val="none" w:sz="0" w:space="0" w:color="auto"/>
            <w:right w:val="none" w:sz="0" w:space="0" w:color="auto"/>
          </w:divBdr>
        </w:div>
      </w:divsChild>
    </w:div>
    <w:div w:id="698286672">
      <w:bodyDiv w:val="1"/>
      <w:marLeft w:val="0"/>
      <w:marRight w:val="0"/>
      <w:marTop w:val="0"/>
      <w:marBottom w:val="0"/>
      <w:divBdr>
        <w:top w:val="none" w:sz="0" w:space="0" w:color="auto"/>
        <w:left w:val="none" w:sz="0" w:space="0" w:color="auto"/>
        <w:bottom w:val="none" w:sz="0" w:space="0" w:color="auto"/>
        <w:right w:val="none" w:sz="0" w:space="0" w:color="auto"/>
      </w:divBdr>
    </w:div>
    <w:div w:id="743647374">
      <w:bodyDiv w:val="1"/>
      <w:marLeft w:val="0"/>
      <w:marRight w:val="0"/>
      <w:marTop w:val="0"/>
      <w:marBottom w:val="0"/>
      <w:divBdr>
        <w:top w:val="none" w:sz="0" w:space="0" w:color="auto"/>
        <w:left w:val="none" w:sz="0" w:space="0" w:color="auto"/>
        <w:bottom w:val="none" w:sz="0" w:space="0" w:color="auto"/>
        <w:right w:val="none" w:sz="0" w:space="0" w:color="auto"/>
      </w:divBdr>
    </w:div>
    <w:div w:id="1278028895">
      <w:bodyDiv w:val="1"/>
      <w:marLeft w:val="0"/>
      <w:marRight w:val="0"/>
      <w:marTop w:val="0"/>
      <w:marBottom w:val="0"/>
      <w:divBdr>
        <w:top w:val="none" w:sz="0" w:space="0" w:color="auto"/>
        <w:left w:val="none" w:sz="0" w:space="0" w:color="auto"/>
        <w:bottom w:val="none" w:sz="0" w:space="0" w:color="auto"/>
        <w:right w:val="none" w:sz="0" w:space="0" w:color="auto"/>
      </w:divBdr>
    </w:div>
    <w:div w:id="1465393482">
      <w:bodyDiv w:val="1"/>
      <w:marLeft w:val="0"/>
      <w:marRight w:val="0"/>
      <w:marTop w:val="0"/>
      <w:marBottom w:val="0"/>
      <w:divBdr>
        <w:top w:val="none" w:sz="0" w:space="0" w:color="auto"/>
        <w:left w:val="none" w:sz="0" w:space="0" w:color="auto"/>
        <w:bottom w:val="none" w:sz="0" w:space="0" w:color="auto"/>
        <w:right w:val="none" w:sz="0" w:space="0" w:color="auto"/>
      </w:divBdr>
    </w:div>
    <w:div w:id="1474710769">
      <w:bodyDiv w:val="1"/>
      <w:marLeft w:val="0"/>
      <w:marRight w:val="0"/>
      <w:marTop w:val="0"/>
      <w:marBottom w:val="0"/>
      <w:divBdr>
        <w:top w:val="none" w:sz="0" w:space="0" w:color="auto"/>
        <w:left w:val="none" w:sz="0" w:space="0" w:color="auto"/>
        <w:bottom w:val="none" w:sz="0" w:space="0" w:color="auto"/>
        <w:right w:val="none" w:sz="0" w:space="0" w:color="auto"/>
      </w:divBdr>
    </w:div>
    <w:div w:id="2076927493">
      <w:bodyDiv w:val="1"/>
      <w:marLeft w:val="0"/>
      <w:marRight w:val="0"/>
      <w:marTop w:val="0"/>
      <w:marBottom w:val="0"/>
      <w:divBdr>
        <w:top w:val="none" w:sz="0" w:space="0" w:color="auto"/>
        <w:left w:val="none" w:sz="0" w:space="0" w:color="auto"/>
        <w:bottom w:val="none" w:sz="0" w:space="0" w:color="auto"/>
        <w:right w:val="none" w:sz="0" w:space="0" w:color="auto"/>
      </w:divBdr>
    </w:div>
    <w:div w:id="21380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SINAI SCHOOL</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Gough</dc:creator>
  <cp:keywords/>
  <dc:description/>
  <cp:lastModifiedBy>Debbie Joseph</cp:lastModifiedBy>
  <cp:revision>2</cp:revision>
  <cp:lastPrinted>2019-10-29T08:00:00Z</cp:lastPrinted>
  <dcterms:created xsi:type="dcterms:W3CDTF">2025-04-03T08:35:00Z</dcterms:created>
  <dcterms:modified xsi:type="dcterms:W3CDTF">2025-04-03T08:35:00Z</dcterms:modified>
</cp:coreProperties>
</file>