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E" w:rsidRDefault="00550D6F">
      <w:pPr>
        <w:jc w:val="center"/>
        <w:rPr>
          <w:b/>
          <w:color w:val="5B9BD5"/>
          <w:sz w:val="56"/>
          <w:szCs w:val="56"/>
        </w:rPr>
      </w:pPr>
      <w:r>
        <w:rPr>
          <w:b/>
          <w:color w:val="5B9BD5"/>
          <w:sz w:val="56"/>
          <w:szCs w:val="56"/>
        </w:rPr>
        <w:t>Pupil Premium Newsletter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611505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226E" w:rsidRDefault="00550D6F">
      <w:pPr>
        <w:jc w:val="center"/>
        <w:rPr>
          <w:b/>
          <w:color w:val="5B9BD5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657975" cy="2133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226E" w:rsidRPr="008E3E2B" w:rsidRDefault="00550D6F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3E2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At Sinai, we support children with a wide range of needs, who are from a variety of different backgrounds. It is important that every child that we support is given the opportunity to reach their potential. Pupil Premium funding is provided to help us to s</w:t>
                            </w:r>
                            <w:r w:rsidRPr="008E3E2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upport our learners from disadvantaged backgrounds and ensure that we close the gap academically by raising attainment. </w:t>
                            </w:r>
                          </w:p>
                          <w:p w:rsidR="0002226E" w:rsidRPr="008E3E2B" w:rsidRDefault="00550D6F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3E2B">
                              <w:rPr>
                                <w:rFonts w:asciiTheme="minorHAnsi" w:hAnsiTheme="minorHAnsi" w:cstheme="minorHAnsi"/>
                                <w:b/>
                                <w:color w:val="5B9BD5"/>
                              </w:rPr>
                              <w:t>Children in receipt of Pupil Premium Funding receive many additional benefits such as:</w:t>
                            </w:r>
                          </w:p>
                          <w:p w:rsidR="0002226E" w:rsidRPr="008E3E2B" w:rsidRDefault="00550D6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Y3-6 children will receive free school meals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 xml:space="preserve"> </w:t>
                            </w:r>
                          </w:p>
                          <w:p w:rsidR="0002226E" w:rsidRPr="008E3E2B" w:rsidRDefault="00550D6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Rec</w:t>
                            </w: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eption – Y2 children will continue to receive free school meals one they move into Key Stage 2</w:t>
                            </w:r>
                          </w:p>
                          <w:p w:rsidR="0002226E" w:rsidRPr="008E3E2B" w:rsidRDefault="00550D6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Additional provision to support children with their learning</w:t>
                            </w:r>
                          </w:p>
                          <w:p w:rsidR="0002226E" w:rsidRPr="008E3E2B" w:rsidRDefault="008E3E2B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Additional equipment such as Chrome</w:t>
                            </w:r>
                            <w:r w:rsidR="00550D6F"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books to use within school</w:t>
                            </w:r>
                          </w:p>
                          <w:p w:rsidR="0002226E" w:rsidRPr="008E3E2B" w:rsidRDefault="00550D6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Financial contributions towards schoo</w:t>
                            </w: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l trips, clubs</w:t>
                            </w:r>
                            <w:r w:rsid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>, stationary</w:t>
                            </w:r>
                            <w:r w:rsidRPr="008E3E2B">
                              <w:rPr>
                                <w:rFonts w:asciiTheme="minorHAnsi" w:eastAsia="Arial" w:hAnsiTheme="minorHAnsi" w:cstheme="minorHAnsi"/>
                                <w:color w:val="1F4E79"/>
                                <w:sz w:val="24"/>
                              </w:rPr>
                              <w:t xml:space="preserve"> and uniform</w:t>
                            </w:r>
                          </w:p>
                          <w:p w:rsidR="0002226E" w:rsidRPr="008E3E2B" w:rsidRDefault="0002226E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2226E" w:rsidRPr="008E3E2B" w:rsidRDefault="0002226E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2.1pt;width:524.25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2226E" w:rsidRPr="008E3E2B" w:rsidRDefault="00550D6F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E3E2B">
                        <w:rPr>
                          <w:rFonts w:asciiTheme="minorHAnsi" w:hAnsiTheme="minorHAnsi" w:cstheme="minorHAnsi"/>
                          <w:color w:val="000000"/>
                        </w:rPr>
                        <w:t>At Sinai, we support children with a wide range of needs, who are from a variety of different backgrounds. It is important that every child that we support is given the opportunity to reach their potential. Pupil Premium funding is provided to help us to s</w:t>
                      </w:r>
                      <w:r w:rsidRPr="008E3E2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upport our learners from disadvantaged backgrounds and ensure that we close the gap academically by raising attainment. </w:t>
                      </w:r>
                    </w:p>
                    <w:p w:rsidR="0002226E" w:rsidRPr="008E3E2B" w:rsidRDefault="00550D6F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E3E2B">
                        <w:rPr>
                          <w:rFonts w:asciiTheme="minorHAnsi" w:hAnsiTheme="minorHAnsi" w:cstheme="minorHAnsi"/>
                          <w:b/>
                          <w:color w:val="5B9BD5"/>
                        </w:rPr>
                        <w:t>Children in receipt of Pupil Premium Funding receive many additional benefits such as:</w:t>
                      </w:r>
                    </w:p>
                    <w:p w:rsidR="0002226E" w:rsidRPr="008E3E2B" w:rsidRDefault="00550D6F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Y3-6 children will receive free school meals</w:t>
                      </w:r>
                      <w:r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 xml:space="preserve"> </w:t>
                      </w:r>
                    </w:p>
                    <w:p w:rsidR="0002226E" w:rsidRPr="008E3E2B" w:rsidRDefault="00550D6F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Rec</w:t>
                      </w: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eption – Y2 children will continue to receive free school meals one they move into Key Stage 2</w:t>
                      </w:r>
                    </w:p>
                    <w:p w:rsidR="0002226E" w:rsidRPr="008E3E2B" w:rsidRDefault="00550D6F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Additional provision to support children with their learning</w:t>
                      </w:r>
                    </w:p>
                    <w:p w:rsidR="0002226E" w:rsidRPr="008E3E2B" w:rsidRDefault="008E3E2B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Additional equipment such as Chrome</w:t>
                      </w:r>
                      <w:r w:rsidR="00550D6F"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books to use within school</w:t>
                      </w:r>
                    </w:p>
                    <w:p w:rsidR="0002226E" w:rsidRPr="008E3E2B" w:rsidRDefault="00550D6F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Financial contributions towards schoo</w:t>
                      </w: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l trips, clubs</w:t>
                      </w:r>
                      <w:r w:rsid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>, stationary</w:t>
                      </w:r>
                      <w:r w:rsidRPr="008E3E2B">
                        <w:rPr>
                          <w:rFonts w:asciiTheme="minorHAnsi" w:eastAsia="Arial" w:hAnsiTheme="minorHAnsi" w:cstheme="minorHAnsi"/>
                          <w:color w:val="1F4E79"/>
                          <w:sz w:val="24"/>
                        </w:rPr>
                        <w:t xml:space="preserve"> and uniform</w:t>
                      </w:r>
                    </w:p>
                    <w:p w:rsidR="0002226E" w:rsidRPr="008E3E2B" w:rsidRDefault="0002226E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:rsidR="0002226E" w:rsidRPr="008E3E2B" w:rsidRDefault="0002226E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26E" w:rsidRDefault="00550D6F">
      <w:pPr>
        <w:tabs>
          <w:tab w:val="left" w:pos="810"/>
        </w:tabs>
        <w:rPr>
          <w:b/>
          <w:color w:val="5B9BD5"/>
          <w:sz w:val="56"/>
          <w:szCs w:val="56"/>
        </w:rPr>
      </w:pPr>
      <w:r>
        <w:rPr>
          <w:b/>
          <w:color w:val="5B9BD5"/>
          <w:sz w:val="56"/>
          <w:szCs w:val="56"/>
        </w:rPr>
        <w:tab/>
      </w:r>
    </w:p>
    <w:p w:rsidR="0002226E" w:rsidRDefault="0002226E">
      <w:pPr>
        <w:jc w:val="center"/>
        <w:rPr>
          <w:b/>
          <w:color w:val="5B9BD5"/>
          <w:sz w:val="56"/>
          <w:szCs w:val="56"/>
        </w:rPr>
      </w:pPr>
    </w:p>
    <w:p w:rsidR="0002226E" w:rsidRDefault="0002226E">
      <w:pPr>
        <w:rPr>
          <w:sz w:val="56"/>
          <w:szCs w:val="56"/>
        </w:rPr>
      </w:pPr>
    </w:p>
    <w:p w:rsidR="0002226E" w:rsidRDefault="00550D6F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477000" cy="2438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226E" w:rsidRPr="008E3E2B" w:rsidRDefault="008E3E2B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B9BD5"/>
                              </w:rPr>
                              <w:t>How do</w:t>
                            </w:r>
                            <w:r w:rsidR="00550D6F" w:rsidRPr="008E3E2B">
                              <w:rPr>
                                <w:rFonts w:asciiTheme="minorHAnsi" w:hAnsiTheme="minorHAnsi" w:cstheme="minorHAnsi"/>
                                <w:b/>
                                <w:color w:val="5B9BD5"/>
                              </w:rPr>
                              <w:t xml:space="preserve"> Sinai support famil</w:t>
                            </w:r>
                            <w:r w:rsidR="00550D6F" w:rsidRPr="008E3E2B">
                              <w:rPr>
                                <w:rFonts w:asciiTheme="minorHAnsi" w:hAnsiTheme="minorHAnsi" w:cstheme="minorHAnsi"/>
                                <w:b/>
                                <w:color w:val="5B9BD5"/>
                              </w:rPr>
                              <w:t>ies</w:t>
                            </w:r>
                            <w:r w:rsidR="00550D6F" w:rsidRPr="008E3E2B">
                              <w:rPr>
                                <w:rFonts w:asciiTheme="minorHAnsi" w:hAnsiTheme="minorHAnsi" w:cstheme="minorHAnsi"/>
                                <w:b/>
                                <w:color w:val="5B9BD5"/>
                              </w:rPr>
                              <w:t>?</w:t>
                            </w:r>
                          </w:p>
                          <w:p w:rsidR="008E3E2B" w:rsidRDefault="008E3E2B" w:rsidP="008E3E2B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 xml:space="preserve">*Regular care packages </w:t>
                            </w:r>
                            <w:r w:rsidR="00550D6F" w:rsidRPr="008E3E2B"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delivered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 xml:space="preserve"> to those who need</w:t>
                            </w:r>
                            <w:r w:rsidR="00550D6F" w:rsidRPr="008E3E2B"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food, toiletries and cleaning products</w:t>
                            </w:r>
                          </w:p>
                          <w:p w:rsidR="0002226E" w:rsidRDefault="008E3E2B" w:rsidP="008E3E2B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</w:pPr>
                            <w:r w:rsidRPr="008E3E2B"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*Half termly s</w:t>
                            </w:r>
                            <w:r w:rsidR="00550D6F" w:rsidRPr="008E3E2B"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upermarket vouchers</w:t>
                            </w:r>
                          </w:p>
                          <w:p w:rsidR="008E3E2B" w:rsidRDefault="008E3E2B" w:rsidP="008E3E2B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*Termly clubs – a range sports and chess clubs available and music lessons subsidised</w:t>
                            </w:r>
                          </w:p>
                          <w:p w:rsidR="008E3E2B" w:rsidRDefault="008E3E2B" w:rsidP="008E3E2B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 xml:space="preserve">*Children prioritised for wellbeing initiatives in school </w:t>
                            </w:r>
                          </w:p>
                          <w:p w:rsidR="008E3E2B" w:rsidRDefault="008E3E2B" w:rsidP="008E3E2B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*Workbooks sent home to support identified curriculum areas</w:t>
                            </w:r>
                          </w:p>
                          <w:p w:rsidR="008E3E2B" w:rsidRPr="008E3E2B" w:rsidRDefault="008E3E2B" w:rsidP="00550D6F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*A dedicated Chr</w:t>
                            </w:r>
                            <w:r w:rsidR="00550D6F">
                              <w:rPr>
                                <w:rFonts w:asciiTheme="minorHAnsi" w:eastAsia="Arial" w:hAnsiTheme="minorHAnsi" w:cstheme="minorHAnsi"/>
                                <w:b/>
                                <w:color w:val="44546A"/>
                                <w:sz w:val="28"/>
                              </w:rPr>
                              <w:t>omebook for each child</w:t>
                            </w:r>
                          </w:p>
                          <w:p w:rsidR="0002226E" w:rsidRPr="008E3E2B" w:rsidRDefault="0002226E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2226E" w:rsidRPr="008E3E2B" w:rsidRDefault="0002226E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3.55pt;width:510pt;height:19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" fillcolor="white [3201]" stroked="f">
                <v:textbox inset="2.53958mm,1.2694mm,2.53958mm,1.2694mm">
                  <w:txbxContent>
                    <w:p w:rsidR="0002226E" w:rsidRPr="008E3E2B" w:rsidRDefault="008E3E2B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B9BD5"/>
                        </w:rPr>
                        <w:t>How do</w:t>
                      </w:r>
                      <w:r w:rsidR="00550D6F" w:rsidRPr="008E3E2B">
                        <w:rPr>
                          <w:rFonts w:asciiTheme="minorHAnsi" w:hAnsiTheme="minorHAnsi" w:cstheme="minorHAnsi"/>
                          <w:b/>
                          <w:color w:val="5B9BD5"/>
                        </w:rPr>
                        <w:t xml:space="preserve"> Sinai support famil</w:t>
                      </w:r>
                      <w:r w:rsidR="00550D6F" w:rsidRPr="008E3E2B">
                        <w:rPr>
                          <w:rFonts w:asciiTheme="minorHAnsi" w:hAnsiTheme="minorHAnsi" w:cstheme="minorHAnsi"/>
                          <w:b/>
                          <w:color w:val="5B9BD5"/>
                        </w:rPr>
                        <w:t>ies</w:t>
                      </w:r>
                      <w:r w:rsidR="00550D6F" w:rsidRPr="008E3E2B">
                        <w:rPr>
                          <w:rFonts w:asciiTheme="minorHAnsi" w:hAnsiTheme="minorHAnsi" w:cstheme="minorHAnsi"/>
                          <w:b/>
                          <w:color w:val="5B9BD5"/>
                        </w:rPr>
                        <w:t>?</w:t>
                      </w:r>
                    </w:p>
                    <w:p w:rsidR="008E3E2B" w:rsidRDefault="008E3E2B" w:rsidP="008E3E2B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 xml:space="preserve">*Regular care packages </w:t>
                      </w:r>
                      <w:r w:rsidR="00550D6F" w:rsidRPr="008E3E2B"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delivered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 xml:space="preserve"> to those who need</w:t>
                      </w:r>
                      <w:r w:rsidR="00550D6F" w:rsidRPr="008E3E2B"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 xml:space="preserve">: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food, toiletries and cleaning products</w:t>
                      </w:r>
                    </w:p>
                    <w:p w:rsidR="0002226E" w:rsidRDefault="008E3E2B" w:rsidP="008E3E2B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</w:pPr>
                      <w:r w:rsidRPr="008E3E2B"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*Half termly s</w:t>
                      </w:r>
                      <w:r w:rsidR="00550D6F" w:rsidRPr="008E3E2B"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upermarket vouchers</w:t>
                      </w:r>
                    </w:p>
                    <w:p w:rsidR="008E3E2B" w:rsidRDefault="008E3E2B" w:rsidP="008E3E2B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*Termly clubs – a range sports and chess clubs available and music lessons subsidised</w:t>
                      </w:r>
                    </w:p>
                    <w:p w:rsidR="008E3E2B" w:rsidRDefault="008E3E2B" w:rsidP="008E3E2B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 xml:space="preserve">*Children prioritised for wellbeing initiatives in school </w:t>
                      </w:r>
                    </w:p>
                    <w:p w:rsidR="008E3E2B" w:rsidRDefault="008E3E2B" w:rsidP="008E3E2B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*Workbooks sent home to support identified curriculum areas</w:t>
                      </w:r>
                    </w:p>
                    <w:p w:rsidR="008E3E2B" w:rsidRPr="008E3E2B" w:rsidRDefault="008E3E2B" w:rsidP="00550D6F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*A dedicated Chr</w:t>
                      </w:r>
                      <w:r w:rsidR="00550D6F">
                        <w:rPr>
                          <w:rFonts w:asciiTheme="minorHAnsi" w:eastAsia="Arial" w:hAnsiTheme="minorHAnsi" w:cstheme="minorHAnsi"/>
                          <w:b/>
                          <w:color w:val="44546A"/>
                          <w:sz w:val="28"/>
                        </w:rPr>
                        <w:t>omebook for each child</w:t>
                      </w:r>
                    </w:p>
                    <w:p w:rsidR="0002226E" w:rsidRPr="008E3E2B" w:rsidRDefault="0002226E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:rsidR="0002226E" w:rsidRPr="008E3E2B" w:rsidRDefault="0002226E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26E" w:rsidRDefault="0002226E">
      <w:pPr>
        <w:rPr>
          <w:sz w:val="56"/>
          <w:szCs w:val="56"/>
        </w:rPr>
      </w:pPr>
    </w:p>
    <w:p w:rsidR="0002226E" w:rsidRDefault="0002226E">
      <w:pPr>
        <w:rPr>
          <w:sz w:val="56"/>
          <w:szCs w:val="56"/>
        </w:rPr>
      </w:pPr>
    </w:p>
    <w:p w:rsidR="0002226E" w:rsidRDefault="00550D6F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6629400" cy="4781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226E" w:rsidRDefault="00550D6F">
                            <w:pPr>
                              <w:spacing w:line="258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b/>
                                <w:color w:val="1F4E79"/>
                                <w:sz w:val="24"/>
                              </w:rPr>
                              <w:t>Does my child qualify?</w:t>
                            </w:r>
                          </w:p>
                          <w:p w:rsidR="0002226E" w:rsidRDefault="00550D6F">
                            <w:pPr>
                              <w:spacing w:after="1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qualifying benefits are: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Universal Credit (provided you have an annual net earned income of no more than </w:t>
                            </w:r>
                            <w:r>
                              <w:rPr>
                                <w:color w:val="000000"/>
                              </w:rPr>
                              <w:t>£7,400, as assessed by earnings from up to three of your most recent assessment periods)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Income Support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Income-based Jobseeker’s Allowance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Income-related Employment and Support Allowance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Support under Part VI of the Immigration and Asylum Act 1999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guarantee element of Pension Credit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Child Tax Credit (provided you’re not also entitled to Working Tax Credit and have an annual gross </w:t>
                            </w:r>
                            <w:r>
                              <w:rPr>
                                <w:color w:val="000000"/>
                              </w:rPr>
                              <w:t>income of no more than £16,190) </w:t>
                            </w:r>
                          </w:p>
                          <w:p w:rsidR="0002226E" w:rsidRDefault="00550D6F" w:rsidP="00550D6F">
                            <w:pPr>
                              <w:spacing w:before="100" w:after="100" w:line="240" w:lineRule="auto"/>
                              <w:ind w:firstLine="72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Working Tax Credit run-on – paid for four weeks after you stop qualifying for Work</w:t>
                            </w:r>
                            <w:r>
                              <w:rPr>
                                <w:color w:val="000000"/>
                              </w:rPr>
                              <w:t>ing Tax Credit</w:t>
                            </w:r>
                          </w:p>
                          <w:p w:rsidR="00550D6F" w:rsidRPr="00550D6F" w:rsidRDefault="00550D6F" w:rsidP="00550D6F">
                            <w:pPr>
                              <w:spacing w:before="100" w:after="100"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550D6F">
                              <w:rPr>
                                <w:b/>
                                <w:color w:val="000000"/>
                              </w:rPr>
                              <w:t>All children in households with no recourse to public funds are entitled to Free School Meals, subject to maximum income thresholds.</w:t>
                            </w:r>
                          </w:p>
                          <w:p w:rsidR="0002226E" w:rsidRDefault="00550D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How do I check if my child is eligible for Free School Meals/ Pupil Premium support?</w:t>
                            </w:r>
                          </w:p>
                          <w:p w:rsidR="00550D6F" w:rsidRDefault="00550D6F" w:rsidP="00550D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For more information please look at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www.brent.gov.uk/freeschoolmeals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550D6F" w:rsidRDefault="00550D6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Please log onto and complete an </w:t>
                            </w:r>
                            <w:hyperlink r:id="rId6" w:history="1">
                              <w:r w:rsidRPr="00550D6F">
                                <w:rPr>
                                  <w:rStyle w:val="Hyperlink"/>
                                </w:rPr>
                                <w:t>ONLINE APPLI</w:t>
                              </w:r>
                              <w:r w:rsidRPr="00550D6F">
                                <w:rPr>
                                  <w:rStyle w:val="Hyperlink"/>
                                </w:rPr>
                                <w:t>C</w:t>
                              </w:r>
                              <w:r w:rsidRPr="00550D6F">
                                <w:rPr>
                                  <w:rStyle w:val="Hyperlink"/>
                                </w:rPr>
                                <w:t>ATION FORM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.  </w:t>
                            </w:r>
                          </w:p>
                          <w:p w:rsidR="0002226E" w:rsidRDefault="00550D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you have any additional questions regarding Pupil Premium funding, please contact Mrs Gemma Cowen (Assistant</w:t>
                            </w:r>
                            <w:r>
                              <w:rPr>
                                <w:color w:val="000000"/>
                              </w:rPr>
                              <w:t xml:space="preserve"> Head Teacher) or Mrs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Anjna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Chadha (School Business Manager)</w:t>
                            </w:r>
                          </w:p>
                          <w:p w:rsidR="0002226E" w:rsidRDefault="00550D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u w:val="single"/>
                              </w:rPr>
                              <w:t>gcowen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@sinai.brent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.sch.uk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achadha@sinai.brent.sch.uk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2226E" w:rsidRDefault="0002226E">
                            <w:pPr>
                              <w:spacing w:before="100" w:after="100" w:line="240" w:lineRule="auto"/>
                              <w:textDirection w:val="btLr"/>
                            </w:pPr>
                          </w:p>
                          <w:bookmarkEnd w:id="0"/>
                          <w:p w:rsidR="0002226E" w:rsidRDefault="000222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70.8pt;margin-top:43.65pt;width:522pt;height:37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2226E" w:rsidRDefault="00550D6F">
                      <w:pPr>
                        <w:spacing w:line="258" w:lineRule="auto"/>
                        <w:textDirection w:val="btLr"/>
                      </w:pPr>
                      <w:bookmarkStart w:id="1" w:name="_GoBack"/>
                      <w:r>
                        <w:rPr>
                          <w:b/>
                          <w:color w:val="1F4E79"/>
                          <w:sz w:val="24"/>
                        </w:rPr>
                        <w:t>Does my child qualify?</w:t>
                      </w:r>
                    </w:p>
                    <w:p w:rsidR="0002226E" w:rsidRDefault="00550D6F">
                      <w:pPr>
                        <w:spacing w:after="1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The qualifying benefits are: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left="72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Universal Credit (provided you have an annual net earned income of no more than </w:t>
                      </w:r>
                      <w:r>
                        <w:rPr>
                          <w:color w:val="000000"/>
                        </w:rPr>
                        <w:t>£7,400, as assessed by earnings from up to three of your most recent assessment periods)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</w:rPr>
                        <w:t>Income Support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</w:rPr>
                        <w:t>Income-based Jobseeker’s Allowance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</w:rPr>
                        <w:t>Income-related Employment and Support Allowance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</w:rPr>
                        <w:t>Support under Part VI of the Immigration and Asylum Act 1999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</w:rPr>
                        <w:t>The guarantee element of Pension Credit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left="72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Child Tax Credit (provided you’re not also entitled to Working Tax Credit and have an annual gross </w:t>
                      </w:r>
                      <w:r>
                        <w:rPr>
                          <w:color w:val="000000"/>
                        </w:rPr>
                        <w:t>income of no more than £16,190) </w:t>
                      </w:r>
                    </w:p>
                    <w:p w:rsidR="0002226E" w:rsidRDefault="00550D6F" w:rsidP="00550D6F">
                      <w:pPr>
                        <w:spacing w:before="100" w:after="100" w:line="240" w:lineRule="auto"/>
                        <w:ind w:firstLine="72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Working Tax Credit run-on – paid for four weeks after you stop qualifying for Work</w:t>
                      </w:r>
                      <w:r>
                        <w:rPr>
                          <w:color w:val="000000"/>
                        </w:rPr>
                        <w:t>ing Tax Credit</w:t>
                      </w:r>
                    </w:p>
                    <w:p w:rsidR="00550D6F" w:rsidRPr="00550D6F" w:rsidRDefault="00550D6F" w:rsidP="00550D6F">
                      <w:pPr>
                        <w:spacing w:before="100" w:after="100"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550D6F">
                        <w:rPr>
                          <w:b/>
                          <w:color w:val="000000"/>
                        </w:rPr>
                        <w:t>All children in households with no recourse to public funds are entitled to Free School Meals, subject to maximum income thresholds.</w:t>
                      </w:r>
                    </w:p>
                    <w:p w:rsidR="0002226E" w:rsidRDefault="00550D6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How do I check if my child is eligible for Free School Meals/ Pupil Premium support?</w:t>
                      </w:r>
                    </w:p>
                    <w:p w:rsidR="00550D6F" w:rsidRDefault="00550D6F" w:rsidP="00550D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For more information please look at </w:t>
                      </w:r>
                      <w:r>
                        <w:rPr>
                          <w:color w:val="0563C1"/>
                          <w:u w:val="single"/>
                        </w:rPr>
                        <w:t>www.brent.gov.uk/freeschoolmeals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550D6F" w:rsidRDefault="00550D6F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Please log onto and complete an </w:t>
                      </w:r>
                      <w:hyperlink r:id="rId7" w:history="1">
                        <w:r w:rsidRPr="00550D6F">
                          <w:rPr>
                            <w:rStyle w:val="Hyperlink"/>
                          </w:rPr>
                          <w:t>ONLINE APPLI</w:t>
                        </w:r>
                        <w:r w:rsidRPr="00550D6F">
                          <w:rPr>
                            <w:rStyle w:val="Hyperlink"/>
                          </w:rPr>
                          <w:t>C</w:t>
                        </w:r>
                        <w:r w:rsidRPr="00550D6F">
                          <w:rPr>
                            <w:rStyle w:val="Hyperlink"/>
                          </w:rPr>
                          <w:t>ATION FORM</w:t>
                        </w:r>
                      </w:hyperlink>
                      <w:r>
                        <w:rPr>
                          <w:color w:val="000000"/>
                        </w:rPr>
                        <w:t xml:space="preserve">.  </w:t>
                      </w:r>
                    </w:p>
                    <w:p w:rsidR="0002226E" w:rsidRDefault="00550D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If you have any additional questions regarding Pupil Premium funding, please contact Mrs Gemma Cowen (Assistant</w:t>
                      </w:r>
                      <w:r>
                        <w:rPr>
                          <w:color w:val="000000"/>
                        </w:rPr>
                        <w:t xml:space="preserve"> Head Teacher) or Mrs </w:t>
                      </w:r>
                      <w:proofErr w:type="spellStart"/>
                      <w:r>
                        <w:rPr>
                          <w:color w:val="000000"/>
                        </w:rPr>
                        <w:t>Anjna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Chadha (School Business Manager)</w:t>
                      </w:r>
                    </w:p>
                    <w:p w:rsidR="0002226E" w:rsidRDefault="00550D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563C1"/>
                          <w:u w:val="single"/>
                        </w:rPr>
                        <w:t>gcowen</w:t>
                      </w:r>
                      <w:r>
                        <w:rPr>
                          <w:color w:val="0563C1"/>
                          <w:u w:val="single"/>
                        </w:rPr>
                        <w:t>@sinai.brent</w:t>
                      </w:r>
                      <w:r>
                        <w:rPr>
                          <w:color w:val="0563C1"/>
                          <w:u w:val="single"/>
                        </w:rPr>
                        <w:t>.sch.uk</w:t>
                      </w:r>
                      <w:r>
                        <w:rPr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color w:val="0563C1"/>
                          <w:u w:val="single"/>
                        </w:rPr>
                        <w:t>achadha@sinai.brent.sch.uk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02226E" w:rsidRDefault="0002226E">
                      <w:pPr>
                        <w:spacing w:before="100" w:after="100" w:line="240" w:lineRule="auto"/>
                        <w:textDirection w:val="btLr"/>
                      </w:pPr>
                    </w:p>
                    <w:bookmarkEnd w:id="1"/>
                    <w:p w:rsidR="0002226E" w:rsidRDefault="000222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26E" w:rsidRDefault="0002226E">
      <w:pPr>
        <w:rPr>
          <w:sz w:val="28"/>
          <w:szCs w:val="28"/>
        </w:rPr>
      </w:pPr>
      <w:bookmarkStart w:id="2" w:name="_heading=h.gjdgxs" w:colFirst="0" w:colLast="0"/>
      <w:bookmarkEnd w:id="2"/>
    </w:p>
    <w:sectPr w:rsidR="0002226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E"/>
    <w:rsid w:val="0002226E"/>
    <w:rsid w:val="00550D6F"/>
    <w:rsid w:val="008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8344"/>
  <w15:docId w15:val="{AF244E9C-16AC-452C-9A63-75C814D9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158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8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6C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ren.brent.gov.uk/SynergyCPD/Parents/default.aspx?_ga=2.212063889.445714757.1695023975-520139051.16950239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ldren.brent.gov.uk/SynergyCPD/Parents/default.aspx?_ga=2.212063889.445714757.1695023975-520139051.16950239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q/3KuHJmSufkyxiwKJVRavwuA==">AMUW2mWcYoIOMaMoVgmTIT19/010QAQySQnGqtHHVc9mI2ynOw7tZ4aPYMKdJpVn/MeTGmFfmz6sBpb1N4O6JPC1k9sbC2z48VtFdK70BzCkoNCnYWI2bvjRGa4AuQ1pHGbUSLHOvCm2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Kaye</dc:creator>
  <cp:lastModifiedBy>Administrator</cp:lastModifiedBy>
  <cp:revision>2</cp:revision>
  <dcterms:created xsi:type="dcterms:W3CDTF">2023-09-18T08:06:00Z</dcterms:created>
  <dcterms:modified xsi:type="dcterms:W3CDTF">2023-09-18T08:06:00Z</dcterms:modified>
</cp:coreProperties>
</file>