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1FF9D32D"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E9719"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02CB43D" w:rsidR="005B7C66" w:rsidRPr="00965483" w:rsidRDefault="00965483">
                                    <w:pPr>
                                      <w:pStyle w:val="NoSpacing"/>
                                      <w:jc w:val="right"/>
                                      <w:rPr>
                                        <w:rFonts w:ascii="Gill Sans MT" w:hAnsi="Gill Sans MT"/>
                                        <w:color w:val="595959" w:themeColor="text1" w:themeTint="A6"/>
                                        <w:sz w:val="28"/>
                                        <w:szCs w:val="28"/>
                                      </w:rPr>
                                    </w:pPr>
                                    <w:r w:rsidRPr="00965483">
                                      <w:rPr>
                                        <w:rFonts w:ascii="Gill Sans MT" w:hAnsi="Gill Sans MT"/>
                                        <w:color w:val="595959" w:themeColor="text1" w:themeTint="A6"/>
                                        <w:sz w:val="28"/>
                                        <w:szCs w:val="28"/>
                                      </w:rPr>
                                      <w:t>Head of Department: Chris Grover</w:t>
                                    </w:r>
                                  </w:p>
                                </w:sdtContent>
                              </w:sdt>
                              <w:p w14:paraId="013F1D17" w14:textId="66F7818C" w:rsidR="005B7C66" w:rsidRPr="00965483" w:rsidRDefault="00ED4D19">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965483">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02CB43D" w:rsidR="005B7C66" w:rsidRPr="00965483" w:rsidRDefault="00965483">
                              <w:pPr>
                                <w:pStyle w:val="NoSpacing"/>
                                <w:jc w:val="right"/>
                                <w:rPr>
                                  <w:rFonts w:ascii="Gill Sans MT" w:hAnsi="Gill Sans MT"/>
                                  <w:color w:val="595959" w:themeColor="text1" w:themeTint="A6"/>
                                  <w:sz w:val="28"/>
                                  <w:szCs w:val="28"/>
                                </w:rPr>
                              </w:pPr>
                              <w:r w:rsidRPr="00965483">
                                <w:rPr>
                                  <w:rFonts w:ascii="Gill Sans MT" w:hAnsi="Gill Sans MT"/>
                                  <w:color w:val="595959" w:themeColor="text1" w:themeTint="A6"/>
                                  <w:sz w:val="28"/>
                                  <w:szCs w:val="28"/>
                                </w:rPr>
                                <w:t>Head of Department: Chris Grover</w:t>
                              </w:r>
                            </w:p>
                          </w:sdtContent>
                        </w:sdt>
                        <w:p w14:paraId="013F1D17" w14:textId="66F7818C" w:rsidR="005B7C66" w:rsidRPr="00965483" w:rsidRDefault="00ED4D19">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965483">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4E27197F">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104C19E" w:rsidR="005B7C66" w:rsidRPr="00965483" w:rsidRDefault="00ED4D19">
                                <w:pPr>
                                  <w:jc w:val="right"/>
                                  <w:rPr>
                                    <w:rFonts w:ascii="Gill Sans MT" w:hAnsi="Gill Sans MT"/>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965483">
                                      <w:rPr>
                                        <w:rFonts w:ascii="Gill Sans MT" w:hAnsi="Gill Sans MT"/>
                                        <w:caps/>
                                        <w:color w:val="4472C4" w:themeColor="accent1"/>
                                        <w:sz w:val="56"/>
                                        <w:szCs w:val="56"/>
                                      </w:rPr>
                                      <w:t xml:space="preserve">Curriculum – </w:t>
                                    </w:r>
                                    <w:r w:rsidR="00E748F6" w:rsidRPr="00965483">
                                      <w:rPr>
                                        <w:rFonts w:ascii="Gill Sans MT" w:hAnsi="Gill Sans MT"/>
                                        <w:caps/>
                                        <w:color w:val="4472C4" w:themeColor="accent1"/>
                                        <w:sz w:val="56"/>
                                        <w:szCs w:val="56"/>
                                      </w:rPr>
                                      <w:t>construction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6BF0605" w:rsidR="005B7C66" w:rsidRDefault="000C731B">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3C893EEA" w14:textId="0104C19E" w:rsidR="005B7C66" w:rsidRPr="00965483" w:rsidRDefault="00ED4D19">
                          <w:pPr>
                            <w:jc w:val="right"/>
                            <w:rPr>
                              <w:rFonts w:ascii="Gill Sans MT" w:hAnsi="Gill Sans MT"/>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965483">
                                <w:rPr>
                                  <w:rFonts w:ascii="Gill Sans MT" w:hAnsi="Gill Sans MT"/>
                                  <w:caps/>
                                  <w:color w:val="4472C4" w:themeColor="accent1"/>
                                  <w:sz w:val="56"/>
                                  <w:szCs w:val="56"/>
                                </w:rPr>
                                <w:t xml:space="preserve">Curriculum – </w:t>
                              </w:r>
                              <w:r w:rsidR="00E748F6" w:rsidRPr="00965483">
                                <w:rPr>
                                  <w:rFonts w:ascii="Gill Sans MT" w:hAnsi="Gill Sans MT"/>
                                  <w:caps/>
                                  <w:color w:val="4472C4" w:themeColor="accent1"/>
                                  <w:sz w:val="56"/>
                                  <w:szCs w:val="56"/>
                                </w:rPr>
                                <w:t>construction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6BF0605" w:rsidR="005B7C66" w:rsidRDefault="000C731B">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41DE3CF5" w14:textId="2C4A6C9A" w:rsidR="001677C3" w:rsidRPr="00ED4D19" w:rsidRDefault="001677C3" w:rsidP="00022EF9">
      <w:pPr>
        <w:pStyle w:val="Heading1"/>
        <w:rPr>
          <w:rFonts w:ascii="Gill Sans MT" w:hAnsi="Gill Sans MT"/>
        </w:rPr>
      </w:pPr>
      <w:bookmarkStart w:id="0" w:name="_Toc203509591"/>
      <w:r w:rsidRPr="00ED4D19">
        <w:rPr>
          <w:rFonts w:ascii="Gill Sans MT" w:hAnsi="Gill Sans MT"/>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E05813" w:rsidRPr="00ED4D19" w14:paraId="6CE62461" w14:textId="77777777" w:rsidTr="00093CBD">
        <w:trPr>
          <w:trHeight w:val="634"/>
          <w:jc w:val="center"/>
        </w:trPr>
        <w:tc>
          <w:tcPr>
            <w:tcW w:w="993" w:type="dxa"/>
            <w:shd w:val="clear" w:color="auto" w:fill="BDD6EE" w:themeFill="accent5" w:themeFillTint="66"/>
          </w:tcPr>
          <w:p w14:paraId="25C691BD" w14:textId="77777777" w:rsidR="00E05813" w:rsidRPr="00ED4D19" w:rsidRDefault="00E05813" w:rsidP="00093CBD">
            <w:pPr>
              <w:rPr>
                <w:rFonts w:ascii="Gill Sans MT" w:hAnsi="Gill Sans MT" w:cstheme="minorHAnsi"/>
                <w:b/>
                <w:bCs/>
                <w:sz w:val="20"/>
                <w:szCs w:val="20"/>
              </w:rPr>
            </w:pPr>
            <w:r w:rsidRPr="00ED4D19">
              <w:rPr>
                <w:rFonts w:ascii="Gill Sans MT" w:hAnsi="Gill Sans MT" w:cstheme="minorHAnsi"/>
                <w:b/>
                <w:bCs/>
                <w:sz w:val="20"/>
                <w:szCs w:val="20"/>
              </w:rPr>
              <w:t>Year Group</w:t>
            </w:r>
          </w:p>
        </w:tc>
        <w:tc>
          <w:tcPr>
            <w:tcW w:w="2410" w:type="dxa"/>
            <w:shd w:val="clear" w:color="auto" w:fill="BDD6EE" w:themeFill="accent5" w:themeFillTint="66"/>
          </w:tcPr>
          <w:p w14:paraId="4DD1D8E6"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1</w:t>
            </w:r>
          </w:p>
        </w:tc>
        <w:tc>
          <w:tcPr>
            <w:tcW w:w="2410" w:type="dxa"/>
            <w:shd w:val="clear" w:color="auto" w:fill="BDD6EE" w:themeFill="accent5" w:themeFillTint="66"/>
          </w:tcPr>
          <w:p w14:paraId="067AD636"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2</w:t>
            </w:r>
          </w:p>
        </w:tc>
        <w:tc>
          <w:tcPr>
            <w:tcW w:w="2410" w:type="dxa"/>
            <w:shd w:val="clear" w:color="auto" w:fill="BDD6EE" w:themeFill="accent5" w:themeFillTint="66"/>
          </w:tcPr>
          <w:p w14:paraId="31788340"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3</w:t>
            </w:r>
          </w:p>
        </w:tc>
        <w:tc>
          <w:tcPr>
            <w:tcW w:w="2268" w:type="dxa"/>
            <w:shd w:val="clear" w:color="auto" w:fill="BDD6EE" w:themeFill="accent5" w:themeFillTint="66"/>
          </w:tcPr>
          <w:p w14:paraId="774FF97A"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4</w:t>
            </w:r>
          </w:p>
        </w:tc>
        <w:tc>
          <w:tcPr>
            <w:tcW w:w="2268" w:type="dxa"/>
            <w:shd w:val="clear" w:color="auto" w:fill="BDD6EE" w:themeFill="accent5" w:themeFillTint="66"/>
          </w:tcPr>
          <w:p w14:paraId="5222A53F"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5</w:t>
            </w:r>
          </w:p>
        </w:tc>
        <w:tc>
          <w:tcPr>
            <w:tcW w:w="2268" w:type="dxa"/>
            <w:shd w:val="clear" w:color="auto" w:fill="BDD6EE" w:themeFill="accent5" w:themeFillTint="66"/>
          </w:tcPr>
          <w:p w14:paraId="162A3955" w14:textId="77777777" w:rsidR="00E05813" w:rsidRPr="00ED4D19" w:rsidRDefault="00E05813" w:rsidP="00093CBD">
            <w:pPr>
              <w:jc w:val="center"/>
              <w:rPr>
                <w:rFonts w:ascii="Gill Sans MT" w:hAnsi="Gill Sans MT" w:cstheme="minorHAnsi"/>
                <w:b/>
                <w:bCs/>
                <w:sz w:val="20"/>
                <w:szCs w:val="20"/>
              </w:rPr>
            </w:pPr>
            <w:r w:rsidRPr="00ED4D19">
              <w:rPr>
                <w:rFonts w:ascii="Gill Sans MT" w:hAnsi="Gill Sans MT" w:cstheme="minorHAnsi"/>
                <w:b/>
                <w:bCs/>
                <w:sz w:val="20"/>
                <w:szCs w:val="20"/>
              </w:rPr>
              <w:t>Half-term 6</w:t>
            </w:r>
          </w:p>
        </w:tc>
      </w:tr>
      <w:tr w:rsidR="00E05813" w:rsidRPr="00ED4D19" w14:paraId="14D91210" w14:textId="77777777" w:rsidTr="00093CBD">
        <w:trPr>
          <w:trHeight w:val="317"/>
          <w:jc w:val="center"/>
        </w:trPr>
        <w:tc>
          <w:tcPr>
            <w:tcW w:w="993" w:type="dxa"/>
            <w:shd w:val="clear" w:color="auto" w:fill="BDD6EE" w:themeFill="accent5" w:themeFillTint="66"/>
          </w:tcPr>
          <w:p w14:paraId="540E8769" w14:textId="77777777" w:rsidR="00E05813" w:rsidRPr="00ED4D19" w:rsidRDefault="00E05813" w:rsidP="00093CBD">
            <w:pPr>
              <w:rPr>
                <w:rFonts w:ascii="Gill Sans MT" w:hAnsi="Gill Sans MT" w:cstheme="minorHAnsi"/>
                <w:b/>
                <w:bCs/>
                <w:sz w:val="20"/>
                <w:szCs w:val="20"/>
              </w:rPr>
            </w:pPr>
            <w:r w:rsidRPr="00ED4D19">
              <w:rPr>
                <w:rFonts w:ascii="Gill Sans MT" w:hAnsi="Gill Sans MT" w:cstheme="minorHAnsi"/>
                <w:b/>
                <w:bCs/>
                <w:sz w:val="20"/>
                <w:szCs w:val="20"/>
              </w:rPr>
              <w:t>Year 10</w:t>
            </w:r>
          </w:p>
        </w:tc>
        <w:tc>
          <w:tcPr>
            <w:tcW w:w="2410" w:type="dxa"/>
            <w:shd w:val="clear" w:color="auto" w:fill="auto"/>
          </w:tcPr>
          <w:p w14:paraId="4C6DAFD2"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Introduction to qualification</w:t>
            </w:r>
          </w:p>
          <w:p w14:paraId="26FEDB9D" w14:textId="77777777" w:rsidR="00E05813" w:rsidRPr="00ED4D19" w:rsidRDefault="00E05813" w:rsidP="00093CBD">
            <w:pPr>
              <w:jc w:val="center"/>
              <w:rPr>
                <w:rFonts w:ascii="Gill Sans MT" w:hAnsi="Gill Sans MT" w:cstheme="minorHAnsi"/>
                <w:b/>
                <w:bCs/>
                <w:sz w:val="14"/>
                <w:szCs w:val="14"/>
              </w:rPr>
            </w:pPr>
          </w:p>
          <w:p w14:paraId="1A3BE516"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1 (1.1)–Introduction to the construction sector -Introducing:</w:t>
            </w:r>
          </w:p>
          <w:p w14:paraId="06D048AC"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Buildings and Structures</w:t>
            </w:r>
          </w:p>
          <w:p w14:paraId="7F80B37D"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Infrastructure and civil engineering products</w:t>
            </w:r>
          </w:p>
          <w:p w14:paraId="0772CDC8"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5A4D1F70" w14:textId="77777777" w:rsidR="00E05813" w:rsidRPr="00ED4D19" w:rsidRDefault="00E05813" w:rsidP="00093CBD">
            <w:pPr>
              <w:jc w:val="center"/>
              <w:rPr>
                <w:rFonts w:ascii="Gill Sans MT" w:hAnsi="Gill Sans MT" w:cstheme="minorHAnsi"/>
                <w:b/>
                <w:bCs/>
                <w:sz w:val="14"/>
                <w:szCs w:val="14"/>
              </w:rPr>
            </w:pPr>
          </w:p>
          <w:p w14:paraId="5BBBE4DA"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1</w:t>
            </w:r>
          </w:p>
          <w:p w14:paraId="52475EE1"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170FB5DB" w14:textId="77777777" w:rsidR="00E05813" w:rsidRPr="00ED4D19" w:rsidRDefault="00E05813" w:rsidP="00093CBD">
            <w:pPr>
              <w:jc w:val="center"/>
              <w:rPr>
                <w:rFonts w:ascii="Gill Sans MT" w:hAnsi="Gill Sans MT" w:cstheme="minorHAnsi"/>
                <w:sz w:val="14"/>
                <w:szCs w:val="14"/>
              </w:rPr>
            </w:pPr>
          </w:p>
          <w:p w14:paraId="50C05D69"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1 (1.1)-Introduction to the construction sector -Introducing:</w:t>
            </w:r>
          </w:p>
          <w:p w14:paraId="7ECC7097"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Building services engineering</w:t>
            </w:r>
          </w:p>
          <w:p w14:paraId="04083CD5"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Professional and managerial roles</w:t>
            </w:r>
          </w:p>
          <w:p w14:paraId="4B12611D"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1B24760C" w14:textId="77777777" w:rsidR="00E05813" w:rsidRPr="00ED4D19" w:rsidRDefault="00E05813" w:rsidP="00093CBD">
            <w:pPr>
              <w:jc w:val="center"/>
              <w:rPr>
                <w:rFonts w:ascii="Gill Sans MT" w:hAnsi="Gill Sans MT" w:cstheme="minorHAnsi"/>
                <w:b/>
                <w:bCs/>
                <w:sz w:val="14"/>
                <w:szCs w:val="14"/>
              </w:rPr>
            </w:pPr>
          </w:p>
          <w:p w14:paraId="60D15C09"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1</w:t>
            </w:r>
          </w:p>
          <w:p w14:paraId="5AC4AF84"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468E4A85" w14:textId="77777777" w:rsidR="00E05813" w:rsidRPr="00ED4D19" w:rsidRDefault="00E05813" w:rsidP="00093CBD">
            <w:pPr>
              <w:jc w:val="center"/>
              <w:rPr>
                <w:rFonts w:ascii="Gill Sans MT" w:hAnsi="Gill Sans MT" w:cstheme="minorHAnsi"/>
                <w:sz w:val="14"/>
                <w:szCs w:val="14"/>
              </w:rPr>
            </w:pPr>
          </w:p>
        </w:tc>
        <w:tc>
          <w:tcPr>
            <w:tcW w:w="2410" w:type="dxa"/>
            <w:shd w:val="clear" w:color="auto" w:fill="auto"/>
          </w:tcPr>
          <w:p w14:paraId="5BCDBBE9"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1 (1.2)-The Built Environment life cycle:</w:t>
            </w:r>
          </w:p>
          <w:p w14:paraId="7EAED38D"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Raw material extraction</w:t>
            </w:r>
          </w:p>
          <w:p w14:paraId="13F6B65F"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Manufacturing</w:t>
            </w:r>
          </w:p>
          <w:p w14:paraId="7ABF0E95"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Construction</w:t>
            </w:r>
          </w:p>
          <w:p w14:paraId="0E9F738D" w14:textId="77777777" w:rsidR="00E05813" w:rsidRPr="00ED4D19" w:rsidRDefault="00E05813" w:rsidP="00093CBD">
            <w:pPr>
              <w:jc w:val="center"/>
              <w:rPr>
                <w:rFonts w:ascii="Gill Sans MT" w:hAnsi="Gill Sans MT" w:cstheme="minorHAnsi"/>
                <w:b/>
                <w:bCs/>
                <w:sz w:val="14"/>
                <w:szCs w:val="14"/>
              </w:rPr>
            </w:pPr>
          </w:p>
          <w:p w14:paraId="1620A0CC"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7CC56AE7" w14:textId="77777777" w:rsidR="00E05813" w:rsidRPr="00ED4D19" w:rsidRDefault="00E05813" w:rsidP="00093CBD">
            <w:pPr>
              <w:jc w:val="center"/>
              <w:rPr>
                <w:rFonts w:ascii="Gill Sans MT" w:hAnsi="Gill Sans MT" w:cstheme="minorHAnsi"/>
                <w:b/>
                <w:bCs/>
                <w:sz w:val="14"/>
                <w:szCs w:val="14"/>
              </w:rPr>
            </w:pPr>
          </w:p>
          <w:p w14:paraId="3CA313FC"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1</w:t>
            </w:r>
          </w:p>
          <w:p w14:paraId="57426BF5" w14:textId="77777777" w:rsidR="00E05813" w:rsidRPr="00ED4D19" w:rsidRDefault="00E05813" w:rsidP="00093CBD">
            <w:pPr>
              <w:pStyle w:val="ListParagraph"/>
              <w:jc w:val="center"/>
              <w:rPr>
                <w:rFonts w:ascii="Gill Sans MT" w:hAnsi="Gill Sans MT" w:cstheme="minorHAnsi"/>
                <w:b/>
                <w:bCs/>
                <w:sz w:val="14"/>
                <w:szCs w:val="14"/>
              </w:rPr>
            </w:pPr>
          </w:p>
          <w:p w14:paraId="2A3485CC"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3BFDBD40" w14:textId="77777777" w:rsidR="00E05813" w:rsidRPr="00ED4D19" w:rsidRDefault="00E05813" w:rsidP="00093CBD">
            <w:pPr>
              <w:jc w:val="center"/>
              <w:rPr>
                <w:rFonts w:ascii="Gill Sans MT" w:hAnsi="Gill Sans MT" w:cstheme="minorHAnsi"/>
                <w:sz w:val="14"/>
                <w:szCs w:val="14"/>
              </w:rPr>
            </w:pPr>
          </w:p>
          <w:p w14:paraId="1052076F"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1 (1.2)-The Built Environment life cycle:</w:t>
            </w:r>
          </w:p>
          <w:p w14:paraId="35F3F63B"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Operation and Maintenance</w:t>
            </w:r>
          </w:p>
          <w:p w14:paraId="6B3A0528"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Demolition</w:t>
            </w:r>
          </w:p>
          <w:p w14:paraId="2BE4B390"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Disposal, re-use or recycling</w:t>
            </w:r>
          </w:p>
          <w:p w14:paraId="7FC961AB" w14:textId="77777777" w:rsidR="00E05813" w:rsidRPr="00ED4D19" w:rsidRDefault="00E05813" w:rsidP="00093CBD">
            <w:pPr>
              <w:jc w:val="center"/>
              <w:rPr>
                <w:rFonts w:ascii="Gill Sans MT" w:hAnsi="Gill Sans MT" w:cstheme="minorHAnsi"/>
                <w:b/>
                <w:bCs/>
                <w:sz w:val="14"/>
                <w:szCs w:val="14"/>
              </w:rPr>
            </w:pPr>
          </w:p>
          <w:p w14:paraId="6BB4CC76"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1214C813" w14:textId="77777777" w:rsidR="00E05813" w:rsidRPr="00ED4D19" w:rsidRDefault="00E05813" w:rsidP="00093CBD">
            <w:pPr>
              <w:jc w:val="center"/>
              <w:rPr>
                <w:rFonts w:ascii="Gill Sans MT" w:hAnsi="Gill Sans MT" w:cstheme="minorHAnsi"/>
                <w:b/>
                <w:bCs/>
                <w:sz w:val="14"/>
                <w:szCs w:val="14"/>
              </w:rPr>
            </w:pPr>
          </w:p>
          <w:p w14:paraId="424C4876" w14:textId="77777777" w:rsidR="00E05813" w:rsidRPr="00ED4D19" w:rsidRDefault="00E05813" w:rsidP="00E05813">
            <w:pPr>
              <w:pStyle w:val="ListParagraph"/>
              <w:numPr>
                <w:ilvl w:val="0"/>
                <w:numId w:val="35"/>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1</w:t>
            </w:r>
          </w:p>
          <w:p w14:paraId="03849C41" w14:textId="77777777" w:rsidR="00E05813" w:rsidRPr="00ED4D19" w:rsidRDefault="00E05813" w:rsidP="00093CBD">
            <w:pPr>
              <w:jc w:val="center"/>
              <w:rPr>
                <w:rFonts w:ascii="Gill Sans MT" w:hAnsi="Gill Sans MT" w:cstheme="minorHAnsi"/>
                <w:b/>
                <w:bCs/>
                <w:sz w:val="14"/>
                <w:szCs w:val="14"/>
              </w:rPr>
            </w:pPr>
          </w:p>
          <w:p w14:paraId="116B24BC"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tc>
        <w:tc>
          <w:tcPr>
            <w:tcW w:w="2410" w:type="dxa"/>
            <w:shd w:val="clear" w:color="auto" w:fill="auto"/>
          </w:tcPr>
          <w:p w14:paraId="566CFFD6"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(1.3) –Types of building and structure:</w:t>
            </w:r>
          </w:p>
          <w:p w14:paraId="2E9F8FC8"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Different forms of infrastructure construction</w:t>
            </w:r>
          </w:p>
          <w:p w14:paraId="3A5BB9BB"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Different forms of low-rise buildings</w:t>
            </w:r>
          </w:p>
          <w:p w14:paraId="6BF11F1C"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1C436FC2" w14:textId="77777777" w:rsidR="00E05813" w:rsidRPr="00ED4D19" w:rsidRDefault="00E05813" w:rsidP="00093CBD">
            <w:pPr>
              <w:jc w:val="center"/>
              <w:rPr>
                <w:rFonts w:ascii="Gill Sans MT" w:hAnsi="Gill Sans MT" w:cstheme="minorHAnsi"/>
                <w:b/>
                <w:bCs/>
                <w:sz w:val="14"/>
                <w:szCs w:val="14"/>
              </w:rPr>
            </w:pPr>
          </w:p>
          <w:p w14:paraId="62231F3F"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–Review sample assessment material and note the scope of areas of content appropriate for the selected trade-based task -trade based task 2</w:t>
            </w:r>
          </w:p>
          <w:p w14:paraId="78728F72" w14:textId="77777777" w:rsidR="00E05813" w:rsidRPr="00ED4D19" w:rsidRDefault="00E05813" w:rsidP="00093CBD">
            <w:pPr>
              <w:jc w:val="center"/>
              <w:rPr>
                <w:rFonts w:ascii="Gill Sans MT" w:hAnsi="Gill Sans MT" w:cstheme="minorHAnsi"/>
                <w:b/>
                <w:bCs/>
                <w:sz w:val="14"/>
                <w:szCs w:val="14"/>
              </w:rPr>
            </w:pPr>
          </w:p>
          <w:p w14:paraId="5DF60744"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2</w:t>
            </w:r>
          </w:p>
          <w:p w14:paraId="4281A979" w14:textId="77777777" w:rsidR="00E05813" w:rsidRPr="00ED4D19" w:rsidRDefault="00E05813" w:rsidP="00093CBD">
            <w:pPr>
              <w:jc w:val="center"/>
              <w:rPr>
                <w:rStyle w:val="normaltextrun"/>
                <w:rFonts w:ascii="Gill Sans MT" w:hAnsi="Gill Sans MT" w:cstheme="minorHAnsi"/>
                <w:b/>
                <w:bCs/>
                <w:color w:val="FF0000"/>
                <w:sz w:val="14"/>
                <w:szCs w:val="14"/>
                <w:shd w:val="clear" w:color="auto" w:fill="FFFFFF"/>
              </w:rPr>
            </w:pPr>
            <w:r w:rsidRPr="00ED4D19">
              <w:rPr>
                <w:rStyle w:val="normaltextrun"/>
                <w:rFonts w:ascii="Gill Sans MT" w:hAnsi="Gill Sans MT" w:cstheme="minorHAnsi"/>
                <w:b/>
                <w:bCs/>
                <w:color w:val="FF0000"/>
                <w:sz w:val="14"/>
                <w:szCs w:val="14"/>
                <w:shd w:val="clear" w:color="auto" w:fill="FFFFFF"/>
              </w:rPr>
              <w:t>FEEDFORWARD ASSESSMENT</w:t>
            </w:r>
          </w:p>
          <w:p w14:paraId="034F64C5" w14:textId="77777777" w:rsidR="00E05813" w:rsidRPr="00ED4D19" w:rsidRDefault="00E05813" w:rsidP="00093CBD">
            <w:pPr>
              <w:jc w:val="center"/>
              <w:rPr>
                <w:rStyle w:val="eop"/>
                <w:rFonts w:ascii="Gill Sans MT" w:hAnsi="Gill Sans MT" w:cstheme="minorHAnsi"/>
                <w:color w:val="FF0000"/>
                <w:sz w:val="14"/>
                <w:szCs w:val="14"/>
                <w:shd w:val="clear" w:color="auto" w:fill="FFFFFF"/>
              </w:rPr>
            </w:pPr>
          </w:p>
          <w:p w14:paraId="17D99CEE"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(1.4) –Technologies and materials:</w:t>
            </w:r>
          </w:p>
          <w:p w14:paraId="1266154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Main elements and components of low-rise buildings</w:t>
            </w:r>
          </w:p>
          <w:p w14:paraId="714A3155"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Main materials involved in constructing walls and installing building services</w:t>
            </w:r>
          </w:p>
          <w:p w14:paraId="46537819"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Main materials involved in fitting roofs and finishing interiors</w:t>
            </w:r>
          </w:p>
          <w:p w14:paraId="0B33386B"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Renewable technologies and materials</w:t>
            </w:r>
          </w:p>
          <w:p w14:paraId="47081279"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1BB98F3D" w14:textId="77777777" w:rsidR="00E05813" w:rsidRPr="00ED4D19" w:rsidRDefault="00E05813" w:rsidP="00093CBD">
            <w:pPr>
              <w:jc w:val="center"/>
              <w:rPr>
                <w:rFonts w:ascii="Gill Sans MT" w:hAnsi="Gill Sans MT" w:cstheme="minorHAnsi"/>
                <w:b/>
                <w:bCs/>
                <w:sz w:val="14"/>
                <w:szCs w:val="14"/>
              </w:rPr>
            </w:pPr>
          </w:p>
          <w:p w14:paraId="38B8E47D"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2</w:t>
            </w:r>
          </w:p>
          <w:p w14:paraId="28225445"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tc>
        <w:tc>
          <w:tcPr>
            <w:tcW w:w="2268" w:type="dxa"/>
            <w:shd w:val="clear" w:color="auto" w:fill="auto"/>
          </w:tcPr>
          <w:p w14:paraId="4807B22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(1.5) Building structures and forms:</w:t>
            </w:r>
          </w:p>
          <w:p w14:paraId="6A499EBC"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Cellular constructions, rectangular and portal frames</w:t>
            </w:r>
          </w:p>
          <w:p w14:paraId="255B9114"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Heritage and traditional methods</w:t>
            </w:r>
          </w:p>
          <w:p w14:paraId="44D96CA1"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64293773" w14:textId="77777777" w:rsidR="00E05813" w:rsidRPr="00ED4D19" w:rsidRDefault="00E05813" w:rsidP="00093CBD">
            <w:pPr>
              <w:jc w:val="center"/>
              <w:rPr>
                <w:rFonts w:ascii="Gill Sans MT" w:hAnsi="Gill Sans MT" w:cstheme="minorHAnsi"/>
                <w:b/>
                <w:bCs/>
                <w:sz w:val="14"/>
                <w:szCs w:val="14"/>
              </w:rPr>
            </w:pPr>
          </w:p>
          <w:p w14:paraId="1C412440"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2</w:t>
            </w:r>
          </w:p>
          <w:p w14:paraId="0A186D31" w14:textId="77777777" w:rsidR="00E05813" w:rsidRPr="00ED4D19" w:rsidRDefault="00E05813" w:rsidP="00093CBD">
            <w:pPr>
              <w:jc w:val="center"/>
              <w:rPr>
                <w:rFonts w:ascii="Gill Sans MT" w:hAnsi="Gill Sans MT" w:cstheme="minorHAnsi"/>
                <w:sz w:val="14"/>
                <w:szCs w:val="14"/>
              </w:rPr>
            </w:pPr>
            <w:r w:rsidRPr="00ED4D19">
              <w:rPr>
                <w:rStyle w:val="normaltextrun"/>
                <w:rFonts w:ascii="Gill Sans MT" w:hAnsi="Gill Sans MT" w:cstheme="minorHAnsi"/>
                <w:b/>
                <w:bCs/>
                <w:color w:val="FF0000"/>
                <w:sz w:val="14"/>
                <w:szCs w:val="14"/>
                <w:shd w:val="clear" w:color="auto" w:fill="FFFFFF"/>
              </w:rPr>
              <w:t>FEEDFORWARD ASSESSMENT</w:t>
            </w:r>
          </w:p>
        </w:tc>
        <w:tc>
          <w:tcPr>
            <w:tcW w:w="4536" w:type="dxa"/>
            <w:gridSpan w:val="2"/>
            <w:shd w:val="clear" w:color="auto" w:fill="auto"/>
          </w:tcPr>
          <w:p w14:paraId="66219E48"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(1.6) –Sustainable construction methods:</w:t>
            </w:r>
          </w:p>
          <w:p w14:paraId="32C213D0"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The benefits of sustainable construction</w:t>
            </w:r>
          </w:p>
          <w:p w14:paraId="5A7EDC5E"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Pollution and the preservation of the natural environment</w:t>
            </w:r>
          </w:p>
          <w:p w14:paraId="4FD8D8C4"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Sustainable materials used to create building frames, walls and roofs</w:t>
            </w:r>
          </w:p>
          <w:p w14:paraId="4D00B024"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Waste disposal, re-use and recycling</w:t>
            </w:r>
          </w:p>
          <w:p w14:paraId="2E724639"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70FCB6D2" w14:textId="77777777" w:rsidR="00E05813" w:rsidRPr="00ED4D19" w:rsidRDefault="00E05813" w:rsidP="00093CBD">
            <w:pPr>
              <w:jc w:val="center"/>
              <w:rPr>
                <w:rFonts w:ascii="Gill Sans MT" w:hAnsi="Gill Sans MT" w:cstheme="minorHAnsi"/>
                <w:b/>
                <w:bCs/>
                <w:sz w:val="14"/>
                <w:szCs w:val="14"/>
              </w:rPr>
            </w:pPr>
          </w:p>
          <w:p w14:paraId="29FE866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2</w:t>
            </w:r>
          </w:p>
          <w:p w14:paraId="24762D41" w14:textId="77777777" w:rsidR="00E05813" w:rsidRPr="00ED4D19" w:rsidRDefault="00E05813" w:rsidP="00093CBD">
            <w:pPr>
              <w:jc w:val="center"/>
              <w:rPr>
                <w:rStyle w:val="eop"/>
                <w:rFonts w:ascii="Gill Sans MT" w:hAnsi="Gill Sans MT" w:cstheme="minorHAnsi"/>
                <w:color w:val="FF0000"/>
                <w:sz w:val="14"/>
                <w:szCs w:val="14"/>
                <w:shd w:val="clear" w:color="auto" w:fill="FFFFFF"/>
              </w:rPr>
            </w:pPr>
            <w:r w:rsidRPr="00ED4D19">
              <w:rPr>
                <w:rStyle w:val="normaltextrun"/>
                <w:rFonts w:ascii="Gill Sans MT" w:hAnsi="Gill Sans MT" w:cstheme="minorHAnsi"/>
                <w:b/>
                <w:bCs/>
                <w:color w:val="FF0000"/>
                <w:sz w:val="14"/>
                <w:szCs w:val="14"/>
                <w:shd w:val="clear" w:color="auto" w:fill="FFFFFF"/>
              </w:rPr>
              <w:t>FEEDFORWARD ASSESSMENT</w:t>
            </w:r>
          </w:p>
          <w:p w14:paraId="64B2CD4F" w14:textId="77777777" w:rsidR="00E05813" w:rsidRPr="00ED4D19" w:rsidRDefault="00E05813" w:rsidP="00093CBD">
            <w:pPr>
              <w:jc w:val="center"/>
              <w:rPr>
                <w:rStyle w:val="eop"/>
                <w:rFonts w:ascii="Gill Sans MT" w:hAnsi="Gill Sans MT" w:cstheme="minorHAnsi"/>
                <w:color w:val="FF0000"/>
                <w:sz w:val="14"/>
                <w:szCs w:val="14"/>
                <w:shd w:val="clear" w:color="auto" w:fill="FFFFFF"/>
              </w:rPr>
            </w:pPr>
          </w:p>
          <w:p w14:paraId="3A7B4078"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(1.7) –Trade employment and careers:</w:t>
            </w:r>
          </w:p>
          <w:p w14:paraId="2564FD3C"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Bricklaying, stonemasonry, plastering, carpentry and joinery</w:t>
            </w:r>
          </w:p>
          <w:p w14:paraId="2E539EC5"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Electrical installation, plumbing installation, pointing and decorating, flooring and tiling</w:t>
            </w:r>
          </w:p>
          <w:p w14:paraId="58FEB957"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3F192D46" w14:textId="77777777" w:rsidR="00E05813" w:rsidRPr="00ED4D19" w:rsidRDefault="00E05813" w:rsidP="00093CBD">
            <w:pPr>
              <w:pStyle w:val="ListParagraph"/>
              <w:ind w:left="57"/>
              <w:jc w:val="center"/>
              <w:rPr>
                <w:rFonts w:ascii="Gill Sans MT" w:hAnsi="Gill Sans MT" w:cstheme="minorHAnsi"/>
                <w:b/>
                <w:bCs/>
                <w:sz w:val="14"/>
                <w:szCs w:val="14"/>
              </w:rPr>
            </w:pPr>
          </w:p>
          <w:p w14:paraId="43EABB2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–Review sample assessment material and note the scope of areas of content appropriate for the selected trade-based task -trade based task 3</w:t>
            </w:r>
          </w:p>
          <w:p w14:paraId="1F19E5FD" w14:textId="77777777" w:rsidR="00E05813" w:rsidRPr="00ED4D19" w:rsidRDefault="00E05813" w:rsidP="00093CBD">
            <w:pPr>
              <w:jc w:val="center"/>
              <w:rPr>
                <w:rFonts w:ascii="Gill Sans MT" w:hAnsi="Gill Sans MT" w:cstheme="minorHAnsi"/>
                <w:b/>
                <w:bCs/>
                <w:sz w:val="14"/>
                <w:szCs w:val="14"/>
              </w:rPr>
            </w:pPr>
          </w:p>
          <w:p w14:paraId="3F98DE3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3</w:t>
            </w:r>
          </w:p>
          <w:p w14:paraId="66910259" w14:textId="77777777" w:rsidR="00E05813" w:rsidRPr="00ED4D19" w:rsidRDefault="00E05813" w:rsidP="00093CBD">
            <w:pPr>
              <w:jc w:val="center"/>
              <w:rPr>
                <w:rStyle w:val="normaltextrun"/>
                <w:rFonts w:ascii="Gill Sans MT" w:hAnsi="Gill Sans MT" w:cstheme="minorHAnsi"/>
                <w:b/>
                <w:bCs/>
                <w:color w:val="FF0000"/>
                <w:sz w:val="14"/>
                <w:szCs w:val="14"/>
                <w:shd w:val="clear" w:color="auto" w:fill="FFFFFF"/>
              </w:rPr>
            </w:pPr>
            <w:r w:rsidRPr="00ED4D19">
              <w:rPr>
                <w:rStyle w:val="normaltextrun"/>
                <w:rFonts w:ascii="Gill Sans MT" w:hAnsi="Gill Sans MT" w:cstheme="minorHAnsi"/>
                <w:b/>
                <w:bCs/>
                <w:color w:val="FF0000"/>
                <w:sz w:val="14"/>
                <w:szCs w:val="14"/>
                <w:shd w:val="clear" w:color="auto" w:fill="FFFFFF"/>
              </w:rPr>
              <w:t>FEEDFORWARD ASSESSMENT</w:t>
            </w:r>
          </w:p>
          <w:p w14:paraId="6413F688" w14:textId="77777777" w:rsidR="00E05813" w:rsidRPr="00ED4D19" w:rsidRDefault="00E05813" w:rsidP="00093CBD">
            <w:pPr>
              <w:jc w:val="center"/>
              <w:rPr>
                <w:rStyle w:val="eop"/>
                <w:rFonts w:ascii="Gill Sans MT" w:hAnsi="Gill Sans MT" w:cstheme="minorHAnsi"/>
                <w:color w:val="FF0000"/>
                <w:sz w:val="14"/>
                <w:szCs w:val="14"/>
                <w:shd w:val="clear" w:color="auto" w:fill="FFFFFF"/>
              </w:rPr>
            </w:pPr>
          </w:p>
          <w:p w14:paraId="6CE5B651"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Unit 1 (1.8) –Health and safety:</w:t>
            </w:r>
          </w:p>
          <w:p w14:paraId="43902561"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Risks during construction of built environment projects</w:t>
            </w:r>
          </w:p>
          <w:p w14:paraId="0BF6E012"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Procedures and risk assessments</w:t>
            </w:r>
          </w:p>
          <w:p w14:paraId="18FEC03F"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Relevant legislation</w:t>
            </w:r>
          </w:p>
          <w:p w14:paraId="00220316"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Personal protective equipment</w:t>
            </w:r>
          </w:p>
          <w:p w14:paraId="33DD206F"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Working safely with gas, water and electricity</w:t>
            </w:r>
          </w:p>
          <w:p w14:paraId="45321A11" w14:textId="77777777" w:rsidR="00E05813" w:rsidRPr="00ED4D19" w:rsidRDefault="00E05813" w:rsidP="00E05813">
            <w:pPr>
              <w:pStyle w:val="ListParagraph"/>
              <w:numPr>
                <w:ilvl w:val="0"/>
                <w:numId w:val="36"/>
              </w:numPr>
              <w:jc w:val="center"/>
              <w:rPr>
                <w:rFonts w:ascii="Gill Sans MT" w:hAnsi="Gill Sans MT" w:cstheme="minorHAnsi"/>
                <w:b/>
                <w:bCs/>
                <w:sz w:val="14"/>
                <w:szCs w:val="14"/>
              </w:rPr>
            </w:pPr>
            <w:r w:rsidRPr="00ED4D19">
              <w:rPr>
                <w:rFonts w:ascii="Gill Sans MT" w:hAnsi="Gill Sans MT" w:cstheme="minorHAnsi"/>
                <w:b/>
                <w:bCs/>
                <w:sz w:val="14"/>
                <w:szCs w:val="14"/>
              </w:rPr>
              <w:t>Working at height and in enclosed spaces</w:t>
            </w:r>
          </w:p>
          <w:p w14:paraId="2E1EDAF0" w14:textId="77777777" w:rsidR="00E05813" w:rsidRPr="00ED4D19" w:rsidRDefault="00E05813" w:rsidP="00093CBD">
            <w:pPr>
              <w:rPr>
                <w:rFonts w:ascii="Gill Sans MT" w:hAnsi="Gill Sans MT" w:cstheme="minorHAnsi"/>
                <w:b/>
                <w:bCs/>
                <w:sz w:val="14"/>
                <w:szCs w:val="14"/>
              </w:rPr>
            </w:pPr>
          </w:p>
          <w:p w14:paraId="70C1FE14" w14:textId="77777777" w:rsidR="00E05813" w:rsidRPr="00ED4D19" w:rsidRDefault="00E05813" w:rsidP="00093CBD">
            <w:pPr>
              <w:jc w:val="center"/>
              <w:rPr>
                <w:rFonts w:ascii="Gill Sans MT" w:hAnsi="Gill Sans MT" w:cstheme="minorHAnsi"/>
                <w:b/>
                <w:bCs/>
                <w:color w:val="FF0000"/>
                <w:sz w:val="14"/>
                <w:szCs w:val="14"/>
              </w:rPr>
            </w:pPr>
            <w:r w:rsidRPr="00ED4D19">
              <w:rPr>
                <w:rStyle w:val="normaltextrun"/>
                <w:rFonts w:ascii="Gill Sans MT" w:hAnsi="Gill Sans MT" w:cstheme="minorHAnsi"/>
                <w:b/>
                <w:bCs/>
                <w:color w:val="FF0000"/>
                <w:sz w:val="14"/>
                <w:szCs w:val="14"/>
                <w:shd w:val="clear" w:color="auto" w:fill="FFFFFF"/>
              </w:rPr>
              <w:t>FEEDFORWARD ASSESSMENT</w:t>
            </w:r>
          </w:p>
          <w:p w14:paraId="5D3D3DC0" w14:textId="77777777" w:rsidR="00E05813" w:rsidRPr="00ED4D19" w:rsidRDefault="00E05813" w:rsidP="00093CBD">
            <w:pPr>
              <w:pStyle w:val="ListParagraph"/>
              <w:ind w:left="57"/>
              <w:jc w:val="center"/>
              <w:rPr>
                <w:rFonts w:ascii="Gill Sans MT" w:hAnsi="Gill Sans MT" w:cstheme="minorHAnsi"/>
                <w:b/>
                <w:bCs/>
                <w:sz w:val="14"/>
                <w:szCs w:val="14"/>
              </w:rPr>
            </w:pPr>
          </w:p>
          <w:p w14:paraId="1176CB97" w14:textId="77777777" w:rsidR="00E05813" w:rsidRPr="00ED4D19" w:rsidRDefault="00E05813" w:rsidP="00093CBD">
            <w:pPr>
              <w:jc w:val="center"/>
              <w:rPr>
                <w:rFonts w:ascii="Gill Sans MT" w:hAnsi="Gill Sans MT" w:cstheme="minorHAnsi"/>
                <w:b/>
                <w:bCs/>
                <w:sz w:val="14"/>
                <w:szCs w:val="14"/>
              </w:rPr>
            </w:pPr>
            <w:r w:rsidRPr="00ED4D19">
              <w:rPr>
                <w:rFonts w:ascii="Gill Sans MT" w:hAnsi="Gill Sans MT" w:cstheme="minorHAnsi"/>
                <w:b/>
                <w:bCs/>
                <w:sz w:val="14"/>
                <w:szCs w:val="14"/>
              </w:rPr>
              <w:t>Unit 3 –learning activities to cover areas of content for trade-based task 3</w:t>
            </w:r>
          </w:p>
          <w:p w14:paraId="156D155B" w14:textId="77777777" w:rsidR="00E05813" w:rsidRPr="00ED4D19" w:rsidRDefault="00E05813" w:rsidP="00093CBD">
            <w:pPr>
              <w:jc w:val="center"/>
              <w:rPr>
                <w:rFonts w:ascii="Gill Sans MT" w:hAnsi="Gill Sans MT" w:cstheme="minorHAnsi"/>
                <w:color w:val="FF0000"/>
                <w:sz w:val="14"/>
                <w:szCs w:val="14"/>
                <w:shd w:val="clear" w:color="auto" w:fill="FFFFFF"/>
              </w:rPr>
            </w:pPr>
            <w:r w:rsidRPr="00ED4D19">
              <w:rPr>
                <w:rStyle w:val="normaltextrun"/>
                <w:rFonts w:ascii="Gill Sans MT" w:hAnsi="Gill Sans MT" w:cstheme="minorHAnsi"/>
                <w:b/>
                <w:bCs/>
                <w:color w:val="FF0000"/>
                <w:sz w:val="14"/>
                <w:szCs w:val="14"/>
                <w:shd w:val="clear" w:color="auto" w:fill="FFFFFF"/>
              </w:rPr>
              <w:t>FEEDFORWARD ASSESSMENT</w:t>
            </w:r>
          </w:p>
        </w:tc>
      </w:tr>
      <w:tr w:rsidR="00E05813" w:rsidRPr="00ED4D19" w14:paraId="540CD0D9" w14:textId="77777777" w:rsidTr="00093CBD">
        <w:trPr>
          <w:trHeight w:val="317"/>
          <w:jc w:val="center"/>
        </w:trPr>
        <w:tc>
          <w:tcPr>
            <w:tcW w:w="993" w:type="dxa"/>
            <w:shd w:val="clear" w:color="auto" w:fill="BDD6EE" w:themeFill="accent5" w:themeFillTint="66"/>
          </w:tcPr>
          <w:p w14:paraId="6696A6A8" w14:textId="77777777" w:rsidR="00E05813" w:rsidRPr="00ED4D19" w:rsidRDefault="00E05813" w:rsidP="00093CBD">
            <w:pPr>
              <w:rPr>
                <w:rFonts w:ascii="Gill Sans MT" w:hAnsi="Gill Sans MT" w:cstheme="minorHAnsi"/>
                <w:b/>
                <w:bCs/>
                <w:sz w:val="20"/>
                <w:szCs w:val="20"/>
              </w:rPr>
            </w:pPr>
            <w:r w:rsidRPr="00ED4D19">
              <w:rPr>
                <w:rFonts w:ascii="Gill Sans MT" w:hAnsi="Gill Sans MT" w:cstheme="minorHAnsi"/>
                <w:b/>
                <w:bCs/>
                <w:sz w:val="20"/>
                <w:szCs w:val="20"/>
              </w:rPr>
              <w:t>Year 11</w:t>
            </w:r>
          </w:p>
        </w:tc>
        <w:tc>
          <w:tcPr>
            <w:tcW w:w="2410" w:type="dxa"/>
            <w:shd w:val="clear" w:color="auto" w:fill="auto"/>
          </w:tcPr>
          <w:p w14:paraId="3C8479BC" w14:textId="77777777" w:rsidR="00E05813" w:rsidRPr="00ED4D19" w:rsidRDefault="00E05813" w:rsidP="00093CBD">
            <w:pPr>
              <w:jc w:val="cente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Non-Exam Assessment (NEA)</w:t>
            </w:r>
          </w:p>
          <w:p w14:paraId="413F010E" w14:textId="77777777" w:rsidR="00E05813" w:rsidRPr="00ED4D19" w:rsidRDefault="00E05813" w:rsidP="00093CBD">
            <w:pPr>
              <w:jc w:val="cente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Assessment on 3 practical skills</w:t>
            </w:r>
          </w:p>
          <w:p w14:paraId="2918552C" w14:textId="77777777" w:rsidR="00E05813" w:rsidRPr="00ED4D19" w:rsidRDefault="00E05813" w:rsidP="00E05813">
            <w:pPr>
              <w:pStyle w:val="ListParagraph"/>
              <w:numPr>
                <w:ilvl w:val="0"/>
                <w:numId w:val="36"/>
              </w:numP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Task 1</w:t>
            </w:r>
          </w:p>
          <w:p w14:paraId="25883FB8" w14:textId="77777777" w:rsidR="00E05813" w:rsidRPr="00ED4D19" w:rsidRDefault="00E05813" w:rsidP="00E05813">
            <w:pPr>
              <w:pStyle w:val="ListParagraph"/>
              <w:numPr>
                <w:ilvl w:val="0"/>
                <w:numId w:val="36"/>
              </w:numP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Task 2</w:t>
            </w:r>
          </w:p>
          <w:p w14:paraId="77013B4D" w14:textId="77777777" w:rsidR="00E05813" w:rsidRPr="00ED4D19" w:rsidRDefault="00E05813" w:rsidP="00E05813">
            <w:pPr>
              <w:pStyle w:val="ListParagraph"/>
              <w:numPr>
                <w:ilvl w:val="0"/>
                <w:numId w:val="36"/>
              </w:numP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Task 3(</w:t>
            </w:r>
            <w:proofErr w:type="spellStart"/>
            <w:proofErr w:type="gramStart"/>
            <w:r w:rsidRPr="00ED4D19">
              <w:rPr>
                <w:rFonts w:ascii="Gill Sans MT" w:hAnsi="Gill Sans MT" w:cstheme="minorHAnsi"/>
                <w:b/>
                <w:bCs/>
                <w:color w:val="000000" w:themeColor="text1"/>
                <w:sz w:val="14"/>
                <w:szCs w:val="14"/>
              </w:rPr>
              <w:t>a,b</w:t>
            </w:r>
            <w:proofErr w:type="gramEnd"/>
            <w:r w:rsidRPr="00ED4D19">
              <w:rPr>
                <w:rFonts w:ascii="Gill Sans MT" w:hAnsi="Gill Sans MT" w:cstheme="minorHAnsi"/>
                <w:b/>
                <w:bCs/>
                <w:color w:val="000000" w:themeColor="text1"/>
                <w:sz w:val="14"/>
                <w:szCs w:val="14"/>
              </w:rPr>
              <w:t>&amp;c</w:t>
            </w:r>
            <w:proofErr w:type="spellEnd"/>
            <w:r w:rsidRPr="00ED4D19">
              <w:rPr>
                <w:rFonts w:ascii="Gill Sans MT" w:hAnsi="Gill Sans MT" w:cstheme="minorHAnsi"/>
                <w:b/>
                <w:bCs/>
                <w:color w:val="000000" w:themeColor="text1"/>
                <w:sz w:val="14"/>
                <w:szCs w:val="14"/>
              </w:rPr>
              <w:t>)</w:t>
            </w:r>
          </w:p>
          <w:p w14:paraId="054CE16D" w14:textId="77777777" w:rsidR="00E05813" w:rsidRPr="00ED4D19" w:rsidRDefault="00E05813" w:rsidP="00093CBD">
            <w:pPr>
              <w:jc w:val="center"/>
              <w:rPr>
                <w:rFonts w:ascii="Gill Sans MT" w:hAnsi="Gill Sans MT" w:cstheme="minorHAnsi"/>
                <w:b/>
                <w:bCs/>
                <w:color w:val="000000" w:themeColor="text1"/>
                <w:sz w:val="14"/>
                <w:szCs w:val="14"/>
              </w:rPr>
            </w:pPr>
          </w:p>
          <w:p w14:paraId="7170CE2A" w14:textId="77777777" w:rsidR="00E05813" w:rsidRPr="00ED4D19" w:rsidRDefault="00E05813" w:rsidP="00093CBD">
            <w:pPr>
              <w:jc w:val="center"/>
              <w:rPr>
                <w:rFonts w:ascii="Gill Sans MT" w:hAnsi="Gill Sans MT" w:cstheme="minorHAnsi"/>
                <w:color w:val="000000" w:themeColor="text1"/>
                <w:sz w:val="14"/>
                <w:szCs w:val="14"/>
              </w:rPr>
            </w:pPr>
            <w:r w:rsidRPr="00ED4D19">
              <w:rPr>
                <w:rFonts w:ascii="Gill Sans MT" w:hAnsi="Gill Sans MT" w:cstheme="minorHAnsi"/>
                <w:b/>
                <w:bCs/>
                <w:color w:val="000000" w:themeColor="text1"/>
                <w:sz w:val="14"/>
                <w:szCs w:val="14"/>
              </w:rPr>
              <w:t>FEEDFORWARD ASSESSMENT – After each task</w:t>
            </w:r>
          </w:p>
          <w:p w14:paraId="0FA20A9C" w14:textId="77777777" w:rsidR="00E05813" w:rsidRPr="00ED4D19" w:rsidRDefault="00E05813" w:rsidP="00093CBD">
            <w:pPr>
              <w:jc w:val="center"/>
              <w:rPr>
                <w:rFonts w:ascii="Gill Sans MT" w:hAnsi="Gill Sans MT" w:cstheme="minorHAnsi"/>
                <w:color w:val="000000" w:themeColor="text1"/>
                <w:sz w:val="14"/>
                <w:szCs w:val="14"/>
              </w:rPr>
            </w:pPr>
          </w:p>
        </w:tc>
        <w:tc>
          <w:tcPr>
            <w:tcW w:w="2410" w:type="dxa"/>
            <w:shd w:val="clear" w:color="auto" w:fill="auto"/>
          </w:tcPr>
          <w:p w14:paraId="567DC522" w14:textId="77777777" w:rsidR="00E05813" w:rsidRPr="00ED4D19" w:rsidRDefault="00E05813" w:rsidP="00093CBD">
            <w:pPr>
              <w:jc w:val="cente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NEA</w:t>
            </w:r>
          </w:p>
          <w:p w14:paraId="3200879D" w14:textId="77777777" w:rsidR="00E05813" w:rsidRPr="00ED4D19" w:rsidRDefault="00E05813" w:rsidP="00093CBD">
            <w:pPr>
              <w:jc w:val="center"/>
              <w:rPr>
                <w:rFonts w:ascii="Gill Sans MT" w:hAnsi="Gill Sans MT" w:cstheme="minorHAnsi"/>
                <w:b/>
                <w:bCs/>
                <w:color w:val="000000" w:themeColor="text1"/>
                <w:sz w:val="14"/>
                <w:szCs w:val="14"/>
              </w:rPr>
            </w:pPr>
            <w:r w:rsidRPr="00ED4D19">
              <w:rPr>
                <w:rFonts w:ascii="Gill Sans MT" w:hAnsi="Gill Sans MT" w:cstheme="minorHAnsi"/>
                <w:b/>
                <w:bCs/>
                <w:color w:val="000000" w:themeColor="text1"/>
                <w:sz w:val="14"/>
                <w:szCs w:val="14"/>
              </w:rPr>
              <w:t>Assessment on 3 practical skills</w:t>
            </w:r>
          </w:p>
          <w:p w14:paraId="595F58D7" w14:textId="77777777" w:rsidR="00E05813" w:rsidRPr="00ED4D19" w:rsidRDefault="00E05813" w:rsidP="00093CBD">
            <w:pPr>
              <w:jc w:val="center"/>
              <w:rPr>
                <w:rFonts w:ascii="Gill Sans MT" w:hAnsi="Gill Sans MT" w:cstheme="minorHAnsi"/>
                <w:color w:val="000000" w:themeColor="text1"/>
                <w:sz w:val="14"/>
                <w:szCs w:val="14"/>
              </w:rPr>
            </w:pPr>
            <w:r w:rsidRPr="00ED4D19">
              <w:rPr>
                <w:rFonts w:ascii="Gill Sans MT" w:hAnsi="Gill Sans MT" w:cstheme="minorHAnsi"/>
                <w:b/>
                <w:bCs/>
                <w:color w:val="000000" w:themeColor="text1"/>
                <w:sz w:val="14"/>
                <w:szCs w:val="14"/>
              </w:rPr>
              <w:t>Task 4</w:t>
            </w:r>
          </w:p>
        </w:tc>
        <w:tc>
          <w:tcPr>
            <w:tcW w:w="4678" w:type="dxa"/>
            <w:gridSpan w:val="2"/>
            <w:shd w:val="clear" w:color="auto" w:fill="auto"/>
          </w:tcPr>
          <w:p w14:paraId="39E022E5" w14:textId="77777777" w:rsidR="00E05813" w:rsidRPr="00ED4D19" w:rsidRDefault="00E05813" w:rsidP="00093CBD">
            <w:pPr>
              <w:jc w:val="center"/>
              <w:rPr>
                <w:rFonts w:ascii="Gill Sans MT" w:hAnsi="Gill Sans MT" w:cstheme="minorHAnsi"/>
                <w:color w:val="000000" w:themeColor="text1"/>
                <w:sz w:val="14"/>
                <w:szCs w:val="14"/>
              </w:rPr>
            </w:pPr>
            <w:r w:rsidRPr="00ED4D19">
              <w:rPr>
                <w:rFonts w:ascii="Gill Sans MT" w:eastAsia="Calibri" w:hAnsi="Gill Sans MT" w:cstheme="minorHAnsi"/>
                <w:color w:val="FF0000"/>
                <w:sz w:val="18"/>
                <w:szCs w:val="18"/>
              </w:rPr>
              <w:t>Revision &amp; Past Papers: Specific to QLA from mock exam results</w:t>
            </w:r>
          </w:p>
        </w:tc>
        <w:tc>
          <w:tcPr>
            <w:tcW w:w="2268" w:type="dxa"/>
            <w:shd w:val="clear" w:color="auto" w:fill="D9D9D9" w:themeFill="background1" w:themeFillShade="D9"/>
          </w:tcPr>
          <w:p w14:paraId="66A78F85" w14:textId="77777777" w:rsidR="00E05813" w:rsidRPr="00ED4D19" w:rsidRDefault="00E05813" w:rsidP="00093CBD">
            <w:pPr>
              <w:jc w:val="center"/>
              <w:rPr>
                <w:rFonts w:ascii="Gill Sans MT" w:hAnsi="Gill Sans MT" w:cstheme="minorHAnsi"/>
                <w:sz w:val="20"/>
                <w:szCs w:val="20"/>
              </w:rPr>
            </w:pPr>
          </w:p>
        </w:tc>
        <w:tc>
          <w:tcPr>
            <w:tcW w:w="2268" w:type="dxa"/>
            <w:shd w:val="clear" w:color="auto" w:fill="D9D9D9" w:themeFill="background1" w:themeFillShade="D9"/>
          </w:tcPr>
          <w:p w14:paraId="4539C379" w14:textId="77777777" w:rsidR="00E05813" w:rsidRPr="00ED4D19" w:rsidRDefault="00E05813" w:rsidP="00093CBD">
            <w:pPr>
              <w:jc w:val="center"/>
              <w:rPr>
                <w:rFonts w:ascii="Gill Sans MT" w:hAnsi="Gill Sans MT" w:cstheme="minorHAnsi"/>
                <w:sz w:val="20"/>
                <w:szCs w:val="20"/>
              </w:rPr>
            </w:pPr>
          </w:p>
        </w:tc>
      </w:tr>
    </w:tbl>
    <w:p w14:paraId="1774427F" w14:textId="650438E3" w:rsidR="001677C3" w:rsidRDefault="001677C3" w:rsidP="002341E4"/>
    <w:sectPr w:rsidR="001677C3"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309"/>
    <w:multiLevelType w:val="hybridMultilevel"/>
    <w:tmpl w:val="0D08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A3FC3"/>
    <w:multiLevelType w:val="multilevel"/>
    <w:tmpl w:val="D7906CD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14EA1246"/>
    <w:multiLevelType w:val="hybridMultilevel"/>
    <w:tmpl w:val="5C2E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4" w15:restartNumberingAfterBreak="0">
    <w:nsid w:val="1AEA42AA"/>
    <w:multiLevelType w:val="hybridMultilevel"/>
    <w:tmpl w:val="630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0"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C2530A"/>
    <w:multiLevelType w:val="hybridMultilevel"/>
    <w:tmpl w:val="FFA63920"/>
    <w:lvl w:ilvl="0" w:tplc="1E74CA9C">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FD7266"/>
    <w:multiLevelType w:val="hybridMultilevel"/>
    <w:tmpl w:val="90E2C1C6"/>
    <w:lvl w:ilvl="0" w:tplc="3F2E4A7C">
      <w:start w:val="1"/>
      <w:numFmt w:val="bullet"/>
      <w:suff w:val="space"/>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D7874"/>
    <w:multiLevelType w:val="hybridMultilevel"/>
    <w:tmpl w:val="C4B29E3E"/>
    <w:lvl w:ilvl="0" w:tplc="3F2E4A7C">
      <w:start w:val="1"/>
      <w:numFmt w:val="bullet"/>
      <w:suff w:val="space"/>
      <w:lvlText w:val=""/>
      <w:lvlJc w:val="left"/>
      <w:pPr>
        <w:ind w:left="57" w:hanging="5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8"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39" w15:restartNumberingAfterBreak="0">
    <w:nsid w:val="6CF4287A"/>
    <w:multiLevelType w:val="multilevel"/>
    <w:tmpl w:val="1D967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B0773"/>
    <w:multiLevelType w:val="hybridMultilevel"/>
    <w:tmpl w:val="F4FE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07180"/>
    <w:multiLevelType w:val="hybridMultilevel"/>
    <w:tmpl w:val="30A6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032CE"/>
    <w:multiLevelType w:val="multilevel"/>
    <w:tmpl w:val="8E6EB95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8"/>
  </w:num>
  <w:num w:numId="4">
    <w:abstractNumId w:val="5"/>
  </w:num>
  <w:num w:numId="5">
    <w:abstractNumId w:val="10"/>
  </w:num>
  <w:num w:numId="6">
    <w:abstractNumId w:val="0"/>
  </w:num>
  <w:num w:numId="7">
    <w:abstractNumId w:val="35"/>
  </w:num>
  <w:num w:numId="8">
    <w:abstractNumId w:val="42"/>
  </w:num>
  <w:num w:numId="9">
    <w:abstractNumId w:val="33"/>
  </w:num>
  <w:num w:numId="10">
    <w:abstractNumId w:val="30"/>
  </w:num>
  <w:num w:numId="11">
    <w:abstractNumId w:val="3"/>
  </w:num>
  <w:num w:numId="12">
    <w:abstractNumId w:val="16"/>
  </w:num>
  <w:num w:numId="13">
    <w:abstractNumId w:val="1"/>
  </w:num>
  <w:num w:numId="14">
    <w:abstractNumId w:val="18"/>
  </w:num>
  <w:num w:numId="15">
    <w:abstractNumId w:val="34"/>
  </w:num>
  <w:num w:numId="16">
    <w:abstractNumId w:val="12"/>
  </w:num>
  <w:num w:numId="17">
    <w:abstractNumId w:val="31"/>
  </w:num>
  <w:num w:numId="18">
    <w:abstractNumId w:val="22"/>
  </w:num>
  <w:num w:numId="19">
    <w:abstractNumId w:val="11"/>
  </w:num>
  <w:num w:numId="20">
    <w:abstractNumId w:val="29"/>
  </w:num>
  <w:num w:numId="21">
    <w:abstractNumId w:val="15"/>
  </w:num>
  <w:num w:numId="22">
    <w:abstractNumId w:val="24"/>
  </w:num>
  <w:num w:numId="23">
    <w:abstractNumId w:val="2"/>
  </w:num>
  <w:num w:numId="24">
    <w:abstractNumId w:val="20"/>
  </w:num>
  <w:num w:numId="25">
    <w:abstractNumId w:val="25"/>
  </w:num>
  <w:num w:numId="26">
    <w:abstractNumId w:val="37"/>
  </w:num>
  <w:num w:numId="27">
    <w:abstractNumId w:val="13"/>
  </w:num>
  <w:num w:numId="28">
    <w:abstractNumId w:val="19"/>
  </w:num>
  <w:num w:numId="29">
    <w:abstractNumId w:val="9"/>
  </w:num>
  <w:num w:numId="30">
    <w:abstractNumId w:val="7"/>
  </w:num>
  <w:num w:numId="31">
    <w:abstractNumId w:val="39"/>
  </w:num>
  <w:num w:numId="32">
    <w:abstractNumId w:val="43"/>
  </w:num>
  <w:num w:numId="33">
    <w:abstractNumId w:val="4"/>
  </w:num>
  <w:num w:numId="34">
    <w:abstractNumId w:val="21"/>
  </w:num>
  <w:num w:numId="35">
    <w:abstractNumId w:val="36"/>
  </w:num>
  <w:num w:numId="36">
    <w:abstractNumId w:val="32"/>
  </w:num>
  <w:num w:numId="37">
    <w:abstractNumId w:val="40"/>
  </w:num>
  <w:num w:numId="38">
    <w:abstractNumId w:val="38"/>
  </w:num>
  <w:num w:numId="39">
    <w:abstractNumId w:val="17"/>
  </w:num>
  <w:num w:numId="40">
    <w:abstractNumId w:val="6"/>
  </w:num>
  <w:num w:numId="41">
    <w:abstractNumId w:val="44"/>
  </w:num>
  <w:num w:numId="42">
    <w:abstractNumId w:val="26"/>
  </w:num>
  <w:num w:numId="43">
    <w:abstractNumId w:val="8"/>
  </w:num>
  <w:num w:numId="44">
    <w:abstractNumId w:val="41"/>
  </w:num>
  <w:num w:numId="4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3B57"/>
    <w:rsid w:val="0001641B"/>
    <w:rsid w:val="00022EF9"/>
    <w:rsid w:val="00024748"/>
    <w:rsid w:val="00030F1B"/>
    <w:rsid w:val="00032FDD"/>
    <w:rsid w:val="0003548E"/>
    <w:rsid w:val="000437DD"/>
    <w:rsid w:val="000447E6"/>
    <w:rsid w:val="000450CD"/>
    <w:rsid w:val="00054C17"/>
    <w:rsid w:val="00054DBF"/>
    <w:rsid w:val="00057201"/>
    <w:rsid w:val="00065892"/>
    <w:rsid w:val="00065CB3"/>
    <w:rsid w:val="000667FB"/>
    <w:rsid w:val="000708BA"/>
    <w:rsid w:val="0008384C"/>
    <w:rsid w:val="00087085"/>
    <w:rsid w:val="00087669"/>
    <w:rsid w:val="00092D45"/>
    <w:rsid w:val="00097CCB"/>
    <w:rsid w:val="000A6B09"/>
    <w:rsid w:val="000A7DE6"/>
    <w:rsid w:val="000B3203"/>
    <w:rsid w:val="000B73FC"/>
    <w:rsid w:val="000B7F14"/>
    <w:rsid w:val="000C731B"/>
    <w:rsid w:val="000E2263"/>
    <w:rsid w:val="000F1FC7"/>
    <w:rsid w:val="000F2D37"/>
    <w:rsid w:val="000F6589"/>
    <w:rsid w:val="001020C6"/>
    <w:rsid w:val="001057DC"/>
    <w:rsid w:val="00107F55"/>
    <w:rsid w:val="00114DD3"/>
    <w:rsid w:val="00116966"/>
    <w:rsid w:val="0011721C"/>
    <w:rsid w:val="0011771A"/>
    <w:rsid w:val="0012561B"/>
    <w:rsid w:val="001378C2"/>
    <w:rsid w:val="00142E8F"/>
    <w:rsid w:val="00143EF8"/>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A376D"/>
    <w:rsid w:val="001B51D2"/>
    <w:rsid w:val="001B6861"/>
    <w:rsid w:val="001C08B3"/>
    <w:rsid w:val="001D7798"/>
    <w:rsid w:val="001D7F31"/>
    <w:rsid w:val="001E2108"/>
    <w:rsid w:val="001E6DBD"/>
    <w:rsid w:val="002031FC"/>
    <w:rsid w:val="00215620"/>
    <w:rsid w:val="00216CDF"/>
    <w:rsid w:val="0022371D"/>
    <w:rsid w:val="00226261"/>
    <w:rsid w:val="002341E4"/>
    <w:rsid w:val="00237CCF"/>
    <w:rsid w:val="00240EAE"/>
    <w:rsid w:val="00242E01"/>
    <w:rsid w:val="00256217"/>
    <w:rsid w:val="002611F3"/>
    <w:rsid w:val="00275F18"/>
    <w:rsid w:val="00281A48"/>
    <w:rsid w:val="00286E36"/>
    <w:rsid w:val="00294089"/>
    <w:rsid w:val="00294C1F"/>
    <w:rsid w:val="002967EC"/>
    <w:rsid w:val="002A4BE9"/>
    <w:rsid w:val="002A760B"/>
    <w:rsid w:val="002B01EE"/>
    <w:rsid w:val="002C172C"/>
    <w:rsid w:val="002C1BE3"/>
    <w:rsid w:val="002C279B"/>
    <w:rsid w:val="002C43CB"/>
    <w:rsid w:val="002D0EB7"/>
    <w:rsid w:val="002F013B"/>
    <w:rsid w:val="003000B7"/>
    <w:rsid w:val="0030066B"/>
    <w:rsid w:val="00301323"/>
    <w:rsid w:val="00302DAB"/>
    <w:rsid w:val="003066CB"/>
    <w:rsid w:val="00337B57"/>
    <w:rsid w:val="00350A7C"/>
    <w:rsid w:val="00353FA2"/>
    <w:rsid w:val="00356BFE"/>
    <w:rsid w:val="003833DF"/>
    <w:rsid w:val="003837F9"/>
    <w:rsid w:val="0038548A"/>
    <w:rsid w:val="0039124E"/>
    <w:rsid w:val="003A4359"/>
    <w:rsid w:val="003A557F"/>
    <w:rsid w:val="003A6309"/>
    <w:rsid w:val="003A698F"/>
    <w:rsid w:val="003B22D0"/>
    <w:rsid w:val="003B3ECB"/>
    <w:rsid w:val="003B624E"/>
    <w:rsid w:val="003B79A1"/>
    <w:rsid w:val="003C5628"/>
    <w:rsid w:val="003C7195"/>
    <w:rsid w:val="003E34FC"/>
    <w:rsid w:val="003F1BFB"/>
    <w:rsid w:val="003F409A"/>
    <w:rsid w:val="003F5246"/>
    <w:rsid w:val="003F5BE2"/>
    <w:rsid w:val="004041C9"/>
    <w:rsid w:val="00407783"/>
    <w:rsid w:val="0041372A"/>
    <w:rsid w:val="00417ABF"/>
    <w:rsid w:val="0042215E"/>
    <w:rsid w:val="004329AA"/>
    <w:rsid w:val="00450CD6"/>
    <w:rsid w:val="004515FF"/>
    <w:rsid w:val="0045512B"/>
    <w:rsid w:val="004567D2"/>
    <w:rsid w:val="00456F9F"/>
    <w:rsid w:val="00462835"/>
    <w:rsid w:val="00462C11"/>
    <w:rsid w:val="004751C0"/>
    <w:rsid w:val="0047650A"/>
    <w:rsid w:val="00487BA1"/>
    <w:rsid w:val="00491653"/>
    <w:rsid w:val="00493930"/>
    <w:rsid w:val="004C1793"/>
    <w:rsid w:val="004C5B4C"/>
    <w:rsid w:val="004E1293"/>
    <w:rsid w:val="004E33EC"/>
    <w:rsid w:val="004E4ADD"/>
    <w:rsid w:val="00504C5C"/>
    <w:rsid w:val="00504F93"/>
    <w:rsid w:val="00510EF5"/>
    <w:rsid w:val="005124E8"/>
    <w:rsid w:val="00514745"/>
    <w:rsid w:val="0051482A"/>
    <w:rsid w:val="00516442"/>
    <w:rsid w:val="00532D13"/>
    <w:rsid w:val="00536A65"/>
    <w:rsid w:val="0054395D"/>
    <w:rsid w:val="00543C8F"/>
    <w:rsid w:val="00544496"/>
    <w:rsid w:val="00551BE0"/>
    <w:rsid w:val="005574A7"/>
    <w:rsid w:val="00560008"/>
    <w:rsid w:val="00565588"/>
    <w:rsid w:val="0056688A"/>
    <w:rsid w:val="0056738B"/>
    <w:rsid w:val="005711FB"/>
    <w:rsid w:val="00580226"/>
    <w:rsid w:val="00584278"/>
    <w:rsid w:val="00594B16"/>
    <w:rsid w:val="00594E0E"/>
    <w:rsid w:val="005A2BC4"/>
    <w:rsid w:val="005B5541"/>
    <w:rsid w:val="005B7C66"/>
    <w:rsid w:val="005D0F3D"/>
    <w:rsid w:val="005E1A8A"/>
    <w:rsid w:val="005E2854"/>
    <w:rsid w:val="005E3201"/>
    <w:rsid w:val="005F693A"/>
    <w:rsid w:val="00604DDE"/>
    <w:rsid w:val="00615FCD"/>
    <w:rsid w:val="00616221"/>
    <w:rsid w:val="00632C95"/>
    <w:rsid w:val="00634330"/>
    <w:rsid w:val="0065048E"/>
    <w:rsid w:val="00651CFC"/>
    <w:rsid w:val="00652036"/>
    <w:rsid w:val="00663A6C"/>
    <w:rsid w:val="00667F5E"/>
    <w:rsid w:val="00670D39"/>
    <w:rsid w:val="00672D6C"/>
    <w:rsid w:val="006744BE"/>
    <w:rsid w:val="006803B9"/>
    <w:rsid w:val="00692D03"/>
    <w:rsid w:val="006A5F6D"/>
    <w:rsid w:val="006A6255"/>
    <w:rsid w:val="006B183C"/>
    <w:rsid w:val="006B4163"/>
    <w:rsid w:val="006B6F4E"/>
    <w:rsid w:val="006C14A1"/>
    <w:rsid w:val="006C1702"/>
    <w:rsid w:val="006E145F"/>
    <w:rsid w:val="006E7A3C"/>
    <w:rsid w:val="006F35A2"/>
    <w:rsid w:val="006F6BA8"/>
    <w:rsid w:val="00700303"/>
    <w:rsid w:val="007049CD"/>
    <w:rsid w:val="00717CAB"/>
    <w:rsid w:val="007237D2"/>
    <w:rsid w:val="00727657"/>
    <w:rsid w:val="00733134"/>
    <w:rsid w:val="007407C7"/>
    <w:rsid w:val="007416E6"/>
    <w:rsid w:val="0075079D"/>
    <w:rsid w:val="00767FB7"/>
    <w:rsid w:val="0078101F"/>
    <w:rsid w:val="0078250E"/>
    <w:rsid w:val="007831CA"/>
    <w:rsid w:val="007B15B0"/>
    <w:rsid w:val="007B5665"/>
    <w:rsid w:val="007B7C3D"/>
    <w:rsid w:val="007D3A39"/>
    <w:rsid w:val="007E0FE7"/>
    <w:rsid w:val="007E732D"/>
    <w:rsid w:val="007E7EA9"/>
    <w:rsid w:val="00810B6D"/>
    <w:rsid w:val="0081708E"/>
    <w:rsid w:val="00817E7D"/>
    <w:rsid w:val="008229CC"/>
    <w:rsid w:val="0083009D"/>
    <w:rsid w:val="00833AA0"/>
    <w:rsid w:val="00840F9E"/>
    <w:rsid w:val="008420D6"/>
    <w:rsid w:val="008459C7"/>
    <w:rsid w:val="00853CE3"/>
    <w:rsid w:val="008630A2"/>
    <w:rsid w:val="00865CA5"/>
    <w:rsid w:val="008660CB"/>
    <w:rsid w:val="00866CD7"/>
    <w:rsid w:val="008674A1"/>
    <w:rsid w:val="00867672"/>
    <w:rsid w:val="008813AF"/>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543BC"/>
    <w:rsid w:val="009617F0"/>
    <w:rsid w:val="00962E81"/>
    <w:rsid w:val="00965483"/>
    <w:rsid w:val="00985354"/>
    <w:rsid w:val="00990422"/>
    <w:rsid w:val="00990952"/>
    <w:rsid w:val="00993329"/>
    <w:rsid w:val="009B6C3D"/>
    <w:rsid w:val="009C4C74"/>
    <w:rsid w:val="009C51FB"/>
    <w:rsid w:val="009D2435"/>
    <w:rsid w:val="009E0AEC"/>
    <w:rsid w:val="009E7330"/>
    <w:rsid w:val="009F0544"/>
    <w:rsid w:val="009F0627"/>
    <w:rsid w:val="009F3423"/>
    <w:rsid w:val="009F4AD1"/>
    <w:rsid w:val="00A15AF3"/>
    <w:rsid w:val="00A205AF"/>
    <w:rsid w:val="00A26E59"/>
    <w:rsid w:val="00A273BA"/>
    <w:rsid w:val="00A47DCC"/>
    <w:rsid w:val="00A552C5"/>
    <w:rsid w:val="00A55A08"/>
    <w:rsid w:val="00A61295"/>
    <w:rsid w:val="00A66577"/>
    <w:rsid w:val="00A764A8"/>
    <w:rsid w:val="00AA0371"/>
    <w:rsid w:val="00AA5E10"/>
    <w:rsid w:val="00AC4B4F"/>
    <w:rsid w:val="00AD1056"/>
    <w:rsid w:val="00AE49EF"/>
    <w:rsid w:val="00AE50F5"/>
    <w:rsid w:val="00AE7A1A"/>
    <w:rsid w:val="00AF28EF"/>
    <w:rsid w:val="00B00303"/>
    <w:rsid w:val="00B0158A"/>
    <w:rsid w:val="00B0514B"/>
    <w:rsid w:val="00B34D59"/>
    <w:rsid w:val="00B41D6B"/>
    <w:rsid w:val="00B436F6"/>
    <w:rsid w:val="00B46838"/>
    <w:rsid w:val="00B46E08"/>
    <w:rsid w:val="00B5080D"/>
    <w:rsid w:val="00B5236F"/>
    <w:rsid w:val="00B55922"/>
    <w:rsid w:val="00B60BA9"/>
    <w:rsid w:val="00B66B80"/>
    <w:rsid w:val="00B7036C"/>
    <w:rsid w:val="00B7443E"/>
    <w:rsid w:val="00B7514D"/>
    <w:rsid w:val="00B77B24"/>
    <w:rsid w:val="00B77D02"/>
    <w:rsid w:val="00B80D5B"/>
    <w:rsid w:val="00B86A9A"/>
    <w:rsid w:val="00BA132F"/>
    <w:rsid w:val="00BA32FD"/>
    <w:rsid w:val="00BB7561"/>
    <w:rsid w:val="00BD2ACE"/>
    <w:rsid w:val="00BE7662"/>
    <w:rsid w:val="00BF1DA1"/>
    <w:rsid w:val="00BF20EF"/>
    <w:rsid w:val="00C0050A"/>
    <w:rsid w:val="00C02D58"/>
    <w:rsid w:val="00C05D90"/>
    <w:rsid w:val="00C06342"/>
    <w:rsid w:val="00C1485C"/>
    <w:rsid w:val="00C20405"/>
    <w:rsid w:val="00C316FA"/>
    <w:rsid w:val="00C35A24"/>
    <w:rsid w:val="00C35EE9"/>
    <w:rsid w:val="00C40F0C"/>
    <w:rsid w:val="00C434F2"/>
    <w:rsid w:val="00C57845"/>
    <w:rsid w:val="00C6104B"/>
    <w:rsid w:val="00C67856"/>
    <w:rsid w:val="00C70220"/>
    <w:rsid w:val="00C85CD1"/>
    <w:rsid w:val="00C87EFE"/>
    <w:rsid w:val="00C96AE0"/>
    <w:rsid w:val="00C97663"/>
    <w:rsid w:val="00CA11A1"/>
    <w:rsid w:val="00CA2018"/>
    <w:rsid w:val="00CA2D25"/>
    <w:rsid w:val="00CB1038"/>
    <w:rsid w:val="00CB1B1F"/>
    <w:rsid w:val="00CB2ADF"/>
    <w:rsid w:val="00CC568A"/>
    <w:rsid w:val="00CD4C5F"/>
    <w:rsid w:val="00CD6F08"/>
    <w:rsid w:val="00CD7021"/>
    <w:rsid w:val="00CE6221"/>
    <w:rsid w:val="00D02AF2"/>
    <w:rsid w:val="00D14B2D"/>
    <w:rsid w:val="00D208F0"/>
    <w:rsid w:val="00D325F7"/>
    <w:rsid w:val="00D32803"/>
    <w:rsid w:val="00D479A0"/>
    <w:rsid w:val="00D50DD7"/>
    <w:rsid w:val="00D54B74"/>
    <w:rsid w:val="00D63126"/>
    <w:rsid w:val="00D6561F"/>
    <w:rsid w:val="00D65BE9"/>
    <w:rsid w:val="00D66BE3"/>
    <w:rsid w:val="00D70771"/>
    <w:rsid w:val="00D71346"/>
    <w:rsid w:val="00D75474"/>
    <w:rsid w:val="00D8164F"/>
    <w:rsid w:val="00D910A9"/>
    <w:rsid w:val="00D92642"/>
    <w:rsid w:val="00D92AF1"/>
    <w:rsid w:val="00DA305C"/>
    <w:rsid w:val="00DB38FA"/>
    <w:rsid w:val="00DC6562"/>
    <w:rsid w:val="00DD2913"/>
    <w:rsid w:val="00DD5D8A"/>
    <w:rsid w:val="00DD6F7F"/>
    <w:rsid w:val="00DE02DB"/>
    <w:rsid w:val="00DE537C"/>
    <w:rsid w:val="00DF054F"/>
    <w:rsid w:val="00DF16D7"/>
    <w:rsid w:val="00DF2B96"/>
    <w:rsid w:val="00DF7CB8"/>
    <w:rsid w:val="00E03A35"/>
    <w:rsid w:val="00E05813"/>
    <w:rsid w:val="00E15F4E"/>
    <w:rsid w:val="00E20998"/>
    <w:rsid w:val="00E20B35"/>
    <w:rsid w:val="00E25DB4"/>
    <w:rsid w:val="00E33D7E"/>
    <w:rsid w:val="00E35F51"/>
    <w:rsid w:val="00E40A88"/>
    <w:rsid w:val="00E447AB"/>
    <w:rsid w:val="00E473E4"/>
    <w:rsid w:val="00E501DD"/>
    <w:rsid w:val="00E550A3"/>
    <w:rsid w:val="00E563E3"/>
    <w:rsid w:val="00E56F03"/>
    <w:rsid w:val="00E6481C"/>
    <w:rsid w:val="00E64EFA"/>
    <w:rsid w:val="00E73007"/>
    <w:rsid w:val="00E748F6"/>
    <w:rsid w:val="00E75757"/>
    <w:rsid w:val="00E93DDF"/>
    <w:rsid w:val="00E949FF"/>
    <w:rsid w:val="00EA3211"/>
    <w:rsid w:val="00EB5B50"/>
    <w:rsid w:val="00EB6BB7"/>
    <w:rsid w:val="00EC08D1"/>
    <w:rsid w:val="00EC5937"/>
    <w:rsid w:val="00ED4D19"/>
    <w:rsid w:val="00EE22E5"/>
    <w:rsid w:val="00EE2FF5"/>
    <w:rsid w:val="00EE5DD7"/>
    <w:rsid w:val="00EF299E"/>
    <w:rsid w:val="00F24E9B"/>
    <w:rsid w:val="00F328C5"/>
    <w:rsid w:val="00F4023E"/>
    <w:rsid w:val="00F406E7"/>
    <w:rsid w:val="00F459E3"/>
    <w:rsid w:val="00F602C9"/>
    <w:rsid w:val="00F637A7"/>
    <w:rsid w:val="00F637CB"/>
    <w:rsid w:val="00F656EE"/>
    <w:rsid w:val="00F71490"/>
    <w:rsid w:val="00F74172"/>
    <w:rsid w:val="00F84106"/>
    <w:rsid w:val="00F91D4D"/>
    <w:rsid w:val="00F91E9D"/>
    <w:rsid w:val="00F94A9B"/>
    <w:rsid w:val="00FA1158"/>
    <w:rsid w:val="00FB3E3C"/>
    <w:rsid w:val="00FC0FB6"/>
    <w:rsid w:val="00FC5E8A"/>
    <w:rsid w:val="00FD4BBE"/>
    <w:rsid w:val="00FE0EEB"/>
    <w:rsid w:val="00FE4479"/>
    <w:rsid w:val="00FE59D1"/>
    <w:rsid w:val="00FE7383"/>
    <w:rsid w:val="00FF6E85"/>
    <w:rsid w:val="3F7DE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2C172C"/>
    <w:rPr>
      <w:sz w:val="16"/>
      <w:szCs w:val="16"/>
    </w:rPr>
  </w:style>
  <w:style w:type="paragraph" w:styleId="CommentText">
    <w:name w:val="annotation text"/>
    <w:basedOn w:val="Normal"/>
    <w:link w:val="CommentTextChar"/>
    <w:uiPriority w:val="99"/>
    <w:semiHidden/>
    <w:unhideWhenUsed/>
    <w:rsid w:val="002C172C"/>
    <w:pPr>
      <w:spacing w:line="240" w:lineRule="auto"/>
    </w:pPr>
    <w:rPr>
      <w:sz w:val="20"/>
      <w:szCs w:val="20"/>
    </w:rPr>
  </w:style>
  <w:style w:type="character" w:customStyle="1" w:styleId="CommentTextChar">
    <w:name w:val="Comment Text Char"/>
    <w:basedOn w:val="DefaultParagraphFont"/>
    <w:link w:val="CommentText"/>
    <w:uiPriority w:val="99"/>
    <w:semiHidden/>
    <w:rsid w:val="002C172C"/>
    <w:rPr>
      <w:sz w:val="20"/>
      <w:szCs w:val="20"/>
    </w:rPr>
  </w:style>
  <w:style w:type="paragraph" w:styleId="CommentSubject">
    <w:name w:val="annotation subject"/>
    <w:basedOn w:val="CommentText"/>
    <w:next w:val="CommentText"/>
    <w:link w:val="CommentSubjectChar"/>
    <w:uiPriority w:val="99"/>
    <w:semiHidden/>
    <w:unhideWhenUsed/>
    <w:rsid w:val="002C172C"/>
    <w:rPr>
      <w:b/>
      <w:bCs/>
    </w:rPr>
  </w:style>
  <w:style w:type="character" w:customStyle="1" w:styleId="CommentSubjectChar">
    <w:name w:val="Comment Subject Char"/>
    <w:basedOn w:val="CommentTextChar"/>
    <w:link w:val="CommentSubject"/>
    <w:uiPriority w:val="99"/>
    <w:semiHidden/>
    <w:rsid w:val="002C172C"/>
    <w:rPr>
      <w:b/>
      <w:bCs/>
      <w:sz w:val="20"/>
      <w:szCs w:val="20"/>
    </w:rPr>
  </w:style>
  <w:style w:type="paragraph" w:customStyle="1" w:styleId="paragraph">
    <w:name w:val="paragraph"/>
    <w:basedOn w:val="Normal"/>
    <w:rsid w:val="004C5B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C5B4C"/>
  </w:style>
  <w:style w:type="character" w:customStyle="1" w:styleId="eop">
    <w:name w:val="eop"/>
    <w:basedOn w:val="DefaultParagraphFont"/>
    <w:rsid w:val="004C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5754">
      <w:bodyDiv w:val="1"/>
      <w:marLeft w:val="0"/>
      <w:marRight w:val="0"/>
      <w:marTop w:val="0"/>
      <w:marBottom w:val="0"/>
      <w:divBdr>
        <w:top w:val="none" w:sz="0" w:space="0" w:color="auto"/>
        <w:left w:val="none" w:sz="0" w:space="0" w:color="auto"/>
        <w:bottom w:val="none" w:sz="0" w:space="0" w:color="auto"/>
        <w:right w:val="none" w:sz="0" w:space="0" w:color="auto"/>
      </w:divBdr>
      <w:divsChild>
        <w:div w:id="781387205">
          <w:marLeft w:val="0"/>
          <w:marRight w:val="0"/>
          <w:marTop w:val="0"/>
          <w:marBottom w:val="0"/>
          <w:divBdr>
            <w:top w:val="none" w:sz="0" w:space="0" w:color="auto"/>
            <w:left w:val="none" w:sz="0" w:space="0" w:color="auto"/>
            <w:bottom w:val="none" w:sz="0" w:space="0" w:color="auto"/>
            <w:right w:val="none" w:sz="0" w:space="0" w:color="auto"/>
          </w:divBdr>
        </w:div>
        <w:div w:id="1292205708">
          <w:marLeft w:val="0"/>
          <w:marRight w:val="0"/>
          <w:marTop w:val="0"/>
          <w:marBottom w:val="0"/>
          <w:divBdr>
            <w:top w:val="none" w:sz="0" w:space="0" w:color="auto"/>
            <w:left w:val="none" w:sz="0" w:space="0" w:color="auto"/>
            <w:bottom w:val="none" w:sz="0" w:space="0" w:color="auto"/>
            <w:right w:val="none" w:sz="0" w:space="0" w:color="auto"/>
          </w:divBdr>
        </w:div>
        <w:div w:id="545216813">
          <w:marLeft w:val="0"/>
          <w:marRight w:val="0"/>
          <w:marTop w:val="0"/>
          <w:marBottom w:val="0"/>
          <w:divBdr>
            <w:top w:val="none" w:sz="0" w:space="0" w:color="auto"/>
            <w:left w:val="none" w:sz="0" w:space="0" w:color="auto"/>
            <w:bottom w:val="none" w:sz="0" w:space="0" w:color="auto"/>
            <w:right w:val="none" w:sz="0" w:space="0" w:color="auto"/>
          </w:divBdr>
        </w:div>
      </w:divsChild>
    </w:div>
    <w:div w:id="1245916909">
      <w:bodyDiv w:val="1"/>
      <w:marLeft w:val="0"/>
      <w:marRight w:val="0"/>
      <w:marTop w:val="0"/>
      <w:marBottom w:val="0"/>
      <w:divBdr>
        <w:top w:val="none" w:sz="0" w:space="0" w:color="auto"/>
        <w:left w:val="none" w:sz="0" w:space="0" w:color="auto"/>
        <w:bottom w:val="none" w:sz="0" w:space="0" w:color="auto"/>
        <w:right w:val="none" w:sz="0" w:space="0" w:color="auto"/>
      </w:divBdr>
    </w:div>
    <w:div w:id="1624848342">
      <w:bodyDiv w:val="1"/>
      <w:marLeft w:val="0"/>
      <w:marRight w:val="0"/>
      <w:marTop w:val="0"/>
      <w:marBottom w:val="0"/>
      <w:divBdr>
        <w:top w:val="none" w:sz="0" w:space="0" w:color="auto"/>
        <w:left w:val="none" w:sz="0" w:space="0" w:color="auto"/>
        <w:bottom w:val="none" w:sz="0" w:space="0" w:color="auto"/>
        <w:right w:val="none" w:sz="0" w:space="0" w:color="auto"/>
      </w:divBdr>
      <w:divsChild>
        <w:div w:id="263852420">
          <w:marLeft w:val="0"/>
          <w:marRight w:val="0"/>
          <w:marTop w:val="0"/>
          <w:marBottom w:val="0"/>
          <w:divBdr>
            <w:top w:val="none" w:sz="0" w:space="0" w:color="auto"/>
            <w:left w:val="none" w:sz="0" w:space="0" w:color="auto"/>
            <w:bottom w:val="none" w:sz="0" w:space="0" w:color="auto"/>
            <w:right w:val="none" w:sz="0" w:space="0" w:color="auto"/>
          </w:divBdr>
        </w:div>
        <w:div w:id="339091948">
          <w:marLeft w:val="0"/>
          <w:marRight w:val="0"/>
          <w:marTop w:val="0"/>
          <w:marBottom w:val="0"/>
          <w:divBdr>
            <w:top w:val="none" w:sz="0" w:space="0" w:color="auto"/>
            <w:left w:val="none" w:sz="0" w:space="0" w:color="auto"/>
            <w:bottom w:val="none" w:sz="0" w:space="0" w:color="auto"/>
            <w:right w:val="none" w:sz="0" w:space="0" w:color="auto"/>
          </w:divBdr>
        </w:div>
        <w:div w:id="2130513446">
          <w:marLeft w:val="0"/>
          <w:marRight w:val="0"/>
          <w:marTop w:val="0"/>
          <w:marBottom w:val="0"/>
          <w:divBdr>
            <w:top w:val="none" w:sz="0" w:space="0" w:color="auto"/>
            <w:left w:val="none" w:sz="0" w:space="0" w:color="auto"/>
            <w:bottom w:val="none" w:sz="0" w:space="0" w:color="auto"/>
            <w:right w:val="none" w:sz="0" w:space="0" w:color="auto"/>
          </w:divBdr>
        </w:div>
      </w:divsChild>
    </w:div>
    <w:div w:id="1656228597">
      <w:bodyDiv w:val="1"/>
      <w:marLeft w:val="0"/>
      <w:marRight w:val="0"/>
      <w:marTop w:val="0"/>
      <w:marBottom w:val="0"/>
      <w:divBdr>
        <w:top w:val="none" w:sz="0" w:space="0" w:color="auto"/>
        <w:left w:val="none" w:sz="0" w:space="0" w:color="auto"/>
        <w:bottom w:val="none" w:sz="0" w:space="0" w:color="auto"/>
        <w:right w:val="none" w:sz="0" w:space="0" w:color="auto"/>
      </w:divBdr>
      <w:divsChild>
        <w:div w:id="786511698">
          <w:marLeft w:val="0"/>
          <w:marRight w:val="0"/>
          <w:marTop w:val="0"/>
          <w:marBottom w:val="0"/>
          <w:divBdr>
            <w:top w:val="none" w:sz="0" w:space="0" w:color="auto"/>
            <w:left w:val="none" w:sz="0" w:space="0" w:color="auto"/>
            <w:bottom w:val="none" w:sz="0" w:space="0" w:color="auto"/>
            <w:right w:val="none" w:sz="0" w:space="0" w:color="auto"/>
          </w:divBdr>
        </w:div>
        <w:div w:id="1538810610">
          <w:marLeft w:val="0"/>
          <w:marRight w:val="0"/>
          <w:marTop w:val="0"/>
          <w:marBottom w:val="0"/>
          <w:divBdr>
            <w:top w:val="none" w:sz="0" w:space="0" w:color="auto"/>
            <w:left w:val="none" w:sz="0" w:space="0" w:color="auto"/>
            <w:bottom w:val="none" w:sz="0" w:space="0" w:color="auto"/>
            <w:right w:val="none" w:sz="0" w:space="0" w:color="auto"/>
          </w:divBdr>
        </w:div>
        <w:div w:id="222983984">
          <w:marLeft w:val="0"/>
          <w:marRight w:val="0"/>
          <w:marTop w:val="0"/>
          <w:marBottom w:val="0"/>
          <w:divBdr>
            <w:top w:val="none" w:sz="0" w:space="0" w:color="auto"/>
            <w:left w:val="none" w:sz="0" w:space="0" w:color="auto"/>
            <w:bottom w:val="none" w:sz="0" w:space="0" w:color="auto"/>
            <w:right w:val="none" w:sz="0" w:space="0" w:color="auto"/>
          </w:divBdr>
        </w:div>
        <w:div w:id="581181044">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19904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886B5F02-0A4B-49E5-9FD3-4E7A16A2C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construction</dc:title>
  <dc:subject/>
  <dc:creator>Head of Department: Chris Grover</dc:creator>
  <cp:keywords/>
  <dc:description/>
  <cp:lastModifiedBy>Luke Austin-Summers</cp:lastModifiedBy>
  <cp:revision>186</cp:revision>
  <dcterms:created xsi:type="dcterms:W3CDTF">2024-03-05T21:09:00Z</dcterms:created>
  <dcterms:modified xsi:type="dcterms:W3CDTF">2025-11-27T17:04:00Z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