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D6" w:rsidRPr="003137E3" w:rsidRDefault="00C0593B">
      <w:pPr>
        <w:spacing w:after="0" w:line="259" w:lineRule="auto"/>
        <w:ind w:left="64" w:firstLine="0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right="1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Spa Education Trust  </w:t>
      </w:r>
    </w:p>
    <w:p w:rsidR="00ED2FD6" w:rsidRPr="003137E3" w:rsidRDefault="00C0593B">
      <w:pPr>
        <w:spacing w:after="0" w:line="259" w:lineRule="auto"/>
        <w:ind w:left="64" w:firstLine="0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 </w:t>
      </w:r>
    </w:p>
    <w:p w:rsidR="00ED2FD6" w:rsidRPr="003137E3" w:rsidRDefault="00C0593B">
      <w:pPr>
        <w:pStyle w:val="Heading1"/>
        <w:rPr>
          <w:sz w:val="20"/>
          <w:szCs w:val="20"/>
        </w:rPr>
      </w:pPr>
      <w:r w:rsidRPr="003137E3">
        <w:rPr>
          <w:sz w:val="20"/>
          <w:szCs w:val="20"/>
        </w:rPr>
        <w:t xml:space="preserve">Class Teacher Job Description </w:t>
      </w:r>
    </w:p>
    <w:p w:rsidR="00ED2FD6" w:rsidRPr="003137E3" w:rsidRDefault="00C0593B">
      <w:pPr>
        <w:spacing w:after="0" w:line="259" w:lineRule="auto"/>
        <w:ind w:left="64" w:firstLine="0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ind w:left="-5"/>
        <w:rPr>
          <w:sz w:val="20"/>
          <w:szCs w:val="20"/>
        </w:rPr>
      </w:pPr>
      <w:r w:rsidRPr="003137E3">
        <w:rPr>
          <w:sz w:val="20"/>
          <w:szCs w:val="20"/>
        </w:rPr>
        <w:t xml:space="preserve">Teachers at Spa Education Trust are required to: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Carry out duties set out in the current School Teachers Pay and Conditions Document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have responsibility for a class group including pastoral care 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>To be responsible for delivering a broad and balanced curriculum which meets the requirements of the National Curriculum (wherever possible) and to take into consideration other curriculu</w:t>
      </w:r>
      <w:r w:rsidRPr="003137E3">
        <w:rPr>
          <w:sz w:val="20"/>
          <w:szCs w:val="20"/>
        </w:rPr>
        <w:t xml:space="preserve">m approaches and specialist programmes so that the full needs of the pupils/students can be met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organise the classroom, its resources, pupil groupings and displays in order to provide a stimulating learning environment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>To attend and provide inform</w:t>
      </w:r>
      <w:r w:rsidRPr="003137E3">
        <w:rPr>
          <w:sz w:val="20"/>
          <w:szCs w:val="20"/>
        </w:rPr>
        <w:t xml:space="preserve">ation and reports for Reviews and other meetings when required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effectively use the planning, record keeping and assessment systems in operation in the school; to produce IEPs and reports to the required schedule 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direct and coordinate the work </w:t>
      </w:r>
      <w:r w:rsidRPr="003137E3">
        <w:rPr>
          <w:sz w:val="20"/>
          <w:szCs w:val="20"/>
        </w:rPr>
        <w:t xml:space="preserve">of Support Staff in their class team in accordance with school policies and procedures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contribute to Assemblies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liaise with other professions and support teachers to develop learning programmes for individual pupils and /or groups of pupils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promote good communication with parents via home/school diaries, telephone calls and meetings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>To keep up-to-date with developments in educational thinking and ASD and participate in Professional Development training provided by the school both intern</w:t>
      </w:r>
      <w:r w:rsidRPr="003137E3">
        <w:rPr>
          <w:sz w:val="20"/>
          <w:szCs w:val="20"/>
        </w:rPr>
        <w:t xml:space="preserve">ally and externally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support the headteacher in the implementation of all school policies and procedures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take an active part in whole-school development planning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take responsibility for an area of the curriculum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>To manage any budgets ac</w:t>
      </w:r>
      <w:r w:rsidRPr="003137E3">
        <w:rPr>
          <w:sz w:val="20"/>
          <w:szCs w:val="20"/>
        </w:rPr>
        <w:t xml:space="preserve">cording to school policy and practice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3137E3" w:rsidRDefault="00C0593B" w:rsidP="003137E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sz w:val="20"/>
          <w:szCs w:val="20"/>
        </w:rPr>
        <w:t xml:space="preserve">To co-operate with the school’s Performance Management Procedures </w:t>
      </w:r>
    </w:p>
    <w:p w:rsidR="003137E3" w:rsidRDefault="003137E3" w:rsidP="003137E3">
      <w:pPr>
        <w:pStyle w:val="ListParagraph"/>
        <w:rPr>
          <w:rFonts w:eastAsia="Times New Roman"/>
          <w:color w:val="242424"/>
          <w:sz w:val="20"/>
          <w:szCs w:val="20"/>
        </w:rPr>
      </w:pPr>
    </w:p>
    <w:p w:rsidR="003137E3" w:rsidRPr="003137E3" w:rsidRDefault="003137E3" w:rsidP="003137E3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'</w:t>
      </w:r>
      <w:r w:rsidRPr="003137E3">
        <w:rPr>
          <w:rFonts w:eastAsia="Times New Roman"/>
          <w:color w:val="242424"/>
          <w:sz w:val="20"/>
          <w:szCs w:val="20"/>
          <w:bdr w:val="none" w:sz="0" w:space="0" w:color="auto" w:frame="1"/>
        </w:rPr>
        <w:t xml:space="preserve">Safeguarding children and young people </w:t>
      </w:r>
      <w:proofErr w:type="gramStart"/>
      <w:r w:rsidRPr="003137E3">
        <w:rPr>
          <w:rFonts w:eastAsia="Times New Roman"/>
          <w:color w:val="242424"/>
          <w:sz w:val="20"/>
          <w:szCs w:val="20"/>
          <w:bdr w:val="none" w:sz="0" w:space="0" w:color="auto" w:frame="1"/>
        </w:rPr>
        <w:t>is</w:t>
      </w:r>
      <w:proofErr w:type="gramEnd"/>
      <w:r w:rsidRPr="003137E3">
        <w:rPr>
          <w:rFonts w:eastAsia="Times New Roman"/>
          <w:color w:val="242424"/>
          <w:sz w:val="20"/>
          <w:szCs w:val="20"/>
          <w:bdr w:val="none" w:sz="0" w:space="0" w:color="auto" w:frame="1"/>
        </w:rPr>
        <w:t xml:space="preserve"> a key responsibility of this role. The post holder will:</w:t>
      </w:r>
      <w:r w:rsidRPr="003137E3">
        <w:rPr>
          <w:rFonts w:eastAsia="Times New Roman"/>
          <w:color w:val="242424"/>
          <w:sz w:val="20"/>
          <w:szCs w:val="20"/>
          <w:bdr w:val="none" w:sz="0" w:space="0" w:color="auto" w:frame="1"/>
        </w:rPr>
        <w:br/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Demonstrate a commitment to safeguarding and promoting the welfare of children and young people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Be familiar with and adhere to the organisation’s safeguarding and child protection policies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Promote a safe environment for children and young people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Report any safeguarding concerns in line with organisational procedures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Undertake safeguarding training as required and keep knowledge up to date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lastRenderedPageBreak/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right="1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Spa Education Trust  </w:t>
      </w:r>
    </w:p>
    <w:p w:rsidR="00ED2FD6" w:rsidRPr="003137E3" w:rsidRDefault="00C0593B">
      <w:pPr>
        <w:spacing w:after="0" w:line="259" w:lineRule="auto"/>
        <w:ind w:left="64" w:firstLine="0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 </w:t>
      </w:r>
    </w:p>
    <w:p w:rsidR="00ED2FD6" w:rsidRPr="003137E3" w:rsidRDefault="00C0593B">
      <w:pPr>
        <w:pStyle w:val="Heading1"/>
        <w:ind w:right="2"/>
        <w:rPr>
          <w:sz w:val="20"/>
          <w:szCs w:val="20"/>
        </w:rPr>
      </w:pPr>
      <w:r w:rsidRPr="003137E3">
        <w:rPr>
          <w:sz w:val="20"/>
          <w:szCs w:val="20"/>
        </w:rPr>
        <w:t xml:space="preserve">Class Tutor Person Specification </w:t>
      </w:r>
    </w:p>
    <w:p w:rsidR="00ED2FD6" w:rsidRPr="003137E3" w:rsidRDefault="00C0593B">
      <w:pPr>
        <w:spacing w:after="0" w:line="259" w:lineRule="auto"/>
        <w:ind w:left="64" w:firstLine="0"/>
        <w:jc w:val="center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1" w:firstLine="0"/>
        <w:jc w:val="center"/>
        <w:rPr>
          <w:sz w:val="20"/>
          <w:szCs w:val="20"/>
        </w:rPr>
      </w:pPr>
      <w:r w:rsidRPr="003137E3">
        <w:rPr>
          <w:sz w:val="20"/>
          <w:szCs w:val="20"/>
        </w:rPr>
        <w:t xml:space="preserve">Candidates are required to hold Qualified Teacher Status.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2" w:line="238" w:lineRule="auto"/>
        <w:ind w:left="0" w:firstLine="0"/>
        <w:jc w:val="left"/>
        <w:rPr>
          <w:sz w:val="20"/>
          <w:szCs w:val="20"/>
        </w:rPr>
      </w:pPr>
      <w:r w:rsidRPr="003137E3">
        <w:rPr>
          <w:b/>
          <w:sz w:val="20"/>
          <w:szCs w:val="20"/>
        </w:rPr>
        <w:t xml:space="preserve">Candidates will be shortlisted according to the following criteria. Please write your supporting statement in line with them and number each section accordingly.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ind w:left="-5"/>
        <w:rPr>
          <w:sz w:val="20"/>
          <w:szCs w:val="20"/>
        </w:rPr>
      </w:pPr>
      <w:r w:rsidRPr="003137E3">
        <w:rPr>
          <w:sz w:val="20"/>
          <w:szCs w:val="20"/>
        </w:rPr>
        <w:t xml:space="preserve">Candidates should be able to demonstrate - 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>A clear understanding of the needs of pupils</w:t>
      </w:r>
      <w:r w:rsidRPr="003137E3">
        <w:rPr>
          <w:sz w:val="20"/>
          <w:szCs w:val="20"/>
        </w:rPr>
        <w:t xml:space="preserve"> with autism  </w:t>
      </w:r>
    </w:p>
    <w:p w:rsidR="00ED2FD6" w:rsidRPr="003137E3" w:rsidRDefault="00C0593B">
      <w:pPr>
        <w:spacing w:after="0" w:line="259" w:lineRule="auto"/>
        <w:ind w:left="72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Evidence of successful class teaching for pupils with SEN </w:t>
      </w:r>
    </w:p>
    <w:p w:rsidR="00ED2FD6" w:rsidRPr="003137E3" w:rsidRDefault="00C0593B">
      <w:pPr>
        <w:spacing w:after="0" w:line="259" w:lineRule="auto"/>
        <w:ind w:left="36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An ability to plan and implement good classroom practice and management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The ability to develop a specific curriculum area according to the needs of the school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Effective behaviour support skills   </w:t>
      </w:r>
    </w:p>
    <w:p w:rsidR="00ED2FD6" w:rsidRPr="003137E3" w:rsidRDefault="00C0593B">
      <w:pPr>
        <w:spacing w:after="0" w:line="259" w:lineRule="auto"/>
        <w:ind w:left="72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The ability to manage a class team and to direct support staff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>The ability to work as part of a multi-disciplinary team (i.e. with members of the Health or Social Services team and other educational professionals)</w:t>
      </w: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The ability to communicate clearly and effectively to students for whom communication is a major barrier to learning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The ability to communicate effectively in writing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A commitment to working in partnership with parents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An understanding of and </w:t>
      </w:r>
      <w:r w:rsidRPr="003137E3">
        <w:rPr>
          <w:sz w:val="20"/>
          <w:szCs w:val="20"/>
        </w:rPr>
        <w:t xml:space="preserve">a commitment to Equal Opportunities </w:t>
      </w:r>
    </w:p>
    <w:p w:rsidR="00ED2FD6" w:rsidRPr="003137E3" w:rsidRDefault="00C0593B">
      <w:pPr>
        <w:spacing w:after="0" w:line="259" w:lineRule="auto"/>
        <w:ind w:left="72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numPr>
          <w:ilvl w:val="0"/>
          <w:numId w:val="2"/>
        </w:numPr>
        <w:ind w:left="787" w:hanging="427"/>
        <w:rPr>
          <w:sz w:val="20"/>
          <w:szCs w:val="20"/>
        </w:rPr>
      </w:pPr>
      <w:r w:rsidRPr="003137E3">
        <w:rPr>
          <w:sz w:val="20"/>
          <w:szCs w:val="20"/>
        </w:rPr>
        <w:t xml:space="preserve">Evidence of good / outstanding teaching. 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ED2FD6" w:rsidRPr="003137E3" w:rsidRDefault="00C0593B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3137E3" w:rsidRDefault="00C0593B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  <w:bdr w:val="none" w:sz="0" w:space="0" w:color="auto" w:frame="1"/>
        </w:rPr>
      </w:pPr>
      <w:r w:rsidRPr="003137E3">
        <w:rPr>
          <w:sz w:val="20"/>
          <w:szCs w:val="20"/>
        </w:rPr>
        <w:t xml:space="preserve">Our recruitment processes follow the guidance in the Department for Children, Schools and Families Document Safeguarding Children and Safer Recruitment in Education. </w:t>
      </w:r>
      <w:r w:rsidR="003137E3" w:rsidRPr="003137E3">
        <w:rPr>
          <w:rFonts w:eastAsia="Times New Roman"/>
          <w:color w:val="242424"/>
          <w:sz w:val="20"/>
          <w:szCs w:val="20"/>
        </w:rPr>
        <w:t>The Trust </w:t>
      </w:r>
      <w:r w:rsidR="003137E3" w:rsidRPr="003137E3">
        <w:rPr>
          <w:rFonts w:eastAsia="Times New Roman"/>
          <w:color w:val="242424"/>
          <w:sz w:val="20"/>
          <w:szCs w:val="20"/>
          <w:bdr w:val="none" w:sz="0" w:space="0" w:color="auto" w:frame="1"/>
        </w:rPr>
        <w:t>is committed to safer recruitment practices and ensuring the suitability of all staff working with children and young people. This role is subject to safer recruitment checks including: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Enhanced Disclosure and Barring Service (DBS) check (with barred list where applicable)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Verification of identity, right to work in the UK, and qualifications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Receipt of satisfactory references  </w:t>
      </w:r>
    </w:p>
    <w:p w:rsidR="003137E3" w:rsidRPr="003137E3" w:rsidRDefault="003137E3" w:rsidP="003137E3">
      <w:pPr>
        <w:shd w:val="clear" w:color="auto" w:fill="FFFFFF"/>
        <w:spacing w:after="0" w:line="240" w:lineRule="auto"/>
        <w:ind w:left="0" w:firstLine="0"/>
        <w:jc w:val="left"/>
        <w:textAlignment w:val="baseline"/>
        <w:rPr>
          <w:rFonts w:eastAsia="Times New Roman"/>
          <w:color w:val="242424"/>
          <w:sz w:val="20"/>
          <w:szCs w:val="20"/>
        </w:rPr>
      </w:pPr>
      <w:r w:rsidRPr="003137E3">
        <w:rPr>
          <w:rFonts w:eastAsia="Times New Roman"/>
          <w:color w:val="242424"/>
          <w:sz w:val="20"/>
          <w:szCs w:val="20"/>
        </w:rPr>
        <w:t>• Medical fitness declaration where appropriate  </w:t>
      </w:r>
    </w:p>
    <w:p w:rsidR="003137E3" w:rsidRPr="003137E3" w:rsidRDefault="003137E3">
      <w:pPr>
        <w:ind w:left="-5"/>
        <w:rPr>
          <w:sz w:val="20"/>
          <w:szCs w:val="20"/>
        </w:rPr>
      </w:pPr>
    </w:p>
    <w:p w:rsidR="00C0593B" w:rsidRDefault="00C0593B">
      <w:pPr>
        <w:ind w:left="-5"/>
        <w:rPr>
          <w:sz w:val="20"/>
          <w:szCs w:val="20"/>
        </w:rPr>
      </w:pPr>
      <w:r w:rsidRPr="003137E3">
        <w:rPr>
          <w:sz w:val="20"/>
          <w:szCs w:val="20"/>
        </w:rPr>
        <w:t>Because of the nature of the work we undertake, candidates are not entitled to withhold information regarding conv</w:t>
      </w:r>
      <w:r w:rsidRPr="003137E3">
        <w:rPr>
          <w:sz w:val="20"/>
          <w:szCs w:val="20"/>
        </w:rPr>
        <w:t xml:space="preserve">ictions by virtue of the Rehabilitation of Offenders Act. 1974 (Exceptions) Order, 1975, as amended, pursuant to Section 4 (4) of the Rehabilitation of Offenders Act 1974. </w:t>
      </w:r>
    </w:p>
    <w:p w:rsidR="00ED2FD6" w:rsidRPr="00C0593B" w:rsidRDefault="00C0593B">
      <w:pPr>
        <w:ind w:left="-5"/>
        <w:rPr>
          <w:sz w:val="20"/>
          <w:szCs w:val="20"/>
        </w:rPr>
      </w:pPr>
      <w:r w:rsidRPr="003137E3">
        <w:rPr>
          <w:sz w:val="20"/>
          <w:szCs w:val="20"/>
        </w:rPr>
        <w:t xml:space="preserve"> </w:t>
      </w:r>
    </w:p>
    <w:p w:rsidR="00C0593B" w:rsidRPr="00C0593B" w:rsidRDefault="00C0593B" w:rsidP="00C0593B">
      <w:pPr>
        <w:spacing w:after="0" w:line="240" w:lineRule="auto"/>
        <w:ind w:left="0" w:firstLine="0"/>
        <w:jc w:val="left"/>
        <w:rPr>
          <w:rFonts w:eastAsia="Times New Roman"/>
          <w:color w:val="auto"/>
          <w:sz w:val="20"/>
          <w:szCs w:val="20"/>
        </w:rPr>
      </w:pPr>
      <w:r w:rsidRPr="00C0593B">
        <w:rPr>
          <w:rFonts w:eastAsia="Times New Roman"/>
          <w:color w:val="auto"/>
          <w:sz w:val="20"/>
          <w:szCs w:val="20"/>
        </w:rPr>
        <w:t>We are committed to equal opportunities and to safeguarding and promoting the welfare of children and expect all staff and volunteers to share this commitment.'</w:t>
      </w:r>
    </w:p>
    <w:p w:rsidR="00C0593B" w:rsidRPr="003137E3" w:rsidRDefault="00C0593B">
      <w:pPr>
        <w:ind w:left="-5"/>
        <w:rPr>
          <w:sz w:val="20"/>
          <w:szCs w:val="20"/>
        </w:rPr>
      </w:pPr>
    </w:p>
    <w:p w:rsidR="00ED2FD6" w:rsidRDefault="00C0593B">
      <w:pPr>
        <w:spacing w:after="0" w:line="259" w:lineRule="auto"/>
        <w:ind w:left="0" w:firstLine="0"/>
        <w:jc w:val="left"/>
      </w:pPr>
      <w:r>
        <w:t xml:space="preserve"> </w:t>
      </w:r>
    </w:p>
    <w:p w:rsidR="00ED2FD6" w:rsidRDefault="00C0593B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sectPr w:rsidR="00ED2FD6">
      <w:pgSz w:w="11906" w:h="16838"/>
      <w:pgMar w:top="860" w:right="1150" w:bottom="1083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C0960"/>
    <w:multiLevelType w:val="hybridMultilevel"/>
    <w:tmpl w:val="B268E6C8"/>
    <w:lvl w:ilvl="0" w:tplc="37423B5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8AC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0F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C23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A2E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99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29B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C48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85A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451305"/>
    <w:multiLevelType w:val="hybridMultilevel"/>
    <w:tmpl w:val="B324191A"/>
    <w:lvl w:ilvl="0" w:tplc="5E6CE01C">
      <w:start w:val="1"/>
      <w:numFmt w:val="decimal"/>
      <w:lvlText w:val="%1.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A03D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EA8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E26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8A2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077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6C4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2A58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F0E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D6"/>
    <w:rsid w:val="003137E3"/>
    <w:rsid w:val="00C0593B"/>
    <w:rsid w:val="00E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F525B"/>
  <w15:docId w15:val="{E02830DC-B62B-4BDD-99F7-77E95942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13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- Class Teacher CPS +2</vt:lpstr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Class Teacher CPS +2</dc:title>
  <dc:subject/>
  <dc:creator>James Wolger</dc:creator>
  <cp:keywords/>
  <cp:lastModifiedBy>Nusrat Raja</cp:lastModifiedBy>
  <cp:revision>3</cp:revision>
  <dcterms:created xsi:type="dcterms:W3CDTF">2026-07-07T15:07:00Z</dcterms:created>
  <dcterms:modified xsi:type="dcterms:W3CDTF">2026-07-07T15:08:00Z</dcterms:modified>
</cp:coreProperties>
</file>