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07D9F48E" w:rsidR="00E66558" w:rsidRPr="002C68FF" w:rsidRDefault="009D71E8">
      <w:pPr>
        <w:pStyle w:val="Heading1"/>
        <w:rPr>
          <w:rFonts w:cs="Arial"/>
        </w:rPr>
      </w:pPr>
      <w:bookmarkStart w:id="0" w:name="_Toc400361362"/>
      <w:bookmarkStart w:id="1" w:name="_Toc443397153"/>
      <w:bookmarkStart w:id="2" w:name="_Toc357771638"/>
      <w:bookmarkStart w:id="3" w:name="_Toc346793416"/>
      <w:bookmarkStart w:id="4" w:name="_Toc328122777"/>
      <w:bookmarkStart w:id="5" w:name="_GoBack"/>
      <w:bookmarkEnd w:id="5"/>
      <w:r w:rsidRPr="002C68FF">
        <w:rPr>
          <w:rFonts w:cs="Arial"/>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rsidRPr="002C68FF">
        <w:rPr>
          <w:rFonts w:cs="Arial"/>
        </w:rPr>
        <w:t xml:space="preserve"> </w:t>
      </w:r>
      <w:r w:rsidR="00847655" w:rsidRPr="002C68FF">
        <w:rPr>
          <w:rFonts w:cs="Arial"/>
        </w:rPr>
        <w:t xml:space="preserve">SS John and Monica Catholic Primary School </w:t>
      </w:r>
    </w:p>
    <w:p w14:paraId="57AD2424" w14:textId="77777777" w:rsidR="004B1F58" w:rsidRPr="002C68FF" w:rsidRDefault="004B1F58" w:rsidP="004B1F58">
      <w:pPr>
        <w:spacing w:after="0"/>
        <w:rPr>
          <w:rFonts w:cs="Arial"/>
        </w:rPr>
      </w:pPr>
    </w:p>
    <w:p w14:paraId="16B48015" w14:textId="3F025614" w:rsidR="00E66558" w:rsidRPr="002C68FF" w:rsidRDefault="009D71E8" w:rsidP="00C62989">
      <w:pPr>
        <w:rPr>
          <w:rFonts w:cs="Arial"/>
          <w:b/>
        </w:rPr>
      </w:pPr>
      <w:r w:rsidRPr="002C68FF">
        <w:rPr>
          <w:rFonts w:cs="Arial"/>
        </w:rPr>
        <w:t xml:space="preserve">This statement details our school’s use of pupil premium funding to help improve the attainment of our disadvantaged pupils. </w:t>
      </w:r>
    </w:p>
    <w:p w14:paraId="2A7D54B3" w14:textId="730F2E71" w:rsidR="00E66558" w:rsidRPr="002C68FF" w:rsidRDefault="009D71E8" w:rsidP="00C62989">
      <w:pPr>
        <w:rPr>
          <w:rFonts w:cs="Arial"/>
          <w:b/>
        </w:rPr>
      </w:pPr>
      <w:r w:rsidRPr="002C68FF">
        <w:rPr>
          <w:rFonts w:cs="Arial"/>
        </w:rPr>
        <w:t xml:space="preserve">It outlines our pupil premium strategy, how we intend to spend the funding in this academic year and the </w:t>
      </w:r>
      <w:r w:rsidR="00830D57" w:rsidRPr="002C68FF">
        <w:rPr>
          <w:rFonts w:cs="Arial"/>
        </w:rPr>
        <w:t xml:space="preserve">outcomes </w:t>
      </w:r>
      <w:r w:rsidR="00A44FBB" w:rsidRPr="002C68FF">
        <w:rPr>
          <w:rFonts w:cs="Arial"/>
        </w:rPr>
        <w:t>for disadvantaged pupils</w:t>
      </w:r>
      <w:r w:rsidRPr="002C68FF">
        <w:rPr>
          <w:rFonts w:cs="Arial"/>
        </w:rPr>
        <w:t xml:space="preserve"> last </w:t>
      </w:r>
      <w:r w:rsidR="00A44FBB" w:rsidRPr="002C68FF">
        <w:rPr>
          <w:rFonts w:cs="Arial"/>
        </w:rPr>
        <w:t xml:space="preserve">academic </w:t>
      </w:r>
      <w:r w:rsidRPr="002C68FF">
        <w:rPr>
          <w:rFonts w:cs="Arial"/>
        </w:rPr>
        <w:t>year</w:t>
      </w:r>
      <w:r w:rsidR="00A44FBB" w:rsidRPr="002C68FF">
        <w:rPr>
          <w:rFonts w:cs="Arial"/>
        </w:rPr>
        <w:t>.</w:t>
      </w:r>
    </w:p>
    <w:p w14:paraId="2A7D54B4" w14:textId="2CAB096C" w:rsidR="00E66558" w:rsidRPr="002C68FF" w:rsidRDefault="009D71E8">
      <w:pPr>
        <w:pStyle w:val="Heading2"/>
        <w:rPr>
          <w:rFonts w:cs="Arial"/>
        </w:rPr>
      </w:pPr>
      <w:r w:rsidRPr="002C68FF">
        <w:rPr>
          <w:rFonts w:cs="Arial"/>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RPr="002C68FF"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2C68FF" w:rsidRDefault="009D71E8" w:rsidP="00C31636">
            <w:pPr>
              <w:pStyle w:val="TableHeader"/>
              <w:ind w:left="0" w:right="0"/>
              <w:jc w:val="left"/>
              <w:rPr>
                <w:rFonts w:cs="Arial"/>
              </w:rPr>
            </w:pPr>
            <w:r w:rsidRPr="002C68FF">
              <w:rPr>
                <w:rFonts w:cs="Arial"/>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2C68FF" w:rsidRDefault="009D71E8" w:rsidP="00C31636">
            <w:pPr>
              <w:pStyle w:val="TableHeader"/>
              <w:ind w:left="0" w:right="0"/>
              <w:jc w:val="left"/>
              <w:rPr>
                <w:rFonts w:cs="Arial"/>
              </w:rPr>
            </w:pPr>
            <w:r w:rsidRPr="002C68FF">
              <w:rPr>
                <w:rFonts w:cs="Arial"/>
              </w:rPr>
              <w:t>Data</w:t>
            </w:r>
          </w:p>
        </w:tc>
      </w:tr>
      <w:tr w:rsidR="002940F3" w:rsidRPr="002C68FF"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2C68FF" w:rsidRDefault="002940F3" w:rsidP="00C31636">
            <w:pPr>
              <w:pStyle w:val="TableRow"/>
              <w:ind w:left="0" w:right="0"/>
              <w:rPr>
                <w:rFonts w:cs="Arial"/>
              </w:rPr>
            </w:pPr>
            <w:r w:rsidRPr="002C68FF">
              <w:rPr>
                <w:rFonts w:cs="Arial"/>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642F4AA" w:rsidR="002940F3" w:rsidRPr="002C68FF" w:rsidRDefault="00847655" w:rsidP="003862BA">
            <w:pPr>
              <w:pStyle w:val="TableRow"/>
              <w:ind w:left="0" w:right="0"/>
              <w:rPr>
                <w:rFonts w:cs="Arial"/>
              </w:rPr>
            </w:pPr>
            <w:r w:rsidRPr="002C68FF">
              <w:rPr>
                <w:rFonts w:cs="Arial"/>
              </w:rPr>
              <w:t>20</w:t>
            </w:r>
            <w:r w:rsidR="003862BA">
              <w:rPr>
                <w:rFonts w:cs="Arial"/>
              </w:rPr>
              <w:t>2</w:t>
            </w:r>
            <w:r w:rsidRPr="002C68FF">
              <w:rPr>
                <w:rFonts w:cs="Arial"/>
              </w:rPr>
              <w:t xml:space="preserve"> (at the time of budget setting</w:t>
            </w:r>
            <w:r w:rsidR="003862BA">
              <w:rPr>
                <w:rFonts w:cs="Arial"/>
              </w:rPr>
              <w:t>/census</w:t>
            </w:r>
            <w:r w:rsidRPr="002C68FF">
              <w:rPr>
                <w:rFonts w:cs="Arial"/>
              </w:rPr>
              <w:t xml:space="preserve">) </w:t>
            </w:r>
          </w:p>
        </w:tc>
      </w:tr>
      <w:tr w:rsidR="002940F3" w:rsidRPr="002C68FF"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2C68FF" w:rsidRDefault="002940F3" w:rsidP="00C31636">
            <w:pPr>
              <w:pStyle w:val="TableRow"/>
              <w:ind w:left="0" w:right="0"/>
              <w:rPr>
                <w:rFonts w:cs="Arial"/>
              </w:rPr>
            </w:pPr>
            <w:r w:rsidRPr="002C68FF">
              <w:rPr>
                <w:rFonts w:cs="Arial"/>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9781400" w:rsidR="002940F3" w:rsidRPr="002C68FF" w:rsidRDefault="002C68FF" w:rsidP="00847655">
            <w:pPr>
              <w:pStyle w:val="TableRow"/>
              <w:ind w:left="0" w:right="0"/>
              <w:rPr>
                <w:rFonts w:cs="Arial"/>
              </w:rPr>
            </w:pPr>
            <w:r>
              <w:rPr>
                <w:rFonts w:cs="Arial"/>
              </w:rPr>
              <w:t>Approximately</w:t>
            </w:r>
            <w:r w:rsidR="00847655" w:rsidRPr="002C68FF">
              <w:rPr>
                <w:rFonts w:cs="Arial"/>
              </w:rPr>
              <w:t xml:space="preserve"> </w:t>
            </w:r>
            <w:r>
              <w:rPr>
                <w:rFonts w:cs="Arial"/>
              </w:rPr>
              <w:t>29% (reviewed annually)</w:t>
            </w:r>
          </w:p>
        </w:tc>
      </w:tr>
      <w:tr w:rsidR="002940F3" w:rsidRPr="002C68FF"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Pr="002C68FF" w:rsidRDefault="002940F3" w:rsidP="00C31636">
            <w:pPr>
              <w:pStyle w:val="TableRow"/>
              <w:ind w:left="0" w:right="0"/>
              <w:rPr>
                <w:rFonts w:cs="Arial"/>
              </w:rPr>
            </w:pPr>
            <w:r w:rsidRPr="002C68FF">
              <w:rPr>
                <w:rFonts w:cs="Arial"/>
              </w:rPr>
              <w:t xml:space="preserve">Academic year/years that our current pupil premium strategy plan covers </w:t>
            </w:r>
            <w:r w:rsidRPr="002C68FF">
              <w:rPr>
                <w:rFonts w:cs="Arial"/>
                <w:b/>
              </w:rPr>
              <w:t>(</w:t>
            </w:r>
            <w:r w:rsidR="004E57C3" w:rsidRPr="002C68FF">
              <w:rPr>
                <w:rFonts w:cs="Arial"/>
                <w:b/>
              </w:rPr>
              <w:t>3-year</w:t>
            </w:r>
            <w:r w:rsidRPr="002C68FF">
              <w:rPr>
                <w:rFonts w:cs="Arial"/>
                <w:b/>
              </w:rPr>
              <w:t xml:space="preserve"> plans are recommended</w:t>
            </w:r>
            <w:r w:rsidR="00D5360D" w:rsidRPr="002C68FF">
              <w:rPr>
                <w:rFonts w:cs="Arial"/>
                <w:b/>
              </w:rPr>
              <w:t xml:space="preserve"> </w:t>
            </w:r>
            <w:r w:rsidR="00560424" w:rsidRPr="002C68FF">
              <w:rPr>
                <w:rFonts w:cs="Arial"/>
                <w:b/>
              </w:rPr>
              <w:t>– you must still publish an updated statement each academic year</w:t>
            </w:r>
            <w:r w:rsidRPr="002C68FF">
              <w:rPr>
                <w:rFonts w:cs="Arial"/>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6752718" w:rsidR="002940F3" w:rsidRPr="002C68FF" w:rsidRDefault="00847655" w:rsidP="00C31636">
            <w:pPr>
              <w:pStyle w:val="TableRow"/>
              <w:ind w:left="0" w:right="0"/>
              <w:rPr>
                <w:rFonts w:cs="Arial"/>
              </w:rPr>
            </w:pPr>
            <w:r w:rsidRPr="002C68FF">
              <w:rPr>
                <w:rFonts w:cs="Arial"/>
              </w:rPr>
              <w:t>2025-2028</w:t>
            </w:r>
          </w:p>
        </w:tc>
      </w:tr>
      <w:tr w:rsidR="002940F3" w:rsidRPr="002C68FF"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2C68FF" w:rsidRDefault="002940F3" w:rsidP="00C31636">
            <w:pPr>
              <w:pStyle w:val="TableRow"/>
              <w:ind w:left="0" w:right="0"/>
              <w:rPr>
                <w:rFonts w:cs="Arial"/>
              </w:rPr>
            </w:pPr>
            <w:r w:rsidRPr="002C68FF">
              <w:rPr>
                <w:rFonts w:cs="Arial"/>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C3CAB08" w:rsidR="002940F3" w:rsidRPr="002C68FF" w:rsidRDefault="00847655" w:rsidP="00C31636">
            <w:pPr>
              <w:pStyle w:val="TableRow"/>
              <w:ind w:left="0" w:right="0"/>
              <w:rPr>
                <w:rFonts w:cs="Arial"/>
              </w:rPr>
            </w:pPr>
            <w:r w:rsidRPr="002C68FF">
              <w:rPr>
                <w:rFonts w:cs="Arial"/>
              </w:rPr>
              <w:t>19.12.25</w:t>
            </w:r>
          </w:p>
        </w:tc>
      </w:tr>
      <w:tr w:rsidR="002940F3" w:rsidRPr="002C68FF"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2C68FF" w:rsidRDefault="002940F3" w:rsidP="00C31636">
            <w:pPr>
              <w:pStyle w:val="TableRow"/>
              <w:ind w:left="0" w:right="0"/>
              <w:rPr>
                <w:rFonts w:cs="Arial"/>
              </w:rPr>
            </w:pPr>
            <w:r w:rsidRPr="002C68FF">
              <w:rPr>
                <w:rFonts w:cs="Arial"/>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EC26CA8" w:rsidR="002940F3" w:rsidRPr="002C68FF" w:rsidRDefault="00847655" w:rsidP="00C31636">
            <w:pPr>
              <w:pStyle w:val="TableRow"/>
              <w:ind w:left="0" w:right="0"/>
              <w:rPr>
                <w:rFonts w:cs="Arial"/>
              </w:rPr>
            </w:pPr>
            <w:r w:rsidRPr="002C68FF">
              <w:rPr>
                <w:rFonts w:cs="Arial"/>
              </w:rPr>
              <w:t>1.12.26</w:t>
            </w:r>
          </w:p>
        </w:tc>
      </w:tr>
      <w:tr w:rsidR="002940F3" w:rsidRPr="002C68FF"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2C68FF" w:rsidRDefault="002940F3" w:rsidP="00C31636">
            <w:pPr>
              <w:pStyle w:val="TableRow"/>
              <w:ind w:left="0" w:right="0"/>
              <w:rPr>
                <w:rFonts w:cs="Arial"/>
              </w:rPr>
            </w:pPr>
            <w:r w:rsidRPr="002C68FF">
              <w:rPr>
                <w:rFonts w:cs="Arial"/>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2CD0188" w:rsidR="002940F3" w:rsidRPr="002C68FF" w:rsidRDefault="00847655" w:rsidP="00C31636">
            <w:pPr>
              <w:pStyle w:val="TableRow"/>
              <w:ind w:left="0" w:right="0"/>
              <w:rPr>
                <w:rFonts w:cs="Arial"/>
              </w:rPr>
            </w:pPr>
            <w:r w:rsidRPr="002C68FF">
              <w:rPr>
                <w:rFonts w:cs="Arial"/>
              </w:rPr>
              <w:t>Mrs M Elliott</w:t>
            </w:r>
          </w:p>
        </w:tc>
      </w:tr>
      <w:tr w:rsidR="002940F3" w:rsidRPr="002C68FF"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2C68FF" w:rsidRDefault="002940F3" w:rsidP="00C31636">
            <w:pPr>
              <w:pStyle w:val="TableRow"/>
              <w:ind w:left="0" w:right="0"/>
              <w:rPr>
                <w:rFonts w:cs="Arial"/>
              </w:rPr>
            </w:pPr>
            <w:r w:rsidRPr="002C68FF">
              <w:rPr>
                <w:rFonts w:cs="Arial"/>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76EC7EE" w:rsidR="002940F3" w:rsidRPr="002C68FF" w:rsidRDefault="00847655" w:rsidP="00C31636">
            <w:pPr>
              <w:pStyle w:val="TableRow"/>
              <w:ind w:left="0" w:right="0"/>
              <w:rPr>
                <w:rFonts w:cs="Arial"/>
              </w:rPr>
            </w:pPr>
            <w:r w:rsidRPr="002C68FF">
              <w:rPr>
                <w:rFonts w:cs="Arial"/>
              </w:rPr>
              <w:t>Mr A Ullah</w:t>
            </w:r>
          </w:p>
        </w:tc>
      </w:tr>
      <w:tr w:rsidR="002940F3" w:rsidRPr="002C68FF"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65CE1207" w:rsidR="002940F3" w:rsidRPr="002C68FF" w:rsidRDefault="002940F3" w:rsidP="00847655">
            <w:pPr>
              <w:pStyle w:val="TableRow"/>
              <w:ind w:left="0" w:right="0"/>
              <w:rPr>
                <w:rFonts w:cs="Arial"/>
              </w:rPr>
            </w:pPr>
            <w:r w:rsidRPr="002C68FF">
              <w:rPr>
                <w:rFonts w:cs="Arial"/>
              </w:rPr>
              <w:t>Governor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3DF9702" w:rsidR="002940F3" w:rsidRPr="002C68FF" w:rsidRDefault="00847655" w:rsidP="00C31636">
            <w:pPr>
              <w:pStyle w:val="TableRow"/>
              <w:ind w:left="0" w:right="0"/>
              <w:rPr>
                <w:rFonts w:cs="Arial"/>
              </w:rPr>
            </w:pPr>
            <w:r w:rsidRPr="002C68FF">
              <w:rPr>
                <w:rFonts w:cs="Arial"/>
              </w:rPr>
              <w:t xml:space="preserve">Mr M Murphy </w:t>
            </w:r>
          </w:p>
        </w:tc>
      </w:tr>
    </w:tbl>
    <w:bookmarkEnd w:id="2"/>
    <w:bookmarkEnd w:id="3"/>
    <w:bookmarkEnd w:id="4"/>
    <w:p w14:paraId="2A7D54D3" w14:textId="77777777" w:rsidR="00E66558" w:rsidRPr="002C68FF" w:rsidRDefault="009D71E8" w:rsidP="005464A1">
      <w:pPr>
        <w:pStyle w:val="Heading2"/>
        <w:rPr>
          <w:rFonts w:cs="Arial"/>
        </w:rPr>
      </w:pPr>
      <w:r w:rsidRPr="002C68FF">
        <w:rPr>
          <w:rFonts w:cs="Arial"/>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C68FF"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2C68FF" w:rsidRDefault="009D71E8" w:rsidP="00C31636">
            <w:pPr>
              <w:pStyle w:val="TableRow"/>
              <w:ind w:left="0" w:right="0"/>
              <w:rPr>
                <w:rFonts w:cs="Arial"/>
              </w:rPr>
            </w:pPr>
            <w:r w:rsidRPr="002C68FF">
              <w:rPr>
                <w:rFonts w:cs="Arial"/>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2C68FF" w:rsidRDefault="009D71E8" w:rsidP="00C31636">
            <w:pPr>
              <w:pStyle w:val="TableRow"/>
              <w:ind w:left="0" w:right="0"/>
              <w:rPr>
                <w:rFonts w:cs="Arial"/>
              </w:rPr>
            </w:pPr>
            <w:r w:rsidRPr="002C68FF">
              <w:rPr>
                <w:rFonts w:cs="Arial"/>
                <w:b/>
              </w:rPr>
              <w:t>Amount</w:t>
            </w:r>
          </w:p>
        </w:tc>
      </w:tr>
      <w:tr w:rsidR="00E66558" w:rsidRPr="002C68FF"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2C68FF" w:rsidRDefault="009D71E8" w:rsidP="00C31636">
            <w:pPr>
              <w:pStyle w:val="TableRow"/>
              <w:ind w:left="0" w:right="0"/>
              <w:rPr>
                <w:rFonts w:cs="Arial"/>
              </w:rPr>
            </w:pPr>
            <w:r w:rsidRPr="002C68FF">
              <w:rPr>
                <w:rFonts w:cs="Arial"/>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B9DB2E9" w:rsidR="00E66558" w:rsidRPr="002C68FF" w:rsidRDefault="009D71E8" w:rsidP="00C31636">
            <w:pPr>
              <w:pStyle w:val="TableRow"/>
              <w:ind w:left="0" w:right="0"/>
              <w:rPr>
                <w:rFonts w:cs="Arial"/>
              </w:rPr>
            </w:pPr>
            <w:r w:rsidRPr="002C68FF">
              <w:rPr>
                <w:rFonts w:cs="Arial"/>
              </w:rPr>
              <w:t>£</w:t>
            </w:r>
            <w:r w:rsidR="00847655" w:rsidRPr="002C68FF">
              <w:rPr>
                <w:rFonts w:cs="Arial"/>
              </w:rPr>
              <w:t>90,900</w:t>
            </w:r>
          </w:p>
        </w:tc>
      </w:tr>
      <w:tr w:rsidR="00E66558" w:rsidRPr="002C68FF"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2C68FF" w:rsidRDefault="009D71E8" w:rsidP="00C31636">
            <w:pPr>
              <w:pStyle w:val="TableRow"/>
              <w:spacing w:after="120"/>
              <w:ind w:left="0" w:right="0"/>
              <w:rPr>
                <w:rFonts w:cs="Arial"/>
              </w:rPr>
            </w:pPr>
            <w:r w:rsidRPr="002C68FF">
              <w:rPr>
                <w:rFonts w:cs="Arial"/>
              </w:rPr>
              <w:t>Pupil premium</w:t>
            </w:r>
            <w:r w:rsidR="005F16B6" w:rsidRPr="002C68FF">
              <w:rPr>
                <w:rFonts w:cs="Arial"/>
              </w:rPr>
              <w:t xml:space="preserve"> </w:t>
            </w:r>
            <w:r w:rsidRPr="002C68FF">
              <w:rPr>
                <w:rFonts w:cs="Arial"/>
              </w:rPr>
              <w:t xml:space="preserve">funding carried forward from previous years </w:t>
            </w:r>
            <w:r w:rsidRPr="002C68FF">
              <w:rPr>
                <w:rFonts w:cs="Arial"/>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7777777" w:rsidR="00E66558" w:rsidRPr="002C68FF" w:rsidRDefault="009D71E8" w:rsidP="00C31636">
            <w:pPr>
              <w:pStyle w:val="TableRow"/>
              <w:ind w:left="0" w:right="0"/>
              <w:rPr>
                <w:rFonts w:cs="Arial"/>
              </w:rPr>
            </w:pPr>
            <w:r w:rsidRPr="002C68FF">
              <w:rPr>
                <w:rFonts w:cs="Arial"/>
              </w:rPr>
              <w:t>£</w:t>
            </w:r>
          </w:p>
        </w:tc>
      </w:tr>
      <w:tr w:rsidR="00E66558" w:rsidRPr="002C68FF"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2C68FF" w:rsidRDefault="009D71E8" w:rsidP="00C31636">
            <w:pPr>
              <w:pStyle w:val="TableRow"/>
              <w:spacing w:after="120"/>
              <w:ind w:left="0" w:right="0"/>
              <w:rPr>
                <w:rFonts w:cs="Arial"/>
                <w:b/>
              </w:rPr>
            </w:pPr>
            <w:r w:rsidRPr="002C68FF">
              <w:rPr>
                <w:rFonts w:cs="Arial"/>
                <w:b/>
              </w:rPr>
              <w:t>Total budget for this academic year</w:t>
            </w:r>
          </w:p>
          <w:p w14:paraId="2A7D54E1" w14:textId="77777777" w:rsidR="00E66558" w:rsidRPr="002C68FF" w:rsidRDefault="009D71E8" w:rsidP="00C31636">
            <w:pPr>
              <w:pStyle w:val="TableRow"/>
              <w:ind w:left="0" w:right="0"/>
              <w:rPr>
                <w:rFonts w:cs="Arial"/>
                <w:i/>
                <w:iCs/>
              </w:rPr>
            </w:pPr>
            <w:r w:rsidRPr="002C68FF">
              <w:rPr>
                <w:rFonts w:cs="Arial"/>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1D927B1" w:rsidR="00E66558" w:rsidRPr="002C68FF" w:rsidRDefault="009D71E8" w:rsidP="00C31636">
            <w:pPr>
              <w:pStyle w:val="TableRow"/>
              <w:ind w:left="0" w:right="0"/>
              <w:rPr>
                <w:rFonts w:cs="Arial"/>
              </w:rPr>
            </w:pPr>
            <w:r w:rsidRPr="002C68FF">
              <w:rPr>
                <w:rFonts w:cs="Arial"/>
              </w:rPr>
              <w:t>£</w:t>
            </w:r>
            <w:r w:rsidR="00847655" w:rsidRPr="002C68FF">
              <w:rPr>
                <w:rFonts w:cs="Arial"/>
              </w:rPr>
              <w:t>90,900</w:t>
            </w:r>
          </w:p>
        </w:tc>
      </w:tr>
    </w:tbl>
    <w:p w14:paraId="2A7D54E4" w14:textId="77777777" w:rsidR="00E66558" w:rsidRPr="002C68FF" w:rsidRDefault="009D71E8">
      <w:pPr>
        <w:pStyle w:val="Heading1"/>
        <w:rPr>
          <w:rFonts w:cs="Arial"/>
        </w:rPr>
      </w:pPr>
      <w:r w:rsidRPr="002C68FF">
        <w:rPr>
          <w:rFonts w:cs="Arial"/>
        </w:rPr>
        <w:lastRenderedPageBreak/>
        <w:t>Part A: Pupil premium strategy plan</w:t>
      </w:r>
    </w:p>
    <w:p w14:paraId="2A7D54E5" w14:textId="77777777" w:rsidR="00E66558" w:rsidRPr="002C68FF" w:rsidRDefault="009D71E8">
      <w:pPr>
        <w:pStyle w:val="Heading2"/>
        <w:rPr>
          <w:rFonts w:cs="Arial"/>
        </w:rPr>
      </w:pPr>
      <w:bookmarkStart w:id="15" w:name="_Toc357771640"/>
      <w:bookmarkStart w:id="16" w:name="_Toc346793418"/>
      <w:r w:rsidRPr="002C68FF">
        <w:rPr>
          <w:rFonts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2C68FF"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A4DE" w14:textId="77777777" w:rsidR="00847655" w:rsidRPr="002C68FF" w:rsidRDefault="00847655" w:rsidP="00847655">
            <w:pPr>
              <w:pStyle w:val="NormalWeb"/>
              <w:rPr>
                <w:rFonts w:ascii="Arial" w:hAnsi="Arial" w:cs="Arial"/>
              </w:rPr>
            </w:pPr>
            <w:r w:rsidRPr="002C68FF">
              <w:rPr>
                <w:rFonts w:ascii="Arial" w:hAnsi="Arial" w:cs="Arial"/>
              </w:rPr>
              <w:t>At S.S. John and Monica Catholic Primary School, we are committed to ensuring that all pupils, regardless of disadvantage, achieve highly and flourish academically, socially and emotionally. We hold ambitious expectations for every child and believe that high-quality teaching, supported by targeted academic intervention and effective wider strategies, has the greatest impact on outcomes for disadvantaged pupils.</w:t>
            </w:r>
          </w:p>
          <w:p w14:paraId="023CB424" w14:textId="77777777" w:rsidR="00847655" w:rsidRPr="002C68FF" w:rsidRDefault="00847655" w:rsidP="00847655">
            <w:pPr>
              <w:pStyle w:val="NormalWeb"/>
              <w:rPr>
                <w:rFonts w:ascii="Arial" w:hAnsi="Arial" w:cs="Arial"/>
              </w:rPr>
            </w:pPr>
            <w:r w:rsidRPr="002C68FF">
              <w:rPr>
                <w:rFonts w:ascii="Arial" w:hAnsi="Arial" w:cs="Arial"/>
              </w:rPr>
              <w:t>Our Pupil Premium Strategy for 2025–2028 is underpinned by evidence from the Education Endowment Foundation (EEF), statutory outcomes, IDSR analysis and internal school data. High-quality, inclusive teaching is at the heart of our approach, supported by carefully targeted interventions and wider provision that removes barriers to learning.</w:t>
            </w:r>
          </w:p>
          <w:p w14:paraId="6DD7743C" w14:textId="77777777" w:rsidR="00847655" w:rsidRPr="002C68FF" w:rsidRDefault="00847655" w:rsidP="00847655">
            <w:pPr>
              <w:pStyle w:val="NormalWeb"/>
              <w:rPr>
                <w:rFonts w:ascii="Arial" w:hAnsi="Arial" w:cs="Arial"/>
              </w:rPr>
            </w:pPr>
            <w:r w:rsidRPr="002C68FF">
              <w:rPr>
                <w:rFonts w:ascii="Arial" w:hAnsi="Arial" w:cs="Arial"/>
              </w:rPr>
              <w:t>We recognise that disadvantage is not static. Pupil numbers, levels of need and family circumstances can change year on year. For this reason, funding allocations within this strategy are reviewed annually to ensure that support remains proportionate, responsive and impactful.</w:t>
            </w:r>
          </w:p>
          <w:p w14:paraId="7D93139D" w14:textId="77777777" w:rsidR="00847655" w:rsidRPr="002C68FF" w:rsidRDefault="00847655" w:rsidP="00847655">
            <w:pPr>
              <w:pStyle w:val="NormalWeb"/>
              <w:rPr>
                <w:rFonts w:ascii="Arial" w:hAnsi="Arial" w:cs="Arial"/>
              </w:rPr>
            </w:pPr>
            <w:r w:rsidRPr="002C68FF">
              <w:rPr>
                <w:rFonts w:ascii="Arial" w:hAnsi="Arial" w:cs="Arial"/>
              </w:rPr>
              <w:t>Our strategy aims to:</w:t>
            </w:r>
          </w:p>
          <w:p w14:paraId="0E645B82" w14:textId="77777777" w:rsidR="00847655" w:rsidRPr="002C68FF" w:rsidRDefault="00847655" w:rsidP="00847655">
            <w:pPr>
              <w:pStyle w:val="NormalWeb"/>
              <w:numPr>
                <w:ilvl w:val="0"/>
                <w:numId w:val="17"/>
              </w:numPr>
              <w:rPr>
                <w:rFonts w:ascii="Arial" w:hAnsi="Arial" w:cs="Arial"/>
              </w:rPr>
            </w:pPr>
            <w:r w:rsidRPr="002C68FF">
              <w:rPr>
                <w:rFonts w:ascii="Arial" w:hAnsi="Arial" w:cs="Arial"/>
              </w:rPr>
              <w:t>Narrow attainment gaps between disadvantaged pupils and their peers</w:t>
            </w:r>
          </w:p>
          <w:p w14:paraId="3B174C3D" w14:textId="77777777" w:rsidR="00847655" w:rsidRPr="002C68FF" w:rsidRDefault="00847655" w:rsidP="00847655">
            <w:pPr>
              <w:pStyle w:val="NormalWeb"/>
              <w:numPr>
                <w:ilvl w:val="0"/>
                <w:numId w:val="17"/>
              </w:numPr>
              <w:rPr>
                <w:rFonts w:ascii="Arial" w:hAnsi="Arial" w:cs="Arial"/>
              </w:rPr>
            </w:pPr>
            <w:r w:rsidRPr="002C68FF">
              <w:rPr>
                <w:rFonts w:ascii="Arial" w:hAnsi="Arial" w:cs="Arial"/>
              </w:rPr>
              <w:t>Improve attendance and reduce persistent absence</w:t>
            </w:r>
          </w:p>
          <w:p w14:paraId="07D49AFA" w14:textId="77777777" w:rsidR="00847655" w:rsidRPr="002C68FF" w:rsidRDefault="00847655" w:rsidP="00847655">
            <w:pPr>
              <w:pStyle w:val="NormalWeb"/>
              <w:numPr>
                <w:ilvl w:val="0"/>
                <w:numId w:val="17"/>
              </w:numPr>
              <w:rPr>
                <w:rFonts w:ascii="Arial" w:hAnsi="Arial" w:cs="Arial"/>
              </w:rPr>
            </w:pPr>
            <w:r w:rsidRPr="002C68FF">
              <w:rPr>
                <w:rFonts w:ascii="Arial" w:hAnsi="Arial" w:cs="Arial"/>
              </w:rPr>
              <w:t>Strengthen early language, reading and core academic outcomes</w:t>
            </w:r>
          </w:p>
          <w:p w14:paraId="024A21FF" w14:textId="77777777" w:rsidR="00847655" w:rsidRPr="002C68FF" w:rsidRDefault="00847655" w:rsidP="00847655">
            <w:pPr>
              <w:pStyle w:val="NormalWeb"/>
              <w:numPr>
                <w:ilvl w:val="0"/>
                <w:numId w:val="17"/>
              </w:numPr>
              <w:rPr>
                <w:rFonts w:ascii="Arial" w:hAnsi="Arial" w:cs="Arial"/>
              </w:rPr>
            </w:pPr>
            <w:r w:rsidRPr="002C68FF">
              <w:rPr>
                <w:rFonts w:ascii="Arial" w:hAnsi="Arial" w:cs="Arial"/>
              </w:rPr>
              <w:t>Address wider barriers relating to wellbeing, family circumstances and access to enrichment</w:t>
            </w:r>
          </w:p>
          <w:p w14:paraId="2A7D54E9" w14:textId="64E83FEA" w:rsidR="00E66558" w:rsidRPr="002C68FF" w:rsidRDefault="00847655" w:rsidP="00847655">
            <w:pPr>
              <w:pStyle w:val="NormalWeb"/>
              <w:numPr>
                <w:ilvl w:val="0"/>
                <w:numId w:val="17"/>
              </w:numPr>
              <w:rPr>
                <w:rFonts w:ascii="Arial" w:hAnsi="Arial" w:cs="Arial"/>
              </w:rPr>
            </w:pPr>
            <w:r w:rsidRPr="002C68FF">
              <w:rPr>
                <w:rFonts w:ascii="Arial" w:hAnsi="Arial" w:cs="Arial"/>
              </w:rPr>
              <w:t>Ensure all pupils benefit from high-quality teaching and curriculum provision</w:t>
            </w:r>
          </w:p>
        </w:tc>
      </w:tr>
    </w:tbl>
    <w:p w14:paraId="2A7D54EB" w14:textId="77777777" w:rsidR="00E66558" w:rsidRPr="002C68FF" w:rsidRDefault="009D71E8">
      <w:pPr>
        <w:pStyle w:val="Heading2"/>
        <w:spacing w:before="600"/>
        <w:rPr>
          <w:rFonts w:cs="Arial"/>
        </w:rPr>
      </w:pPr>
      <w:r w:rsidRPr="002C68FF">
        <w:rPr>
          <w:rFonts w:cs="Arial"/>
        </w:rPr>
        <w:t>Challenges</w:t>
      </w:r>
    </w:p>
    <w:p w14:paraId="2A7D54EC" w14:textId="77777777" w:rsidR="00E66558" w:rsidRPr="002C68FF" w:rsidRDefault="009D71E8" w:rsidP="00AA355B">
      <w:pPr>
        <w:rPr>
          <w:rFonts w:cs="Arial"/>
        </w:rPr>
      </w:pPr>
      <w:r w:rsidRPr="002C68FF">
        <w:rPr>
          <w:rFonts w:cs="Arial"/>
          <w:bCs/>
        </w:rPr>
        <w:t>This details</w:t>
      </w:r>
      <w:r w:rsidRPr="002C68FF">
        <w:rPr>
          <w:rFonts w:cs="Arial"/>
        </w:rPr>
        <w:t xml:space="preserve"> the key</w:t>
      </w:r>
      <w:r w:rsidRPr="002C68FF">
        <w:rPr>
          <w:rFonts w:cs="Arial"/>
          <w:bCs/>
        </w:rPr>
        <w:t xml:space="preserve"> </w:t>
      </w:r>
      <w:r w:rsidRPr="002C68FF">
        <w:rPr>
          <w:rFonts w:cs="Arial"/>
        </w:rPr>
        <w:t xml:space="preserve">challenges to </w:t>
      </w:r>
      <w:r w:rsidRPr="002C68FF">
        <w:rPr>
          <w:rFonts w:cs="Arial"/>
          <w:bCs/>
        </w:rPr>
        <w:t>achievement that we have</w:t>
      </w:r>
      <w:r w:rsidRPr="002C68FF">
        <w:rPr>
          <w:rFonts w:cs="Arial"/>
        </w:rPr>
        <w:t xml:space="preserve"> identified among </w:t>
      </w:r>
      <w:r w:rsidRPr="002C68FF">
        <w:rPr>
          <w:rFonts w:cs="Arial"/>
          <w:bCs/>
        </w:rPr>
        <w:t>our</w:t>
      </w:r>
      <w:r w:rsidRPr="002C68FF">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2C68FF"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2C68FF" w:rsidRDefault="009D71E8" w:rsidP="00C31636">
            <w:pPr>
              <w:pStyle w:val="TableHeader"/>
              <w:ind w:left="0" w:right="0"/>
              <w:jc w:val="left"/>
              <w:rPr>
                <w:rFonts w:cs="Arial"/>
              </w:rPr>
            </w:pPr>
            <w:r w:rsidRPr="002C68FF">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2C68FF" w:rsidRDefault="009D71E8" w:rsidP="00C31636">
            <w:pPr>
              <w:pStyle w:val="TableHeader"/>
              <w:ind w:left="0" w:right="0"/>
              <w:jc w:val="left"/>
              <w:rPr>
                <w:rFonts w:cs="Arial"/>
              </w:rPr>
            </w:pPr>
            <w:r w:rsidRPr="002C68FF">
              <w:rPr>
                <w:rFonts w:cs="Arial"/>
              </w:rPr>
              <w:t xml:space="preserve">Detail of challenge </w:t>
            </w:r>
          </w:p>
        </w:tc>
      </w:tr>
      <w:tr w:rsidR="00847655" w:rsidRPr="002C68FF"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20280C39" w:rsidR="00847655" w:rsidRPr="002C68FF" w:rsidRDefault="00847655" w:rsidP="00847655">
            <w:pPr>
              <w:pStyle w:val="TableRow"/>
              <w:ind w:left="0" w:right="0"/>
              <w:rPr>
                <w:rFonts w:cs="Arial"/>
                <w:sz w:val="22"/>
                <w:szCs w:val="22"/>
              </w:rPr>
            </w:pPr>
            <w:r w:rsidRPr="002C68FF">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061A607" w:rsidR="00847655" w:rsidRPr="002C68FF" w:rsidRDefault="00847655" w:rsidP="00847655">
            <w:pPr>
              <w:pStyle w:val="TableRowCentered"/>
              <w:ind w:left="0" w:right="0"/>
              <w:jc w:val="left"/>
              <w:rPr>
                <w:rFonts w:cs="Arial"/>
              </w:rPr>
            </w:pPr>
            <w:r w:rsidRPr="002C68FF">
              <w:rPr>
                <w:rFonts w:cs="Arial"/>
              </w:rPr>
              <w:t>Attainment and progress gaps between disadvantaged pupils and their peers across reading, writing and mathematics</w:t>
            </w:r>
          </w:p>
        </w:tc>
      </w:tr>
      <w:tr w:rsidR="00847655" w:rsidRPr="002C68FF"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694C652" w:rsidR="00847655" w:rsidRPr="002C68FF" w:rsidRDefault="00847655" w:rsidP="00847655">
            <w:pPr>
              <w:pStyle w:val="TableRow"/>
              <w:ind w:left="0" w:right="0"/>
              <w:rPr>
                <w:rFonts w:cs="Arial"/>
                <w:sz w:val="22"/>
                <w:szCs w:val="22"/>
              </w:rPr>
            </w:pPr>
            <w:r w:rsidRPr="002C68FF">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D2B5BCB" w:rsidR="00847655" w:rsidRPr="002C68FF" w:rsidRDefault="00847655" w:rsidP="00847655">
            <w:pPr>
              <w:pStyle w:val="TableRowCentered"/>
              <w:ind w:left="0" w:right="0"/>
              <w:jc w:val="left"/>
              <w:rPr>
                <w:rFonts w:cs="Arial"/>
                <w:sz w:val="22"/>
                <w:szCs w:val="22"/>
              </w:rPr>
            </w:pPr>
            <w:r w:rsidRPr="002C68FF">
              <w:rPr>
                <w:rFonts w:cs="Arial"/>
              </w:rPr>
              <w:t>Attendance and persistent absence impacting continuity of learning for a small number of disadvantaged pupils.</w:t>
            </w:r>
          </w:p>
        </w:tc>
      </w:tr>
      <w:tr w:rsidR="00847655" w:rsidRPr="002C68FF"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6F9E6F" w:rsidR="00847655" w:rsidRPr="002C68FF" w:rsidRDefault="00847655" w:rsidP="00847655">
            <w:pPr>
              <w:pStyle w:val="TableRow"/>
              <w:ind w:left="0" w:right="0"/>
              <w:rPr>
                <w:rFonts w:cs="Arial"/>
                <w:sz w:val="22"/>
                <w:szCs w:val="22"/>
              </w:rPr>
            </w:pPr>
            <w:r w:rsidRPr="002C68FF">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36D6153" w:rsidR="00847655" w:rsidRPr="002C68FF" w:rsidRDefault="00847655" w:rsidP="00847655">
            <w:pPr>
              <w:pStyle w:val="TableRowCentered"/>
              <w:ind w:left="0" w:right="0"/>
              <w:jc w:val="left"/>
              <w:rPr>
                <w:rFonts w:cs="Arial"/>
                <w:sz w:val="22"/>
                <w:szCs w:val="22"/>
              </w:rPr>
            </w:pPr>
            <w:r w:rsidRPr="002C68FF">
              <w:rPr>
                <w:rFonts w:cs="Arial"/>
              </w:rPr>
              <w:t>Limited cultural capital and access to enrichment opportunities beyond school.</w:t>
            </w:r>
          </w:p>
        </w:tc>
      </w:tr>
      <w:tr w:rsidR="00847655" w:rsidRPr="002C68FF"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5D88353" w:rsidR="00847655" w:rsidRPr="002C68FF" w:rsidRDefault="00847655" w:rsidP="00847655">
            <w:pPr>
              <w:pStyle w:val="TableRow"/>
              <w:ind w:left="0" w:right="0"/>
              <w:rPr>
                <w:rFonts w:cs="Arial"/>
                <w:sz w:val="22"/>
                <w:szCs w:val="22"/>
              </w:rPr>
            </w:pPr>
            <w:r w:rsidRPr="002C68FF">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63B7A42" w:rsidR="00847655" w:rsidRPr="002C68FF" w:rsidRDefault="00847655" w:rsidP="00847655">
            <w:pPr>
              <w:pStyle w:val="TableRowCentered"/>
              <w:ind w:left="0" w:right="0"/>
              <w:jc w:val="left"/>
              <w:rPr>
                <w:rFonts w:cs="Arial"/>
                <w:iCs/>
                <w:sz w:val="22"/>
              </w:rPr>
            </w:pPr>
            <w:r w:rsidRPr="002C68FF">
              <w:rPr>
                <w:rFonts w:cs="Arial"/>
              </w:rPr>
              <w:t>Speech, language and communication needs, particularly evident on entry to EYFS.</w:t>
            </w:r>
          </w:p>
        </w:tc>
      </w:tr>
      <w:tr w:rsidR="00847655" w:rsidRPr="002C68FF"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66434E55" w:rsidR="00847655" w:rsidRPr="002C68FF" w:rsidRDefault="00847655" w:rsidP="00847655">
            <w:pPr>
              <w:pStyle w:val="TableRow"/>
              <w:ind w:left="0" w:right="0"/>
              <w:rPr>
                <w:rFonts w:cs="Arial"/>
                <w:sz w:val="22"/>
                <w:szCs w:val="22"/>
              </w:rPr>
            </w:pPr>
            <w:r w:rsidRPr="002C68FF">
              <w:rPr>
                <w:rFonts w:cs="Arial"/>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2CDE5EF" w:rsidR="00847655" w:rsidRPr="002C68FF" w:rsidRDefault="00847655" w:rsidP="00847655">
            <w:pPr>
              <w:pStyle w:val="TableRowCentered"/>
              <w:ind w:left="0" w:right="0"/>
              <w:jc w:val="left"/>
              <w:rPr>
                <w:rFonts w:cs="Arial"/>
                <w:iCs/>
                <w:sz w:val="22"/>
              </w:rPr>
            </w:pPr>
            <w:r w:rsidRPr="002C68FF">
              <w:rPr>
                <w:rFonts w:cs="Arial"/>
              </w:rPr>
              <w:t>Social, emotional and family circumstances affecting wellbeing and readiness to learn.</w:t>
            </w:r>
          </w:p>
        </w:tc>
      </w:tr>
    </w:tbl>
    <w:p w14:paraId="2A7D54FF" w14:textId="77777777" w:rsidR="00E66558" w:rsidRPr="002C68FF" w:rsidRDefault="009D71E8">
      <w:pPr>
        <w:pStyle w:val="Heading2"/>
        <w:spacing w:before="600"/>
        <w:rPr>
          <w:rFonts w:cs="Arial"/>
        </w:rPr>
      </w:pPr>
      <w:bookmarkStart w:id="17" w:name="_Toc443397160"/>
      <w:r w:rsidRPr="002C68FF">
        <w:rPr>
          <w:rFonts w:cs="Arial"/>
        </w:rPr>
        <w:t xml:space="preserve">Intended outcomes </w:t>
      </w:r>
    </w:p>
    <w:p w14:paraId="2A7D5500" w14:textId="77777777" w:rsidR="00E66558" w:rsidRPr="002C68FF" w:rsidRDefault="009D71E8">
      <w:pPr>
        <w:rPr>
          <w:rFonts w:cs="Arial"/>
        </w:rPr>
      </w:pPr>
      <w:r w:rsidRPr="002C68FF">
        <w:rPr>
          <w:rFonts w:cs="Arial"/>
          <w:color w:val="auto"/>
        </w:rPr>
        <w:t xml:space="preserve">This explains the outcomes we are aiming for </w:t>
      </w:r>
      <w:r w:rsidRPr="002C68FF">
        <w:rPr>
          <w:rFonts w:cs="Arial"/>
          <w:b/>
          <w:bCs/>
          <w:color w:val="auto"/>
        </w:rPr>
        <w:t>by the end of our current strategy plan</w:t>
      </w:r>
      <w:r w:rsidRPr="002C68FF">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C68FF"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2C68FF" w:rsidRDefault="009D71E8" w:rsidP="00C31636">
            <w:pPr>
              <w:pStyle w:val="TableHeader"/>
              <w:ind w:left="0" w:right="0"/>
              <w:jc w:val="left"/>
              <w:rPr>
                <w:rFonts w:cs="Arial"/>
              </w:rPr>
            </w:pPr>
            <w:r w:rsidRPr="002C68FF">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2C68FF" w:rsidRDefault="009D71E8" w:rsidP="00C31636">
            <w:pPr>
              <w:pStyle w:val="TableHeader"/>
              <w:ind w:left="0" w:right="0"/>
              <w:jc w:val="left"/>
              <w:rPr>
                <w:rFonts w:cs="Arial"/>
              </w:rPr>
            </w:pPr>
            <w:r w:rsidRPr="002C68FF">
              <w:rPr>
                <w:rFonts w:cs="Arial"/>
              </w:rPr>
              <w:t>Success criteria</w:t>
            </w:r>
          </w:p>
        </w:tc>
      </w:tr>
      <w:tr w:rsidR="00E66558" w:rsidRPr="002C68F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5"/>
            </w:tblGrid>
            <w:tr w:rsidR="00847655" w:rsidRPr="00847655" w14:paraId="7430C1CA" w14:textId="77777777" w:rsidTr="00847655">
              <w:trPr>
                <w:tblCellSpacing w:w="15" w:type="dxa"/>
              </w:trPr>
              <w:tc>
                <w:tcPr>
                  <w:tcW w:w="0" w:type="auto"/>
                  <w:vAlign w:val="center"/>
                  <w:hideMark/>
                </w:tcPr>
                <w:p w14:paraId="4414FCBD" w14:textId="77777777" w:rsidR="00847655" w:rsidRPr="00847655" w:rsidRDefault="00847655" w:rsidP="00847655">
                  <w:pPr>
                    <w:suppressAutoHyphens w:val="0"/>
                    <w:autoSpaceDN/>
                    <w:spacing w:after="0" w:line="240" w:lineRule="auto"/>
                    <w:rPr>
                      <w:rFonts w:cs="Arial"/>
                      <w:color w:val="auto"/>
                    </w:rPr>
                  </w:pPr>
                  <w:r w:rsidRPr="00847655">
                    <w:rPr>
                      <w:rFonts w:cs="Arial"/>
                      <w:color w:val="auto"/>
                    </w:rPr>
                    <w:t>Narrowed attainment gaps</w:t>
                  </w:r>
                </w:p>
              </w:tc>
            </w:tr>
          </w:tbl>
          <w:p w14:paraId="0D874824" w14:textId="77777777" w:rsidR="00847655" w:rsidRPr="00847655" w:rsidRDefault="00847655" w:rsidP="00847655">
            <w:pPr>
              <w:suppressAutoHyphens w:val="0"/>
              <w:autoSpaceDN/>
              <w:spacing w:after="0" w:line="240" w:lineRule="auto"/>
              <w:rPr>
                <w:rFonts w:cs="Arial"/>
                <w:vanish/>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7655" w:rsidRPr="00847655" w14:paraId="55C16EFC" w14:textId="77777777" w:rsidTr="00847655">
              <w:trPr>
                <w:tblCellSpacing w:w="15" w:type="dxa"/>
              </w:trPr>
              <w:tc>
                <w:tcPr>
                  <w:tcW w:w="0" w:type="auto"/>
                  <w:vAlign w:val="center"/>
                  <w:hideMark/>
                </w:tcPr>
                <w:p w14:paraId="19E733F8" w14:textId="392B8AA5" w:rsidR="00847655" w:rsidRPr="00847655" w:rsidRDefault="00847655" w:rsidP="00847655">
                  <w:pPr>
                    <w:suppressAutoHyphens w:val="0"/>
                    <w:autoSpaceDN/>
                    <w:spacing w:after="0" w:line="240" w:lineRule="auto"/>
                    <w:rPr>
                      <w:rFonts w:cs="Arial"/>
                      <w:color w:val="auto"/>
                    </w:rPr>
                  </w:pPr>
                </w:p>
              </w:tc>
            </w:tr>
          </w:tbl>
          <w:p w14:paraId="2A7D5504" w14:textId="303E44CA" w:rsidR="00E66558" w:rsidRPr="002C68FF" w:rsidRDefault="00E66558" w:rsidP="00C31636">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6729CD4" w:rsidR="00E66558" w:rsidRPr="002C68FF" w:rsidRDefault="00847655" w:rsidP="00C31636">
            <w:pPr>
              <w:pStyle w:val="TableRowCentered"/>
              <w:ind w:left="0" w:right="0"/>
              <w:jc w:val="left"/>
              <w:rPr>
                <w:rFonts w:cs="Arial"/>
                <w:sz w:val="22"/>
                <w:szCs w:val="22"/>
              </w:rPr>
            </w:pPr>
            <w:r w:rsidRPr="00847655">
              <w:rPr>
                <w:rFonts w:cs="Arial"/>
                <w:color w:val="auto"/>
              </w:rPr>
              <w:t>Disadvantaged pupils’ attainment in reading, writing and maths improves year-on-year and is broadly in line with non-disadvantaged pupils by 2028.</w:t>
            </w:r>
          </w:p>
        </w:tc>
      </w:tr>
      <w:tr w:rsidR="00E66558" w:rsidRPr="002C68F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0"/>
            </w:tblGrid>
            <w:tr w:rsidR="00847655" w:rsidRPr="00847655" w14:paraId="77F53F9E" w14:textId="77777777" w:rsidTr="00847655">
              <w:trPr>
                <w:tblCellSpacing w:w="15" w:type="dxa"/>
              </w:trPr>
              <w:tc>
                <w:tcPr>
                  <w:tcW w:w="0" w:type="auto"/>
                  <w:vAlign w:val="center"/>
                  <w:hideMark/>
                </w:tcPr>
                <w:p w14:paraId="2173F11A" w14:textId="77777777" w:rsidR="00847655" w:rsidRPr="00847655" w:rsidRDefault="00847655" w:rsidP="00847655">
                  <w:pPr>
                    <w:suppressAutoHyphens w:val="0"/>
                    <w:autoSpaceDN/>
                    <w:spacing w:after="0" w:line="240" w:lineRule="auto"/>
                    <w:rPr>
                      <w:rFonts w:cs="Arial"/>
                      <w:color w:val="auto"/>
                    </w:rPr>
                  </w:pPr>
                  <w:r w:rsidRPr="00847655">
                    <w:rPr>
                      <w:rFonts w:cs="Arial"/>
                      <w:color w:val="auto"/>
                    </w:rPr>
                    <w:t>Strong early language development</w:t>
                  </w:r>
                </w:p>
              </w:tc>
            </w:tr>
          </w:tbl>
          <w:p w14:paraId="1696940D" w14:textId="77777777" w:rsidR="00847655" w:rsidRPr="00847655" w:rsidRDefault="00847655" w:rsidP="00847655">
            <w:pPr>
              <w:suppressAutoHyphens w:val="0"/>
              <w:autoSpaceDN/>
              <w:spacing w:after="0" w:line="240" w:lineRule="auto"/>
              <w:rPr>
                <w:rFonts w:cs="Arial"/>
                <w:vanish/>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7655" w:rsidRPr="00847655" w14:paraId="705DAEA0" w14:textId="77777777" w:rsidTr="00847655">
              <w:trPr>
                <w:tblCellSpacing w:w="15" w:type="dxa"/>
              </w:trPr>
              <w:tc>
                <w:tcPr>
                  <w:tcW w:w="0" w:type="auto"/>
                  <w:vAlign w:val="center"/>
                  <w:hideMark/>
                </w:tcPr>
                <w:p w14:paraId="29BA6FBF" w14:textId="537F36CD" w:rsidR="00847655" w:rsidRPr="00847655" w:rsidRDefault="00847655" w:rsidP="00847655">
                  <w:pPr>
                    <w:suppressAutoHyphens w:val="0"/>
                    <w:autoSpaceDN/>
                    <w:spacing w:after="0" w:line="240" w:lineRule="auto"/>
                    <w:rPr>
                      <w:rFonts w:cs="Arial"/>
                      <w:color w:val="auto"/>
                    </w:rPr>
                  </w:pPr>
                </w:p>
              </w:tc>
            </w:tr>
          </w:tbl>
          <w:p w14:paraId="2A7D5507" w14:textId="77777777" w:rsidR="00E66558" w:rsidRPr="002C68FF" w:rsidRDefault="00E66558" w:rsidP="00C31636">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2663F99" w:rsidR="00E66558" w:rsidRPr="002C68FF" w:rsidRDefault="00847655" w:rsidP="00C31636">
            <w:pPr>
              <w:pStyle w:val="TableRowCentered"/>
              <w:ind w:left="0" w:right="0"/>
              <w:jc w:val="left"/>
              <w:rPr>
                <w:rFonts w:cs="Arial"/>
                <w:sz w:val="22"/>
                <w:szCs w:val="22"/>
              </w:rPr>
            </w:pPr>
            <w:r w:rsidRPr="00847655">
              <w:rPr>
                <w:rFonts w:cs="Arial"/>
                <w:color w:val="auto"/>
              </w:rPr>
              <w:t>EYFS disadvantaged pupils make accelerated progress from baseline; GLD outcomes are at least in line with national figures.</w:t>
            </w:r>
          </w:p>
        </w:tc>
      </w:tr>
      <w:tr w:rsidR="00E66558" w:rsidRPr="002C68F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5"/>
            </w:tblGrid>
            <w:tr w:rsidR="00847655" w:rsidRPr="00847655" w14:paraId="24B29664" w14:textId="77777777" w:rsidTr="00847655">
              <w:trPr>
                <w:tblCellSpacing w:w="15" w:type="dxa"/>
              </w:trPr>
              <w:tc>
                <w:tcPr>
                  <w:tcW w:w="0" w:type="auto"/>
                  <w:vAlign w:val="center"/>
                  <w:hideMark/>
                </w:tcPr>
                <w:p w14:paraId="7B0FB57E" w14:textId="77777777" w:rsidR="00847655" w:rsidRPr="00847655" w:rsidRDefault="00847655" w:rsidP="00847655">
                  <w:pPr>
                    <w:suppressAutoHyphens w:val="0"/>
                    <w:autoSpaceDN/>
                    <w:spacing w:after="0" w:line="240" w:lineRule="auto"/>
                    <w:rPr>
                      <w:rFonts w:cs="Arial"/>
                      <w:color w:val="auto"/>
                    </w:rPr>
                  </w:pPr>
                  <w:r w:rsidRPr="00847655">
                    <w:rPr>
                      <w:rFonts w:cs="Arial"/>
                      <w:color w:val="auto"/>
                    </w:rPr>
                    <w:t>Secure early reading</w:t>
                  </w:r>
                </w:p>
              </w:tc>
            </w:tr>
          </w:tbl>
          <w:p w14:paraId="7240384B" w14:textId="77777777" w:rsidR="00847655" w:rsidRPr="00847655" w:rsidRDefault="00847655" w:rsidP="00847655">
            <w:pPr>
              <w:suppressAutoHyphens w:val="0"/>
              <w:autoSpaceDN/>
              <w:spacing w:after="0" w:line="240" w:lineRule="auto"/>
              <w:rPr>
                <w:rFonts w:cs="Arial"/>
                <w:vanish/>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7655" w:rsidRPr="00847655" w14:paraId="6D3D8275" w14:textId="77777777" w:rsidTr="00847655">
              <w:trPr>
                <w:tblCellSpacing w:w="15" w:type="dxa"/>
              </w:trPr>
              <w:tc>
                <w:tcPr>
                  <w:tcW w:w="0" w:type="auto"/>
                  <w:vAlign w:val="center"/>
                  <w:hideMark/>
                </w:tcPr>
                <w:p w14:paraId="24BC7767" w14:textId="74B5A1A0" w:rsidR="00847655" w:rsidRPr="00847655" w:rsidRDefault="00847655" w:rsidP="00847655">
                  <w:pPr>
                    <w:suppressAutoHyphens w:val="0"/>
                    <w:autoSpaceDN/>
                    <w:spacing w:after="0" w:line="240" w:lineRule="auto"/>
                    <w:rPr>
                      <w:rFonts w:cs="Arial"/>
                      <w:color w:val="auto"/>
                    </w:rPr>
                  </w:pPr>
                </w:p>
              </w:tc>
            </w:tr>
          </w:tbl>
          <w:p w14:paraId="2A7D550A" w14:textId="77777777" w:rsidR="00E66558" w:rsidRPr="002C68FF" w:rsidRDefault="00E66558" w:rsidP="00C31636">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7067FDE" w:rsidR="00E66558" w:rsidRPr="002C68FF" w:rsidRDefault="00847655" w:rsidP="00C31636">
            <w:pPr>
              <w:pStyle w:val="TableRowCentered"/>
              <w:ind w:left="0" w:right="0"/>
              <w:jc w:val="left"/>
              <w:rPr>
                <w:rFonts w:cs="Arial"/>
                <w:sz w:val="22"/>
                <w:szCs w:val="22"/>
              </w:rPr>
            </w:pPr>
            <w:r w:rsidRPr="00847655">
              <w:rPr>
                <w:rFonts w:cs="Arial"/>
                <w:color w:val="auto"/>
              </w:rPr>
              <w:t>Disadvantaged pupils pass the phonics screening check in line with national outcomes or make strong progress from individual starting points.</w:t>
            </w:r>
          </w:p>
        </w:tc>
      </w:tr>
      <w:tr w:rsidR="00E66558" w:rsidRPr="002C68F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5"/>
            </w:tblGrid>
            <w:tr w:rsidR="00847655" w:rsidRPr="00847655" w14:paraId="770C6B6F" w14:textId="77777777" w:rsidTr="00847655">
              <w:trPr>
                <w:tblCellSpacing w:w="15" w:type="dxa"/>
              </w:trPr>
              <w:tc>
                <w:tcPr>
                  <w:tcW w:w="0" w:type="auto"/>
                  <w:vAlign w:val="center"/>
                  <w:hideMark/>
                </w:tcPr>
                <w:p w14:paraId="34FD5E03" w14:textId="77777777" w:rsidR="00847655" w:rsidRPr="00847655" w:rsidRDefault="00847655" w:rsidP="00847655">
                  <w:pPr>
                    <w:suppressAutoHyphens w:val="0"/>
                    <w:autoSpaceDN/>
                    <w:spacing w:after="0" w:line="240" w:lineRule="auto"/>
                    <w:rPr>
                      <w:rFonts w:cs="Arial"/>
                      <w:color w:val="auto"/>
                    </w:rPr>
                  </w:pPr>
                  <w:r w:rsidRPr="00847655">
                    <w:rPr>
                      <w:rFonts w:cs="Arial"/>
                      <w:color w:val="auto"/>
                    </w:rPr>
                    <w:t>Improved attendance</w:t>
                  </w:r>
                </w:p>
              </w:tc>
            </w:tr>
          </w:tbl>
          <w:p w14:paraId="32827311" w14:textId="77777777" w:rsidR="00847655" w:rsidRPr="00847655" w:rsidRDefault="00847655" w:rsidP="00847655">
            <w:pPr>
              <w:suppressAutoHyphens w:val="0"/>
              <w:autoSpaceDN/>
              <w:spacing w:after="0" w:line="240" w:lineRule="auto"/>
              <w:rPr>
                <w:rFonts w:cs="Arial"/>
                <w:vanish/>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7655" w:rsidRPr="00847655" w14:paraId="7B95D5B6" w14:textId="77777777" w:rsidTr="00847655">
              <w:trPr>
                <w:tblCellSpacing w:w="15" w:type="dxa"/>
              </w:trPr>
              <w:tc>
                <w:tcPr>
                  <w:tcW w:w="0" w:type="auto"/>
                  <w:vAlign w:val="center"/>
                  <w:hideMark/>
                </w:tcPr>
                <w:p w14:paraId="518522D3" w14:textId="0C4CD5EB" w:rsidR="00847655" w:rsidRPr="00847655" w:rsidRDefault="00847655" w:rsidP="00847655">
                  <w:pPr>
                    <w:suppressAutoHyphens w:val="0"/>
                    <w:autoSpaceDN/>
                    <w:spacing w:after="0" w:line="240" w:lineRule="auto"/>
                    <w:rPr>
                      <w:rFonts w:cs="Arial"/>
                      <w:color w:val="auto"/>
                    </w:rPr>
                  </w:pPr>
                </w:p>
              </w:tc>
            </w:tr>
          </w:tbl>
          <w:p w14:paraId="2A7D550D" w14:textId="77777777" w:rsidR="00E66558" w:rsidRPr="002C68FF" w:rsidRDefault="00E66558" w:rsidP="00C31636">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AB75A14" w:rsidR="00E66558" w:rsidRPr="002C68FF" w:rsidRDefault="00847655" w:rsidP="00C31636">
            <w:pPr>
              <w:pStyle w:val="TableRowCentered"/>
              <w:ind w:left="0" w:right="0"/>
              <w:jc w:val="left"/>
              <w:rPr>
                <w:rFonts w:cs="Arial"/>
                <w:sz w:val="22"/>
                <w:szCs w:val="22"/>
              </w:rPr>
            </w:pPr>
            <w:r w:rsidRPr="00847655">
              <w:rPr>
                <w:rFonts w:cs="Arial"/>
                <w:color w:val="auto"/>
              </w:rPr>
              <w:t>Attendance for disadvantaged pupils meets school targets or aligns with national averages; persistent absence is reduced.</w:t>
            </w:r>
          </w:p>
        </w:tc>
      </w:tr>
      <w:tr w:rsidR="00847655" w:rsidRPr="002C68FF" w14:paraId="5051795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6"/>
            </w:tblGrid>
            <w:tr w:rsidR="00847655" w:rsidRPr="00847655" w14:paraId="564A1E3D" w14:textId="77777777" w:rsidTr="00847655">
              <w:trPr>
                <w:tblCellSpacing w:w="15" w:type="dxa"/>
              </w:trPr>
              <w:tc>
                <w:tcPr>
                  <w:tcW w:w="0" w:type="auto"/>
                  <w:vAlign w:val="center"/>
                  <w:hideMark/>
                </w:tcPr>
                <w:p w14:paraId="153CBDCD" w14:textId="77777777" w:rsidR="00847655" w:rsidRPr="00847655" w:rsidRDefault="00847655" w:rsidP="00847655">
                  <w:pPr>
                    <w:suppressAutoHyphens w:val="0"/>
                    <w:autoSpaceDN/>
                    <w:spacing w:after="0" w:line="240" w:lineRule="auto"/>
                    <w:rPr>
                      <w:rFonts w:cs="Arial"/>
                      <w:color w:val="auto"/>
                    </w:rPr>
                  </w:pPr>
                  <w:r w:rsidRPr="00847655">
                    <w:rPr>
                      <w:rFonts w:cs="Arial"/>
                      <w:color w:val="auto"/>
                    </w:rPr>
                    <w:t>Improved wellbeing and cultural capital</w:t>
                  </w:r>
                </w:p>
              </w:tc>
            </w:tr>
          </w:tbl>
          <w:p w14:paraId="7476EFE9" w14:textId="77777777" w:rsidR="00847655" w:rsidRPr="00847655" w:rsidRDefault="00847655" w:rsidP="00847655">
            <w:pPr>
              <w:suppressAutoHyphens w:val="0"/>
              <w:autoSpaceDN/>
              <w:spacing w:after="0" w:line="240" w:lineRule="auto"/>
              <w:rPr>
                <w:rFonts w:cs="Arial"/>
                <w:vanish/>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7655" w:rsidRPr="00847655" w14:paraId="273D5591" w14:textId="77777777" w:rsidTr="00847655">
              <w:trPr>
                <w:tblCellSpacing w:w="15" w:type="dxa"/>
              </w:trPr>
              <w:tc>
                <w:tcPr>
                  <w:tcW w:w="0" w:type="auto"/>
                  <w:vAlign w:val="center"/>
                  <w:hideMark/>
                </w:tcPr>
                <w:p w14:paraId="11DEB11D" w14:textId="00E76C5C" w:rsidR="00847655" w:rsidRPr="00847655" w:rsidRDefault="00847655" w:rsidP="00847655">
                  <w:pPr>
                    <w:suppressAutoHyphens w:val="0"/>
                    <w:autoSpaceDN/>
                    <w:spacing w:after="0" w:line="240" w:lineRule="auto"/>
                    <w:rPr>
                      <w:rFonts w:cs="Arial"/>
                      <w:color w:val="auto"/>
                    </w:rPr>
                  </w:pPr>
                </w:p>
              </w:tc>
            </w:tr>
          </w:tbl>
          <w:p w14:paraId="18F032BE" w14:textId="77777777" w:rsidR="00847655" w:rsidRPr="002C68FF" w:rsidRDefault="00847655" w:rsidP="00C31636">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6BDA" w14:textId="4934B78C" w:rsidR="00847655" w:rsidRPr="002C68FF" w:rsidRDefault="00847655" w:rsidP="00C31636">
            <w:pPr>
              <w:pStyle w:val="TableRowCentered"/>
              <w:ind w:left="0" w:right="0"/>
              <w:jc w:val="left"/>
              <w:rPr>
                <w:rFonts w:cs="Arial"/>
              </w:rPr>
            </w:pPr>
            <w:r w:rsidRPr="00847655">
              <w:rPr>
                <w:rFonts w:cs="Arial"/>
                <w:color w:val="auto"/>
              </w:rPr>
              <w:t>Disadvantaged pupils access a wide range of enrichment opportunities and demonstrate positive attitudes to learning and aspiration.</w:t>
            </w:r>
          </w:p>
        </w:tc>
      </w:tr>
    </w:tbl>
    <w:p w14:paraId="60BAD9F6" w14:textId="77777777" w:rsidR="00120AB1" w:rsidRPr="002C68FF" w:rsidRDefault="00120AB1" w:rsidP="00ED5108">
      <w:pPr>
        <w:rPr>
          <w:rFonts w:cs="Arial"/>
        </w:rPr>
      </w:pPr>
    </w:p>
    <w:p w14:paraId="2A06959E" w14:textId="6B215FF9" w:rsidR="00120AB1" w:rsidRDefault="00120AB1" w:rsidP="00BD4B12">
      <w:pPr>
        <w:rPr>
          <w:rFonts w:cs="Arial"/>
        </w:rPr>
      </w:pPr>
    </w:p>
    <w:p w14:paraId="7A6BD60E" w14:textId="38468BB8" w:rsidR="002C68FF" w:rsidRDefault="002C68FF" w:rsidP="00BD4B12">
      <w:pPr>
        <w:rPr>
          <w:rFonts w:cs="Arial"/>
        </w:rPr>
      </w:pPr>
    </w:p>
    <w:p w14:paraId="056AE266" w14:textId="51401D8D" w:rsidR="002C68FF" w:rsidRDefault="002C68FF" w:rsidP="00BD4B12">
      <w:pPr>
        <w:rPr>
          <w:rFonts w:cs="Arial"/>
        </w:rPr>
      </w:pPr>
    </w:p>
    <w:p w14:paraId="23BA8470" w14:textId="187F3036" w:rsidR="002C68FF" w:rsidRDefault="002C68FF" w:rsidP="00BD4B12">
      <w:pPr>
        <w:rPr>
          <w:rFonts w:cs="Arial"/>
        </w:rPr>
      </w:pPr>
    </w:p>
    <w:p w14:paraId="6269492D" w14:textId="07696127" w:rsidR="002C68FF" w:rsidRDefault="002C68FF" w:rsidP="00BD4B12">
      <w:pPr>
        <w:rPr>
          <w:rFonts w:cs="Arial"/>
        </w:rPr>
      </w:pPr>
    </w:p>
    <w:p w14:paraId="70C0D887" w14:textId="77777777" w:rsidR="002C68FF" w:rsidRPr="002C68FF" w:rsidRDefault="002C68FF" w:rsidP="00BD4B12">
      <w:pPr>
        <w:rPr>
          <w:rFonts w:cs="Arial"/>
        </w:rPr>
      </w:pPr>
    </w:p>
    <w:p w14:paraId="2A7D5512" w14:textId="7B489199" w:rsidR="00E66558" w:rsidRPr="002C68FF" w:rsidRDefault="009D71E8">
      <w:pPr>
        <w:pStyle w:val="Heading2"/>
        <w:rPr>
          <w:rFonts w:cs="Arial"/>
        </w:rPr>
      </w:pPr>
      <w:r w:rsidRPr="002C68FF">
        <w:rPr>
          <w:rFonts w:cs="Arial"/>
        </w:rPr>
        <w:t>Activity in this academic year</w:t>
      </w:r>
    </w:p>
    <w:p w14:paraId="2A7D5513" w14:textId="20453EFC" w:rsidR="00E66558" w:rsidRPr="002C68FF" w:rsidRDefault="009D71E8">
      <w:pPr>
        <w:spacing w:after="480"/>
        <w:rPr>
          <w:rFonts w:cs="Arial"/>
        </w:rPr>
      </w:pPr>
      <w:r w:rsidRPr="002C68FF">
        <w:rPr>
          <w:rFonts w:cs="Arial"/>
        </w:rPr>
        <w:t xml:space="preserve">This details how we intend to spend our pupil premium funding </w:t>
      </w:r>
      <w:r w:rsidRPr="002C68FF">
        <w:rPr>
          <w:rFonts w:cs="Arial"/>
          <w:b/>
          <w:bCs/>
        </w:rPr>
        <w:t>this academic year</w:t>
      </w:r>
      <w:r w:rsidRPr="002C68FF">
        <w:rPr>
          <w:rFonts w:cs="Arial"/>
        </w:rPr>
        <w:t xml:space="preserve"> to address the challenges listed above.</w:t>
      </w:r>
    </w:p>
    <w:p w14:paraId="2A7D5514" w14:textId="77777777" w:rsidR="00E66558" w:rsidRPr="002C68FF" w:rsidRDefault="009D71E8">
      <w:pPr>
        <w:pStyle w:val="Heading3"/>
        <w:rPr>
          <w:rFonts w:cs="Arial"/>
        </w:rPr>
      </w:pPr>
      <w:r w:rsidRPr="002C68FF">
        <w:rPr>
          <w:rFonts w:cs="Arial"/>
        </w:rPr>
        <w:t>Teaching (for example, CPD, recruitment and retention)</w:t>
      </w:r>
    </w:p>
    <w:p w14:paraId="2A7D5515" w14:textId="7C6DA35B" w:rsidR="00E66558" w:rsidRPr="002C68FF" w:rsidRDefault="009D71E8">
      <w:pPr>
        <w:rPr>
          <w:rFonts w:cs="Arial"/>
        </w:rPr>
      </w:pPr>
      <w:r w:rsidRPr="002C68FF">
        <w:rPr>
          <w:rFonts w:cs="Arial"/>
        </w:rPr>
        <w:t xml:space="preserve">Budgeted cost: </w:t>
      </w:r>
      <w:r w:rsidR="00847655" w:rsidRPr="002C68FF">
        <w:rPr>
          <w:rFonts w:cs="Arial"/>
        </w:rPr>
        <w:t>£20,198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C68FF"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2C68FF" w:rsidRDefault="009D71E8" w:rsidP="00C31636">
            <w:pPr>
              <w:pStyle w:val="TableHeader"/>
              <w:ind w:left="0" w:right="0"/>
              <w:jc w:val="left"/>
              <w:rPr>
                <w:rFonts w:cs="Arial"/>
              </w:rPr>
            </w:pPr>
            <w:r w:rsidRPr="002C68FF">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2C68FF" w:rsidRDefault="009D71E8" w:rsidP="00C31636">
            <w:pPr>
              <w:pStyle w:val="TableHeader"/>
              <w:ind w:left="0" w:right="0"/>
              <w:jc w:val="left"/>
              <w:rPr>
                <w:rFonts w:cs="Arial"/>
              </w:rPr>
            </w:pPr>
            <w:r w:rsidRPr="002C68FF">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2C68FF" w:rsidRDefault="009D71E8" w:rsidP="00C31636">
            <w:pPr>
              <w:pStyle w:val="TableHeader"/>
              <w:ind w:left="0" w:right="0"/>
              <w:jc w:val="left"/>
              <w:rPr>
                <w:rFonts w:cs="Arial"/>
              </w:rPr>
            </w:pPr>
            <w:r w:rsidRPr="002C68FF">
              <w:rPr>
                <w:rFonts w:cs="Arial"/>
              </w:rPr>
              <w:t>Challenge number(s) addressed</w:t>
            </w:r>
          </w:p>
        </w:tc>
      </w:tr>
      <w:tr w:rsidR="00E66558" w:rsidRPr="002C68FF"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E48236F" w:rsidR="00E66558" w:rsidRPr="002C68FF" w:rsidRDefault="00847655" w:rsidP="00C31636">
            <w:pPr>
              <w:pStyle w:val="TableRow"/>
              <w:ind w:left="0" w:right="0"/>
              <w:rPr>
                <w:rFonts w:cs="Arial"/>
              </w:rPr>
            </w:pPr>
            <w:r w:rsidRPr="002C68FF">
              <w:rPr>
                <w:rFonts w:cs="Arial"/>
              </w:rPr>
              <w:t>Teacher deployment and staffing contribution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C9F2DCE" w:rsidR="00E66558" w:rsidRPr="002C68FF" w:rsidRDefault="00847655" w:rsidP="00847655">
            <w:pPr>
              <w:pStyle w:val="TableRowCentered"/>
              <w:ind w:left="0" w:right="0"/>
              <w:rPr>
                <w:rFonts w:cs="Arial"/>
                <w:sz w:val="22"/>
              </w:rPr>
            </w:pPr>
            <w:r w:rsidRPr="002C68FF">
              <w:rPr>
                <w:rFonts w:cs="Arial"/>
              </w:rPr>
              <w:t>High-quality teaching has the greatest impact on pupil outcomes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CDAC199" w:rsidR="00E66558" w:rsidRPr="002C68FF" w:rsidRDefault="00847655" w:rsidP="00C31636">
            <w:pPr>
              <w:pStyle w:val="TableRowCentered"/>
              <w:ind w:left="0" w:right="0"/>
              <w:jc w:val="left"/>
              <w:rPr>
                <w:rFonts w:cs="Arial"/>
                <w:sz w:val="22"/>
              </w:rPr>
            </w:pPr>
            <w:r w:rsidRPr="002C68FF">
              <w:rPr>
                <w:rFonts w:cs="Arial"/>
                <w:sz w:val="22"/>
              </w:rPr>
              <w:t xml:space="preserve">1,4 </w:t>
            </w:r>
          </w:p>
        </w:tc>
      </w:tr>
      <w:tr w:rsidR="00847655" w:rsidRPr="002C68FF"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4BE256F" w:rsidR="00847655" w:rsidRPr="002C68FF" w:rsidRDefault="00847655" w:rsidP="00847655">
            <w:pPr>
              <w:pStyle w:val="TableRow"/>
              <w:ind w:left="0" w:right="0"/>
              <w:rPr>
                <w:rFonts w:cs="Arial"/>
                <w:i/>
                <w:sz w:val="22"/>
              </w:rPr>
            </w:pPr>
            <w:r w:rsidRPr="002C68FF">
              <w:rPr>
                <w:rFonts w:cs="Arial"/>
              </w:rPr>
              <w:t>Professional development and coaching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C155A3C" w:rsidR="00847655" w:rsidRPr="002C68FF" w:rsidRDefault="00847655" w:rsidP="00847655">
            <w:pPr>
              <w:pStyle w:val="TableRowCentered"/>
              <w:ind w:left="0" w:right="0"/>
              <w:jc w:val="left"/>
              <w:rPr>
                <w:rFonts w:cs="Arial"/>
                <w:sz w:val="22"/>
              </w:rPr>
            </w:pPr>
            <w:r w:rsidRPr="002C68FF">
              <w:rPr>
                <w:rFonts w:cs="Arial"/>
              </w:rPr>
              <w:t>Sustained CPD improves classroom practice and pupil outcomes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A33AAE8" w:rsidR="00847655" w:rsidRPr="002C68FF" w:rsidRDefault="00847655" w:rsidP="00847655">
            <w:pPr>
              <w:pStyle w:val="TableRowCentered"/>
              <w:ind w:left="0" w:right="0"/>
              <w:jc w:val="left"/>
              <w:rPr>
                <w:rFonts w:cs="Arial"/>
                <w:sz w:val="22"/>
              </w:rPr>
            </w:pPr>
            <w:r w:rsidRPr="002C68FF">
              <w:rPr>
                <w:rFonts w:cs="Arial"/>
              </w:rPr>
              <w:t>1, 4, 5</w:t>
            </w:r>
          </w:p>
        </w:tc>
      </w:tr>
      <w:tr w:rsidR="00847655" w:rsidRPr="002C68FF" w14:paraId="6C5A7A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619" w14:textId="09687708" w:rsidR="00847655" w:rsidRPr="002C68FF" w:rsidRDefault="00847655" w:rsidP="00847655">
            <w:pPr>
              <w:pStyle w:val="TableRow"/>
              <w:ind w:left="0" w:right="0"/>
              <w:rPr>
                <w:rFonts w:cs="Arial"/>
              </w:rPr>
            </w:pPr>
            <w:r w:rsidRPr="002C68FF">
              <w:rPr>
                <w:rFonts w:cs="Arial"/>
              </w:rPr>
              <w:t>Curriculum and teaching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B445" w14:textId="362A5C9B" w:rsidR="00847655" w:rsidRPr="002C68FF" w:rsidRDefault="00847655" w:rsidP="00847655">
            <w:pPr>
              <w:pStyle w:val="TableRowCentered"/>
              <w:ind w:left="0" w:right="0"/>
              <w:jc w:val="left"/>
              <w:rPr>
                <w:rFonts w:cs="Arial"/>
              </w:rPr>
            </w:pPr>
            <w:r w:rsidRPr="002C68FF">
              <w:rPr>
                <w:rFonts w:cs="Arial"/>
              </w:rPr>
              <w:t>Supports consistent, high-quality curriculum delivery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94D4" w14:textId="1DE790AE" w:rsidR="00847655" w:rsidRPr="002C68FF" w:rsidRDefault="00847655" w:rsidP="00847655">
            <w:pPr>
              <w:pStyle w:val="TableRowCentered"/>
              <w:ind w:left="0" w:right="0"/>
              <w:jc w:val="left"/>
              <w:rPr>
                <w:rFonts w:cs="Arial"/>
              </w:rPr>
            </w:pPr>
            <w:r w:rsidRPr="002C68FF">
              <w:rPr>
                <w:rFonts w:cs="Arial"/>
              </w:rPr>
              <w:t>1,3</w:t>
            </w:r>
          </w:p>
        </w:tc>
      </w:tr>
    </w:tbl>
    <w:p w14:paraId="2A7D5522" w14:textId="77777777" w:rsidR="00E66558" w:rsidRPr="002C68FF" w:rsidRDefault="00E66558" w:rsidP="00ED5108">
      <w:pPr>
        <w:rPr>
          <w:rFonts w:cs="Arial"/>
        </w:rPr>
      </w:pPr>
    </w:p>
    <w:p w14:paraId="2A7D5523" w14:textId="5B2BE35F" w:rsidR="00E66558" w:rsidRPr="002C68FF" w:rsidRDefault="009D71E8" w:rsidP="00AA355B">
      <w:pPr>
        <w:pStyle w:val="Heading3"/>
        <w:rPr>
          <w:rFonts w:cs="Arial"/>
        </w:rPr>
      </w:pPr>
      <w:r w:rsidRPr="002C68FF">
        <w:rPr>
          <w:rFonts w:cs="Arial"/>
        </w:rPr>
        <w:t xml:space="preserve">Targeted academic support (for example, </w:t>
      </w:r>
      <w:r w:rsidR="00D33FE5" w:rsidRPr="002C68FF">
        <w:rPr>
          <w:rFonts w:cs="Arial"/>
        </w:rPr>
        <w:t>tutoring, one-to-one support</w:t>
      </w:r>
      <w:r w:rsidR="00F776E1" w:rsidRPr="002C68FF">
        <w:rPr>
          <w:rFonts w:cs="Arial"/>
        </w:rPr>
        <w:t>,</w:t>
      </w:r>
      <w:r w:rsidR="00D33FE5" w:rsidRPr="002C68FF">
        <w:rPr>
          <w:rFonts w:cs="Arial"/>
        </w:rPr>
        <w:t xml:space="preserve"> </w:t>
      </w:r>
      <w:r w:rsidRPr="002C68FF">
        <w:rPr>
          <w:rFonts w:cs="Arial"/>
        </w:rPr>
        <w:t xml:space="preserve">structured interventions) </w:t>
      </w:r>
    </w:p>
    <w:p w14:paraId="2A7D5524" w14:textId="37E3BD80" w:rsidR="00E66558" w:rsidRPr="002C68FF" w:rsidRDefault="00847655">
      <w:pPr>
        <w:rPr>
          <w:rFonts w:cs="Arial"/>
        </w:rPr>
      </w:pPr>
      <w:r w:rsidRPr="002C68FF">
        <w:rPr>
          <w:rFonts w:cs="Arial"/>
        </w:rPr>
        <w:t>Budgeted cost: £58,340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C68FF"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2C68FF" w:rsidRDefault="009D71E8" w:rsidP="00C31636">
            <w:pPr>
              <w:pStyle w:val="TableHeader"/>
              <w:ind w:left="0" w:right="0"/>
              <w:jc w:val="left"/>
              <w:rPr>
                <w:rFonts w:cs="Arial"/>
              </w:rPr>
            </w:pPr>
            <w:r w:rsidRPr="002C68FF">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2C68FF" w:rsidRDefault="009D71E8" w:rsidP="00C31636">
            <w:pPr>
              <w:pStyle w:val="TableHeader"/>
              <w:ind w:left="0" w:right="0"/>
              <w:jc w:val="left"/>
              <w:rPr>
                <w:rFonts w:cs="Arial"/>
              </w:rPr>
            </w:pPr>
            <w:r w:rsidRPr="002C68FF">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2C68FF" w:rsidRDefault="009D71E8" w:rsidP="00C31636">
            <w:pPr>
              <w:pStyle w:val="TableHeader"/>
              <w:ind w:left="0" w:right="0"/>
              <w:jc w:val="left"/>
              <w:rPr>
                <w:rFonts w:cs="Arial"/>
              </w:rPr>
            </w:pPr>
            <w:r w:rsidRPr="002C68FF">
              <w:rPr>
                <w:rFonts w:cs="Arial"/>
              </w:rPr>
              <w:t>Challenge number(s) addressed</w:t>
            </w:r>
          </w:p>
        </w:tc>
      </w:tr>
      <w:tr w:rsidR="00E66558" w:rsidRPr="002C68FF"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7ADBA9F" w:rsidR="00E66558" w:rsidRPr="002C68FF" w:rsidRDefault="00847655" w:rsidP="00C31636">
            <w:pPr>
              <w:pStyle w:val="TableRow"/>
              <w:ind w:left="0" w:right="0"/>
              <w:rPr>
                <w:rFonts w:cs="Arial"/>
              </w:rPr>
            </w:pPr>
            <w:r w:rsidRPr="002C68FF">
              <w:rPr>
                <w:rFonts w:cs="Arial"/>
              </w:rPr>
              <w:t>Structured TA-led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2AB099F" w:rsidR="00E66558" w:rsidRPr="002C68FF" w:rsidRDefault="00847655" w:rsidP="00847655">
            <w:pPr>
              <w:pStyle w:val="TableRowCentered"/>
              <w:tabs>
                <w:tab w:val="left" w:pos="2535"/>
              </w:tabs>
              <w:ind w:left="0" w:right="0"/>
              <w:jc w:val="left"/>
              <w:rPr>
                <w:rFonts w:cs="Arial"/>
                <w:sz w:val="22"/>
              </w:rPr>
            </w:pPr>
            <w:r w:rsidRPr="002C68FF">
              <w:rPr>
                <w:rFonts w:cs="Arial"/>
              </w:rPr>
              <w:t>Targeted interventions accelerate progress when well deployed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AB2D02B" w:rsidR="00E66558" w:rsidRPr="002C68FF" w:rsidRDefault="00847655" w:rsidP="00C31636">
            <w:pPr>
              <w:pStyle w:val="TableRowCentered"/>
              <w:ind w:left="0" w:right="0"/>
              <w:jc w:val="left"/>
              <w:rPr>
                <w:rFonts w:cs="Arial"/>
                <w:sz w:val="22"/>
              </w:rPr>
            </w:pPr>
            <w:r w:rsidRPr="002C68FF">
              <w:rPr>
                <w:rFonts w:cs="Arial"/>
                <w:sz w:val="22"/>
              </w:rPr>
              <w:t>1,4</w:t>
            </w:r>
          </w:p>
        </w:tc>
      </w:tr>
      <w:tr w:rsidR="00E66558" w:rsidRPr="002C68FF"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C286209" w:rsidR="00E66558" w:rsidRPr="002C68FF" w:rsidRDefault="00847655" w:rsidP="00C31636">
            <w:pPr>
              <w:pStyle w:val="TableRow"/>
              <w:ind w:left="0" w:right="0"/>
              <w:rPr>
                <w:rFonts w:cs="Arial"/>
                <w:i/>
                <w:sz w:val="22"/>
              </w:rPr>
            </w:pPr>
            <w:r w:rsidRPr="002C68FF">
              <w:rPr>
                <w:rFonts w:cs="Arial"/>
              </w:rPr>
              <w:t>Speech and language intervention (WellComm)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F156DD2" w:rsidR="00E66558" w:rsidRPr="002C68FF" w:rsidRDefault="00847655" w:rsidP="00847655">
            <w:pPr>
              <w:pStyle w:val="TableRowCentered"/>
              <w:tabs>
                <w:tab w:val="left" w:pos="1125"/>
              </w:tabs>
              <w:ind w:left="0" w:right="0"/>
              <w:jc w:val="left"/>
              <w:rPr>
                <w:rFonts w:cs="Arial"/>
                <w:sz w:val="22"/>
              </w:rPr>
            </w:pPr>
            <w:r w:rsidRPr="002C68FF">
              <w:rPr>
                <w:rFonts w:cs="Arial"/>
              </w:rPr>
              <w:t>Early identification and intervention improve communication outcomes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88C28C8" w:rsidR="00E66558" w:rsidRPr="002C68FF" w:rsidRDefault="00847655" w:rsidP="00C31636">
            <w:pPr>
              <w:pStyle w:val="TableRowCentered"/>
              <w:ind w:left="0" w:right="0"/>
              <w:jc w:val="left"/>
              <w:rPr>
                <w:rFonts w:cs="Arial"/>
                <w:sz w:val="22"/>
              </w:rPr>
            </w:pPr>
            <w:r w:rsidRPr="002C68FF">
              <w:rPr>
                <w:rFonts w:cs="Arial"/>
                <w:sz w:val="22"/>
              </w:rPr>
              <w:t>4,5</w:t>
            </w:r>
          </w:p>
        </w:tc>
      </w:tr>
      <w:tr w:rsidR="00847655" w:rsidRPr="002C68FF" w14:paraId="235ECE9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FF44" w14:textId="71B69D2A" w:rsidR="00847655" w:rsidRPr="002C68FF" w:rsidRDefault="00847655" w:rsidP="00C31636">
            <w:pPr>
              <w:pStyle w:val="TableRow"/>
              <w:ind w:left="0" w:right="0"/>
              <w:rPr>
                <w:rFonts w:cs="Arial"/>
              </w:rPr>
            </w:pPr>
            <w:r w:rsidRPr="002C68FF">
              <w:rPr>
                <w:rFonts w:cs="Arial"/>
              </w:rPr>
              <w:t>Targeted phonics and maths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AE84" w14:textId="5F4959ED" w:rsidR="00847655" w:rsidRPr="002C68FF" w:rsidRDefault="002C68FF" w:rsidP="00847655">
            <w:pPr>
              <w:pStyle w:val="TableRowCentered"/>
              <w:tabs>
                <w:tab w:val="left" w:pos="1125"/>
              </w:tabs>
              <w:ind w:left="0" w:right="0"/>
              <w:jc w:val="left"/>
              <w:rPr>
                <w:rFonts w:cs="Arial"/>
              </w:rPr>
            </w:pPr>
            <w:r w:rsidRPr="002C68FF">
              <w:rPr>
                <w:rFonts w:cs="Arial"/>
              </w:rPr>
              <w:t>Evidence-based programmes support rapid academic catch-up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5DD7D" w14:textId="3549D762" w:rsidR="00847655" w:rsidRPr="002C68FF" w:rsidRDefault="002C68FF" w:rsidP="00C31636">
            <w:pPr>
              <w:pStyle w:val="TableRowCentered"/>
              <w:ind w:left="0" w:right="0"/>
              <w:jc w:val="left"/>
              <w:rPr>
                <w:rFonts w:cs="Arial"/>
                <w:sz w:val="22"/>
              </w:rPr>
            </w:pPr>
            <w:r w:rsidRPr="002C68FF">
              <w:rPr>
                <w:rFonts w:cs="Arial"/>
              </w:rPr>
              <w:t>1, 4</w:t>
            </w:r>
          </w:p>
        </w:tc>
      </w:tr>
      <w:tr w:rsidR="002C68FF" w:rsidRPr="002C68FF" w14:paraId="63480B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AE7B" w14:textId="48B5995B" w:rsidR="002C68FF" w:rsidRPr="002C68FF" w:rsidRDefault="002C68FF" w:rsidP="00C31636">
            <w:pPr>
              <w:pStyle w:val="TableRow"/>
              <w:ind w:left="0" w:right="0"/>
              <w:rPr>
                <w:rFonts w:cs="Arial"/>
              </w:rPr>
            </w:pPr>
            <w:r w:rsidRPr="002C68FF">
              <w:rPr>
                <w:rFonts w:cs="Arial"/>
              </w:rPr>
              <w:t>Additional KS2 academic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28771" w14:textId="3AAB47B9" w:rsidR="002C68FF" w:rsidRPr="002C68FF" w:rsidRDefault="002C68FF" w:rsidP="00847655">
            <w:pPr>
              <w:pStyle w:val="TableRowCentered"/>
              <w:tabs>
                <w:tab w:val="left" w:pos="1125"/>
              </w:tabs>
              <w:ind w:left="0" w:right="0"/>
              <w:jc w:val="left"/>
              <w:rPr>
                <w:rFonts w:cs="Arial"/>
              </w:rPr>
            </w:pPr>
            <w:r w:rsidRPr="002C68FF">
              <w:rPr>
                <w:rFonts w:cs="Arial"/>
              </w:rPr>
              <w:t>Focused support enables pupils to meet age-related expectations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BCF7" w14:textId="762205CE" w:rsidR="002C68FF" w:rsidRPr="002C68FF" w:rsidRDefault="002C68FF" w:rsidP="00C31636">
            <w:pPr>
              <w:pStyle w:val="TableRowCentered"/>
              <w:ind w:left="0" w:right="0"/>
              <w:jc w:val="left"/>
              <w:rPr>
                <w:rFonts w:cs="Arial"/>
              </w:rPr>
            </w:pPr>
            <w:r w:rsidRPr="002C68FF">
              <w:rPr>
                <w:rFonts w:cs="Arial"/>
              </w:rPr>
              <w:t>1</w:t>
            </w:r>
          </w:p>
        </w:tc>
      </w:tr>
    </w:tbl>
    <w:p w14:paraId="2A7D5531" w14:textId="77777777" w:rsidR="00E66558" w:rsidRPr="002C68FF" w:rsidRDefault="00E66558" w:rsidP="00AA355B">
      <w:pPr>
        <w:rPr>
          <w:rFonts w:cs="Arial"/>
        </w:rPr>
      </w:pPr>
    </w:p>
    <w:p w14:paraId="2A7D5532" w14:textId="59A68BC3" w:rsidR="00E66558" w:rsidRPr="002C68FF" w:rsidRDefault="009D71E8" w:rsidP="00AA355B">
      <w:pPr>
        <w:pStyle w:val="Heading3"/>
        <w:rPr>
          <w:rFonts w:cs="Arial"/>
        </w:rPr>
      </w:pPr>
      <w:r w:rsidRPr="002C68FF">
        <w:rPr>
          <w:rFonts w:cs="Arial"/>
        </w:rPr>
        <w:t>Wider strategies (for example, related to attendance, behaviour, wellbeing)</w:t>
      </w:r>
    </w:p>
    <w:p w14:paraId="2A7D5533" w14:textId="4BFF01E3" w:rsidR="00E66558" w:rsidRPr="002C68FF" w:rsidRDefault="009D71E8">
      <w:pPr>
        <w:spacing w:before="240" w:after="120"/>
        <w:rPr>
          <w:rFonts w:cs="Arial"/>
        </w:rPr>
      </w:pPr>
      <w:r w:rsidRPr="002C68FF">
        <w:rPr>
          <w:rFonts w:cs="Arial"/>
        </w:rPr>
        <w:t xml:space="preserve">Budgeted cost: </w:t>
      </w:r>
      <w:r w:rsidR="002C68FF" w:rsidRPr="002C68FF">
        <w:rPr>
          <w:rFonts w:cs="Arial"/>
        </w:rPr>
        <w:t>£10,362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C68FF"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2C68FF" w:rsidRDefault="009D71E8" w:rsidP="00C31636">
            <w:pPr>
              <w:pStyle w:val="TableHeader"/>
              <w:ind w:left="0" w:right="0"/>
              <w:jc w:val="left"/>
              <w:rPr>
                <w:rFonts w:cs="Arial"/>
              </w:rPr>
            </w:pPr>
            <w:r w:rsidRPr="002C68FF">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2C68FF" w:rsidRDefault="009D71E8" w:rsidP="00C31636">
            <w:pPr>
              <w:pStyle w:val="TableHeader"/>
              <w:ind w:left="0" w:right="0"/>
              <w:jc w:val="left"/>
              <w:rPr>
                <w:rFonts w:cs="Arial"/>
              </w:rPr>
            </w:pPr>
            <w:r w:rsidRPr="002C68FF">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2C68FF" w:rsidRDefault="009D71E8" w:rsidP="00C31636">
            <w:pPr>
              <w:pStyle w:val="TableHeader"/>
              <w:ind w:left="0" w:right="0"/>
              <w:jc w:val="left"/>
              <w:rPr>
                <w:rFonts w:cs="Arial"/>
              </w:rPr>
            </w:pPr>
            <w:r w:rsidRPr="002C68FF">
              <w:rPr>
                <w:rFonts w:cs="Arial"/>
              </w:rPr>
              <w:t>Challenge number(s) addressed</w:t>
            </w:r>
          </w:p>
        </w:tc>
      </w:tr>
      <w:tr w:rsidR="00E66558" w:rsidRPr="002C68FF"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227C837" w:rsidR="00E66558" w:rsidRPr="002C68FF" w:rsidRDefault="002C68FF" w:rsidP="00C31636">
            <w:pPr>
              <w:pStyle w:val="TableRow"/>
              <w:ind w:left="0" w:right="0"/>
              <w:rPr>
                <w:rFonts w:cs="Arial"/>
              </w:rPr>
            </w:pPr>
            <w:r w:rsidRPr="002C68FF">
              <w:rPr>
                <w:rFonts w:cs="Arial"/>
              </w:rPr>
              <w:t>Attendance monitoring and family engagement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3BD0B2D" w:rsidR="00E66558" w:rsidRPr="002C68FF" w:rsidRDefault="002C68FF" w:rsidP="002C68FF">
            <w:pPr>
              <w:pStyle w:val="TableRowCentered"/>
              <w:ind w:left="0" w:right="0"/>
              <w:jc w:val="left"/>
              <w:rPr>
                <w:rFonts w:cs="Arial"/>
                <w:sz w:val="22"/>
              </w:rPr>
            </w:pPr>
            <w:r w:rsidRPr="002C68FF">
              <w:rPr>
                <w:rFonts w:cs="Arial"/>
              </w:rPr>
              <w:t>Attendance is a prerequisite for learning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28FC798" w:rsidR="00E66558" w:rsidRPr="002C68FF" w:rsidRDefault="002C68FF" w:rsidP="00C31636">
            <w:pPr>
              <w:pStyle w:val="TableRowCentered"/>
              <w:ind w:left="0" w:right="0"/>
              <w:jc w:val="left"/>
              <w:rPr>
                <w:rFonts w:cs="Arial"/>
                <w:sz w:val="22"/>
              </w:rPr>
            </w:pPr>
            <w:r w:rsidRPr="002C68FF">
              <w:rPr>
                <w:rFonts w:cs="Arial"/>
                <w:sz w:val="22"/>
              </w:rPr>
              <w:t>2</w:t>
            </w:r>
          </w:p>
        </w:tc>
      </w:tr>
      <w:tr w:rsidR="00E66558" w:rsidRPr="002C68FF"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98D72FE" w:rsidR="00E66558" w:rsidRPr="002C68FF" w:rsidRDefault="002C68FF" w:rsidP="00C31636">
            <w:pPr>
              <w:pStyle w:val="TableRow"/>
              <w:ind w:left="0" w:right="0"/>
              <w:rPr>
                <w:rFonts w:cs="Arial"/>
                <w:i/>
                <w:sz w:val="22"/>
              </w:rPr>
            </w:pPr>
            <w:r w:rsidRPr="002C68FF">
              <w:rPr>
                <w:rFonts w:cs="Arial"/>
              </w:rPr>
              <w:t>Breakfast club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F1D7CA9" w:rsidR="00E66558" w:rsidRPr="002C68FF" w:rsidRDefault="002C68FF" w:rsidP="00C31636">
            <w:pPr>
              <w:pStyle w:val="TableRowCentered"/>
              <w:ind w:left="0" w:right="0"/>
              <w:jc w:val="left"/>
              <w:rPr>
                <w:rFonts w:cs="Arial"/>
                <w:sz w:val="22"/>
              </w:rPr>
            </w:pPr>
            <w:r w:rsidRPr="002C68FF">
              <w:rPr>
                <w:rFonts w:cs="Arial"/>
              </w:rPr>
              <w:t>Improves readiness to learn and supports attendance (DfE/EEF).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5210BE2" w:rsidR="00E66558" w:rsidRPr="002C68FF" w:rsidRDefault="002C68FF" w:rsidP="00C31636">
            <w:pPr>
              <w:pStyle w:val="TableRowCentered"/>
              <w:ind w:left="0" w:right="0"/>
              <w:jc w:val="left"/>
              <w:rPr>
                <w:rFonts w:cs="Arial"/>
                <w:sz w:val="22"/>
              </w:rPr>
            </w:pPr>
            <w:r w:rsidRPr="002C68FF">
              <w:rPr>
                <w:rFonts w:cs="Arial"/>
                <w:sz w:val="22"/>
              </w:rPr>
              <w:t>2,5</w:t>
            </w:r>
          </w:p>
        </w:tc>
      </w:tr>
      <w:tr w:rsidR="002C68FF" w:rsidRPr="002C68FF" w14:paraId="6B204C2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AE96" w14:textId="3D01DAAC" w:rsidR="002C68FF" w:rsidRPr="002C68FF" w:rsidRDefault="002C68FF" w:rsidP="00C31636">
            <w:pPr>
              <w:pStyle w:val="TableRow"/>
              <w:ind w:left="0" w:right="0"/>
              <w:rPr>
                <w:rFonts w:cs="Arial"/>
              </w:rPr>
            </w:pPr>
            <w:r w:rsidRPr="002C68FF">
              <w:rPr>
                <w:rFonts w:cs="Arial"/>
              </w:rPr>
              <w:t>Enrichment activities and educational visits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E72A8" w14:textId="2AB06E20" w:rsidR="002C68FF" w:rsidRPr="002C68FF" w:rsidRDefault="002C68FF" w:rsidP="00C31636">
            <w:pPr>
              <w:pStyle w:val="TableRowCentered"/>
              <w:ind w:left="0" w:right="0"/>
              <w:jc w:val="left"/>
              <w:rPr>
                <w:rFonts w:cs="Arial"/>
              </w:rPr>
            </w:pPr>
            <w:r w:rsidRPr="002C68FF">
              <w:rPr>
                <w:rFonts w:cs="Arial"/>
              </w:rPr>
              <w:t>Builds cultural capital and engagement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596C" w14:textId="60D7A72B" w:rsidR="002C68FF" w:rsidRPr="002C68FF" w:rsidRDefault="002C68FF" w:rsidP="00C31636">
            <w:pPr>
              <w:pStyle w:val="TableRowCentered"/>
              <w:ind w:left="0" w:right="0"/>
              <w:jc w:val="left"/>
              <w:rPr>
                <w:rFonts w:cs="Arial"/>
                <w:sz w:val="22"/>
              </w:rPr>
            </w:pPr>
            <w:r w:rsidRPr="002C68FF">
              <w:rPr>
                <w:rFonts w:cs="Arial"/>
                <w:sz w:val="22"/>
              </w:rPr>
              <w:t>3</w:t>
            </w:r>
          </w:p>
        </w:tc>
      </w:tr>
      <w:tr w:rsidR="002C68FF" w:rsidRPr="002C68FF" w14:paraId="272A9A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D1C5" w14:textId="4CB59735" w:rsidR="002C68FF" w:rsidRPr="002C68FF" w:rsidRDefault="002C68FF" w:rsidP="00C31636">
            <w:pPr>
              <w:pStyle w:val="TableRow"/>
              <w:ind w:left="0" w:right="0"/>
              <w:rPr>
                <w:rFonts w:cs="Arial"/>
              </w:rPr>
            </w:pPr>
            <w:r w:rsidRPr="002C68FF">
              <w:rPr>
                <w:rFonts w:cs="Arial"/>
              </w:rPr>
              <w:t>Pastoral and family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5498F" w14:textId="702821DB" w:rsidR="002C68FF" w:rsidRPr="002C68FF" w:rsidRDefault="002C68FF" w:rsidP="00C31636">
            <w:pPr>
              <w:pStyle w:val="TableRowCentered"/>
              <w:ind w:left="0" w:right="0"/>
              <w:jc w:val="left"/>
              <w:rPr>
                <w:rFonts w:cs="Arial"/>
              </w:rPr>
            </w:pPr>
            <w:r w:rsidRPr="002C68FF">
              <w:rPr>
                <w:rFonts w:cs="Arial"/>
              </w:rPr>
              <w:t>Reduces wider barriers to learning and improves wellbeing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C85E" w14:textId="3D07C320" w:rsidR="002C68FF" w:rsidRPr="002C68FF" w:rsidRDefault="002C68FF" w:rsidP="00C31636">
            <w:pPr>
              <w:pStyle w:val="TableRowCentered"/>
              <w:ind w:left="0" w:right="0"/>
              <w:jc w:val="left"/>
              <w:rPr>
                <w:rFonts w:cs="Arial"/>
                <w:sz w:val="22"/>
              </w:rPr>
            </w:pPr>
            <w:r w:rsidRPr="002C68FF">
              <w:rPr>
                <w:rFonts w:cs="Arial"/>
                <w:sz w:val="22"/>
              </w:rPr>
              <w:t>5</w:t>
            </w:r>
          </w:p>
        </w:tc>
      </w:tr>
    </w:tbl>
    <w:p w14:paraId="2A7D5540" w14:textId="77777777" w:rsidR="00E66558" w:rsidRPr="002C68FF" w:rsidRDefault="00E66558">
      <w:pPr>
        <w:spacing w:before="240" w:after="0"/>
        <w:rPr>
          <w:rFonts w:cs="Arial"/>
          <w:b/>
          <w:bCs/>
          <w:color w:val="104F75"/>
          <w:sz w:val="28"/>
          <w:szCs w:val="28"/>
        </w:rPr>
      </w:pPr>
    </w:p>
    <w:p w14:paraId="2A7D5541" w14:textId="201EF96B" w:rsidR="00E66558" w:rsidRPr="002C68FF" w:rsidRDefault="009D71E8" w:rsidP="00120AB1">
      <w:pPr>
        <w:rPr>
          <w:rFonts w:cs="Arial"/>
        </w:rPr>
      </w:pPr>
      <w:r w:rsidRPr="002C68FF">
        <w:rPr>
          <w:rFonts w:cs="Arial"/>
          <w:b/>
          <w:bCs/>
          <w:color w:val="104F75"/>
          <w:sz w:val="28"/>
          <w:szCs w:val="28"/>
        </w:rPr>
        <w:t>Total budgeted cost</w:t>
      </w:r>
      <w:r w:rsidR="002C68FF" w:rsidRPr="002C68FF">
        <w:rPr>
          <w:rFonts w:cs="Arial"/>
          <w:b/>
          <w:bCs/>
          <w:color w:val="104F75"/>
          <w:sz w:val="28"/>
          <w:szCs w:val="28"/>
        </w:rPr>
        <w:t>: £90,900</w:t>
      </w:r>
    </w:p>
    <w:p w14:paraId="2A7D5542" w14:textId="18352EC3" w:rsidR="00E66558" w:rsidRPr="002C68FF" w:rsidRDefault="009D71E8" w:rsidP="00064366">
      <w:pPr>
        <w:pStyle w:val="Heading1"/>
        <w:rPr>
          <w:rFonts w:cs="Arial"/>
        </w:rPr>
      </w:pPr>
      <w:r w:rsidRPr="002C68FF">
        <w:rPr>
          <w:rFonts w:cs="Arial"/>
        </w:rPr>
        <w:t>Part B: Review of the previous academic year</w:t>
      </w:r>
    </w:p>
    <w:p w14:paraId="751285B7" w14:textId="72ACB452" w:rsidR="008B6404" w:rsidRPr="002C68FF" w:rsidRDefault="00064366" w:rsidP="00173D4C">
      <w:pPr>
        <w:pStyle w:val="Heading2"/>
        <w:rPr>
          <w:rFonts w:cs="Arial"/>
        </w:rPr>
      </w:pPr>
      <w:r w:rsidRPr="002C68FF">
        <w:rPr>
          <w:rFonts w:cs="Arial"/>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2C68FF"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805A01" w14:textId="77777777" w:rsidR="002C68FF" w:rsidRPr="002C68FF" w:rsidRDefault="002C68FF" w:rsidP="002C68FF">
            <w:pPr>
              <w:pStyle w:val="NormalWeb"/>
              <w:rPr>
                <w:rFonts w:ascii="Arial" w:hAnsi="Arial" w:cs="Arial"/>
              </w:rPr>
            </w:pPr>
            <w:r w:rsidRPr="002C68FF">
              <w:rPr>
                <w:rFonts w:ascii="Arial" w:hAnsi="Arial" w:cs="Arial"/>
              </w:rPr>
              <w:t>The impact of pupil premium spending is reviewed annually using a triangulated approach that draws on IDSR analysis, statutory assessment outcomes, internal school data and attendance and wellbeing information.</w:t>
            </w:r>
          </w:p>
          <w:p w14:paraId="55099C53" w14:textId="77777777" w:rsidR="002C68FF" w:rsidRPr="002C68FF" w:rsidRDefault="002C68FF" w:rsidP="002C68FF">
            <w:pPr>
              <w:pStyle w:val="NormalWeb"/>
              <w:rPr>
                <w:rFonts w:ascii="Arial" w:hAnsi="Arial" w:cs="Arial"/>
              </w:rPr>
            </w:pPr>
            <w:r w:rsidRPr="002C68FF">
              <w:rPr>
                <w:rStyle w:val="Strong"/>
                <w:rFonts w:ascii="Arial" w:hAnsi="Arial" w:cs="Arial"/>
              </w:rPr>
              <w:t>Attainment and progress</w:t>
            </w:r>
            <w:r w:rsidRPr="002C68FF">
              <w:rPr>
                <w:rFonts w:ascii="Arial" w:hAnsi="Arial" w:cs="Arial"/>
              </w:rPr>
              <w:br/>
              <w:t>IDSR and statutory outcomes show that disadvantaged pupils make secure progress over time. End of Key Stage 2 outcomes in reading, mathematics, GPS and combined RWM are above national averages. While outcomes vary year-on-year due to small cohort sizes, the most recent data indicates strong attainment and closing gaps, particularly in reading and mathematics. Writing has been identified as an area for continued refinement.</w:t>
            </w:r>
          </w:p>
          <w:p w14:paraId="6CBEEC53" w14:textId="77777777" w:rsidR="002C68FF" w:rsidRPr="002C68FF" w:rsidRDefault="002C68FF" w:rsidP="002C68FF">
            <w:pPr>
              <w:pStyle w:val="NormalWeb"/>
              <w:rPr>
                <w:rFonts w:ascii="Arial" w:hAnsi="Arial" w:cs="Arial"/>
              </w:rPr>
            </w:pPr>
            <w:r w:rsidRPr="002C68FF">
              <w:rPr>
                <w:rStyle w:val="Strong"/>
                <w:rFonts w:ascii="Arial" w:hAnsi="Arial" w:cs="Arial"/>
              </w:rPr>
              <w:t>Early language and phonics</w:t>
            </w:r>
            <w:r w:rsidRPr="002C68FF">
              <w:rPr>
                <w:rFonts w:ascii="Arial" w:hAnsi="Arial" w:cs="Arial"/>
              </w:rPr>
              <w:br/>
              <w:t>EYFS outcomes show that communication and language is above national, with GLD broadly in line with national figures. Phonics outcomes are in line with national expectations, with targeted support in place for pupils requiring additional time to secure early reading skills.</w:t>
            </w:r>
          </w:p>
          <w:p w14:paraId="737D13A0" w14:textId="77777777" w:rsidR="002C68FF" w:rsidRPr="002C68FF" w:rsidRDefault="002C68FF" w:rsidP="002C68FF">
            <w:pPr>
              <w:pStyle w:val="NormalWeb"/>
              <w:rPr>
                <w:rFonts w:ascii="Arial" w:hAnsi="Arial" w:cs="Arial"/>
              </w:rPr>
            </w:pPr>
            <w:r w:rsidRPr="002C68FF">
              <w:rPr>
                <w:rStyle w:val="Strong"/>
                <w:rFonts w:ascii="Arial" w:hAnsi="Arial" w:cs="Arial"/>
              </w:rPr>
              <w:t>Attendance and engagement</w:t>
            </w:r>
            <w:r w:rsidRPr="002C68FF">
              <w:rPr>
                <w:rFonts w:ascii="Arial" w:hAnsi="Arial" w:cs="Arial"/>
              </w:rPr>
              <w:br/>
              <w:t>Attendance data triangulated with IDSR shows that attendance for disadvantaged pupils is in line with or above national figures. Persistent absence for disadvantaged pupils is below national levels, reflecting the impact of proactive monitoring and family engagement.</w:t>
            </w:r>
          </w:p>
          <w:p w14:paraId="2066DB7C" w14:textId="77777777" w:rsidR="002C68FF" w:rsidRPr="002C68FF" w:rsidRDefault="002C68FF" w:rsidP="002C68FF">
            <w:pPr>
              <w:pStyle w:val="NormalWeb"/>
              <w:rPr>
                <w:rFonts w:ascii="Arial" w:hAnsi="Arial" w:cs="Arial"/>
              </w:rPr>
            </w:pPr>
            <w:r w:rsidRPr="002C68FF">
              <w:rPr>
                <w:rStyle w:val="Strong"/>
                <w:rFonts w:ascii="Arial" w:hAnsi="Arial" w:cs="Arial"/>
              </w:rPr>
              <w:t>Behaviour, wellbeing and family support</w:t>
            </w:r>
            <w:r w:rsidRPr="002C68FF">
              <w:rPr>
                <w:rFonts w:ascii="Arial" w:hAnsi="Arial" w:cs="Arial"/>
              </w:rPr>
              <w:br/>
              <w:t>Behaviour and exclusion rates remain low and in line with national expectations. Pastoral records, pupil voice and parent feedback indicate that targeted wellbeing and family support reduces barriers to learning and improves readiness to learn.</w:t>
            </w:r>
          </w:p>
          <w:p w14:paraId="551D538D" w14:textId="5F0350FC" w:rsidR="002C68FF" w:rsidRPr="002C68FF" w:rsidRDefault="002C68FF" w:rsidP="002C68FF">
            <w:pPr>
              <w:pStyle w:val="NormalWeb"/>
              <w:rPr>
                <w:rFonts w:ascii="Arial" w:hAnsi="Arial" w:cs="Arial"/>
              </w:rPr>
            </w:pPr>
            <w:r w:rsidRPr="002C68FF">
              <w:rPr>
                <w:rFonts w:ascii="Arial" w:hAnsi="Arial" w:cs="Arial"/>
              </w:rPr>
              <w:t>Overall, the school is on track to meet the intended outcomes of the 2025–2028 Pupil Premium Strategy. Annual evaluation ensures that provision remains evidence-informed and responsive to need.</w:t>
            </w:r>
          </w:p>
          <w:p w14:paraId="5023926C" w14:textId="3A429C95" w:rsidR="002C68FF" w:rsidRPr="002C68FF" w:rsidRDefault="002C68FF" w:rsidP="002C68FF">
            <w:pPr>
              <w:pStyle w:val="NormalWeb"/>
              <w:rPr>
                <w:rFonts w:ascii="Arial" w:hAnsi="Arial" w:cs="Arial"/>
              </w:rPr>
            </w:pPr>
            <w:r w:rsidRPr="002C68FF">
              <w:rPr>
                <w:rFonts w:ascii="Arial" w:hAnsi="Arial" w:cs="Arial"/>
              </w:rPr>
              <w:t>This strategy forms part of a whole-school commitment to equity, inclusion and excellence. While pupil premium funding plays a significant role in supporting disadvantaged pupils, outcomes are strengthened through effective leadership, high-quality teaching and strong partnerships with families.</w:t>
            </w:r>
          </w:p>
        </w:tc>
      </w:tr>
    </w:tbl>
    <w:p w14:paraId="2A7D5548" w14:textId="0199D85C" w:rsidR="00E66558" w:rsidRPr="002C68FF" w:rsidRDefault="006D6372" w:rsidP="00A82A98">
      <w:pPr>
        <w:pStyle w:val="Heading2"/>
        <w:rPr>
          <w:rFonts w:cs="Arial"/>
        </w:rPr>
      </w:pPr>
      <w:r w:rsidRPr="002C68FF">
        <w:rPr>
          <w:rFonts w:cs="Arial"/>
        </w:rPr>
        <w:t>E</w:t>
      </w:r>
      <w:r w:rsidR="009D71E8" w:rsidRPr="002C68FF">
        <w:rPr>
          <w:rFonts w:cs="Arial"/>
        </w:rPr>
        <w:t>xternally provided programmes</w:t>
      </w:r>
    </w:p>
    <w:p w14:paraId="2A7D5549" w14:textId="6982BE0C" w:rsidR="00E66558" w:rsidRPr="002C68FF" w:rsidRDefault="0B240EAF" w:rsidP="07FFD3D3">
      <w:pPr>
        <w:rPr>
          <w:rFonts w:cs="Arial"/>
          <w:i/>
          <w:iCs/>
        </w:rPr>
      </w:pPr>
      <w:r w:rsidRPr="002C68FF">
        <w:rPr>
          <w:rFonts w:cs="Arial"/>
          <w:i/>
          <w:iCs/>
        </w:rPr>
        <w:t xml:space="preserve">Please include the names of any non-DfE programmes that you </w:t>
      </w:r>
      <w:r w:rsidR="491E3A64" w:rsidRPr="002C68FF">
        <w:rPr>
          <w:rFonts w:cs="Arial"/>
          <w:i/>
          <w:iCs/>
        </w:rPr>
        <w:t xml:space="preserve">used your pupil premium to fund </w:t>
      </w:r>
      <w:r w:rsidRPr="002C68FF">
        <w:rPr>
          <w:rFonts w:cs="Arial"/>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C68FF"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2C68FF" w:rsidRDefault="009D71E8" w:rsidP="00F54FCB">
            <w:pPr>
              <w:pStyle w:val="TableHeader"/>
              <w:ind w:left="0" w:right="0"/>
              <w:jc w:val="left"/>
              <w:rPr>
                <w:rFonts w:cs="Arial"/>
              </w:rPr>
            </w:pPr>
            <w:r w:rsidRPr="002C68FF">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2C68FF" w:rsidRDefault="009D71E8" w:rsidP="00F54FCB">
            <w:pPr>
              <w:pStyle w:val="TableHeader"/>
              <w:ind w:left="0" w:right="0"/>
              <w:jc w:val="left"/>
              <w:rPr>
                <w:rFonts w:cs="Arial"/>
              </w:rPr>
            </w:pPr>
            <w:r w:rsidRPr="002C68FF">
              <w:rPr>
                <w:rFonts w:cs="Arial"/>
              </w:rPr>
              <w:t>Provider</w:t>
            </w:r>
          </w:p>
        </w:tc>
      </w:tr>
      <w:tr w:rsidR="00E66558" w:rsidRPr="002C68FF"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5"/>
              <w:gridCol w:w="81"/>
            </w:tblGrid>
            <w:tr w:rsidR="002C68FF" w:rsidRPr="002C68FF" w14:paraId="42BD061C" w14:textId="77777777" w:rsidTr="002C68FF">
              <w:trPr>
                <w:tblCellSpacing w:w="15" w:type="dxa"/>
              </w:trPr>
              <w:tc>
                <w:tcPr>
                  <w:tcW w:w="0" w:type="auto"/>
                  <w:vAlign w:val="center"/>
                  <w:hideMark/>
                </w:tcPr>
                <w:p w14:paraId="3DE7380F" w14:textId="77777777" w:rsidR="002C68FF" w:rsidRPr="002C68FF" w:rsidRDefault="002C68FF" w:rsidP="002C68FF">
                  <w:pPr>
                    <w:suppressAutoHyphens w:val="0"/>
                    <w:autoSpaceDN/>
                    <w:spacing w:after="0" w:line="240" w:lineRule="auto"/>
                    <w:rPr>
                      <w:rFonts w:cs="Arial"/>
                      <w:color w:val="auto"/>
                    </w:rPr>
                  </w:pPr>
                  <w:r w:rsidRPr="002C68FF">
                    <w:rPr>
                      <w:rFonts w:cs="Arial"/>
                      <w:color w:val="auto"/>
                    </w:rPr>
                    <w:t>WellComm Speech and Language Toolkit</w:t>
                  </w:r>
                </w:p>
              </w:tc>
              <w:tc>
                <w:tcPr>
                  <w:tcW w:w="0" w:type="auto"/>
                  <w:vAlign w:val="center"/>
                  <w:hideMark/>
                </w:tcPr>
                <w:p w14:paraId="6A5E67B2" w14:textId="2408C550" w:rsidR="002C68FF" w:rsidRPr="002C68FF" w:rsidRDefault="002C68FF" w:rsidP="002C68FF">
                  <w:pPr>
                    <w:suppressAutoHyphens w:val="0"/>
                    <w:autoSpaceDN/>
                    <w:spacing w:after="0" w:line="240" w:lineRule="auto"/>
                    <w:rPr>
                      <w:rFonts w:cs="Arial"/>
                      <w:color w:val="auto"/>
                    </w:rPr>
                  </w:pPr>
                </w:p>
              </w:tc>
            </w:tr>
          </w:tbl>
          <w:p w14:paraId="68A02FF8" w14:textId="77777777" w:rsidR="002C68FF" w:rsidRPr="002C68FF" w:rsidRDefault="002C68FF" w:rsidP="002C68FF">
            <w:pPr>
              <w:suppressAutoHyphens w:val="0"/>
              <w:autoSpaceDN/>
              <w:spacing w:after="0" w:line="240" w:lineRule="auto"/>
              <w:rPr>
                <w:rFonts w:cs="Arial"/>
                <w:vanish/>
                <w:color w:val="auto"/>
              </w:rPr>
            </w:pPr>
          </w:p>
          <w:p w14:paraId="2A7D554D" w14:textId="77777777" w:rsidR="00E66558" w:rsidRPr="002C68FF" w:rsidRDefault="00E66558" w:rsidP="00F54FCB">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F86468E" w:rsidR="00E66558" w:rsidRPr="002C68FF" w:rsidRDefault="002C68FF" w:rsidP="00F54FCB">
            <w:pPr>
              <w:pStyle w:val="TableRowCentered"/>
              <w:ind w:left="0" w:right="0"/>
              <w:jc w:val="left"/>
              <w:rPr>
                <w:rFonts w:cs="Arial"/>
              </w:rPr>
            </w:pPr>
            <w:r w:rsidRPr="002C68FF">
              <w:rPr>
                <w:rFonts w:cs="Arial"/>
                <w:color w:val="auto"/>
              </w:rPr>
              <w:t>GL Assessment</w:t>
            </w:r>
          </w:p>
        </w:tc>
      </w:tr>
      <w:tr w:rsidR="00E66558" w:rsidRPr="002C68FF"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6"/>
              <w:gridCol w:w="2413"/>
            </w:tblGrid>
            <w:tr w:rsidR="002C68FF" w:rsidRPr="002C68FF" w14:paraId="7A4AB8FC" w14:textId="77777777" w:rsidTr="00DF5BCC">
              <w:trPr>
                <w:tblCellSpacing w:w="15" w:type="dxa"/>
              </w:trPr>
              <w:tc>
                <w:tcPr>
                  <w:tcW w:w="0" w:type="auto"/>
                  <w:vAlign w:val="center"/>
                  <w:hideMark/>
                </w:tcPr>
                <w:p w14:paraId="2B3F1E20" w14:textId="77777777" w:rsidR="002C68FF" w:rsidRPr="002C68FF" w:rsidRDefault="002C68FF" w:rsidP="002C68FF">
                  <w:pPr>
                    <w:suppressAutoHyphens w:val="0"/>
                    <w:autoSpaceDN/>
                    <w:spacing w:after="0" w:line="240" w:lineRule="auto"/>
                    <w:rPr>
                      <w:rFonts w:cs="Arial"/>
                      <w:color w:val="auto"/>
                    </w:rPr>
                  </w:pPr>
                  <w:r w:rsidRPr="002C68FF">
                    <w:rPr>
                      <w:rFonts w:cs="Arial"/>
                      <w:color w:val="auto"/>
                    </w:rPr>
                    <w:t>White Rose Maths</w:t>
                  </w:r>
                </w:p>
              </w:tc>
              <w:tc>
                <w:tcPr>
                  <w:tcW w:w="2368" w:type="dxa"/>
                  <w:vAlign w:val="center"/>
                  <w:hideMark/>
                </w:tcPr>
                <w:p w14:paraId="2F736DDE" w14:textId="77777777" w:rsidR="002C68FF" w:rsidRPr="002C68FF" w:rsidRDefault="002C68FF" w:rsidP="002C68FF">
                  <w:pPr>
                    <w:suppressAutoHyphens w:val="0"/>
                    <w:autoSpaceDN/>
                    <w:spacing w:after="0" w:line="240" w:lineRule="auto"/>
                    <w:rPr>
                      <w:rFonts w:cs="Arial"/>
                      <w:color w:val="auto"/>
                    </w:rPr>
                  </w:pPr>
                </w:p>
              </w:tc>
            </w:tr>
          </w:tbl>
          <w:p w14:paraId="2A7D5550" w14:textId="77777777" w:rsidR="00E66558" w:rsidRPr="002C68FF" w:rsidRDefault="00E66558" w:rsidP="00F54FCB">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B057265" w:rsidR="00E66558" w:rsidRPr="002C68FF" w:rsidRDefault="002C68FF" w:rsidP="00F54FCB">
            <w:pPr>
              <w:pStyle w:val="TableRowCentered"/>
              <w:ind w:left="0" w:right="0"/>
              <w:jc w:val="left"/>
              <w:rPr>
                <w:rFonts w:cs="Arial"/>
              </w:rPr>
            </w:pPr>
            <w:r w:rsidRPr="002C68FF">
              <w:rPr>
                <w:rFonts w:cs="Arial"/>
                <w:color w:val="auto"/>
              </w:rPr>
              <w:t>White Rose Education</w:t>
            </w:r>
          </w:p>
        </w:tc>
      </w:tr>
    </w:tbl>
    <w:p w14:paraId="2A7D5553" w14:textId="193B71B2" w:rsidR="00E66558" w:rsidRPr="002C68FF" w:rsidRDefault="00E66558" w:rsidP="0008384B">
      <w:pPr>
        <w:rPr>
          <w:rFonts w:cs="Arial"/>
        </w:rPr>
      </w:pPr>
    </w:p>
    <w:p w14:paraId="188578FB" w14:textId="537EFB51" w:rsidR="0008384B" w:rsidRPr="002C68FF" w:rsidRDefault="0008384B" w:rsidP="0008384B">
      <w:pPr>
        <w:rPr>
          <w:rFonts w:cs="Arial"/>
        </w:rPr>
      </w:pPr>
    </w:p>
    <w:p w14:paraId="497C2CDD" w14:textId="3BD1FD57" w:rsidR="0008384B" w:rsidRPr="002C68FF" w:rsidRDefault="0008384B" w:rsidP="0008384B">
      <w:pPr>
        <w:rPr>
          <w:rFonts w:cs="Arial"/>
        </w:rPr>
      </w:pPr>
    </w:p>
    <w:p w14:paraId="01F0D165" w14:textId="2A2745E0" w:rsidR="0008384B" w:rsidRDefault="0008384B" w:rsidP="0008384B">
      <w:pPr>
        <w:rPr>
          <w:rFonts w:cs="Arial"/>
        </w:rPr>
      </w:pPr>
    </w:p>
    <w:p w14:paraId="3FB071F3" w14:textId="48DBCC74" w:rsidR="002C68FF" w:rsidRDefault="002C68FF" w:rsidP="0008384B">
      <w:pPr>
        <w:rPr>
          <w:rFonts w:cs="Arial"/>
        </w:rPr>
      </w:pPr>
    </w:p>
    <w:p w14:paraId="333F50B6" w14:textId="59DB3466" w:rsidR="002C68FF" w:rsidRDefault="002C68FF" w:rsidP="0008384B">
      <w:pPr>
        <w:rPr>
          <w:rFonts w:cs="Arial"/>
        </w:rPr>
      </w:pPr>
    </w:p>
    <w:p w14:paraId="497618A7" w14:textId="69C28B6E" w:rsidR="002C68FF" w:rsidRDefault="002C68FF" w:rsidP="0008384B">
      <w:pPr>
        <w:rPr>
          <w:rFonts w:cs="Arial"/>
        </w:rPr>
      </w:pPr>
    </w:p>
    <w:p w14:paraId="676BDCBE" w14:textId="48EBE7C4" w:rsidR="002C68FF" w:rsidRDefault="002C68FF" w:rsidP="0008384B">
      <w:pPr>
        <w:rPr>
          <w:rFonts w:cs="Arial"/>
        </w:rPr>
      </w:pPr>
    </w:p>
    <w:p w14:paraId="1D2718E1" w14:textId="6AA5E1C3" w:rsidR="002C68FF" w:rsidRDefault="002C68FF" w:rsidP="0008384B">
      <w:pPr>
        <w:rPr>
          <w:rFonts w:cs="Arial"/>
        </w:rPr>
      </w:pPr>
    </w:p>
    <w:p w14:paraId="78D2F776" w14:textId="003BD9C2" w:rsidR="002C68FF" w:rsidRDefault="002C68FF" w:rsidP="0008384B">
      <w:pPr>
        <w:rPr>
          <w:rFonts w:cs="Arial"/>
        </w:rPr>
      </w:pPr>
    </w:p>
    <w:p w14:paraId="131D97A9" w14:textId="71BE49F4" w:rsidR="002C68FF" w:rsidRDefault="002C68FF" w:rsidP="0008384B">
      <w:pPr>
        <w:rPr>
          <w:rFonts w:cs="Arial"/>
        </w:rPr>
      </w:pPr>
    </w:p>
    <w:p w14:paraId="2C28171E" w14:textId="5B4E6C05" w:rsidR="002C68FF" w:rsidRDefault="002C68FF" w:rsidP="0008384B">
      <w:pPr>
        <w:rPr>
          <w:rFonts w:cs="Arial"/>
        </w:rPr>
      </w:pPr>
    </w:p>
    <w:p w14:paraId="6A92DB33" w14:textId="5D0B28E7" w:rsidR="002C68FF" w:rsidRDefault="002C68FF" w:rsidP="0008384B">
      <w:pPr>
        <w:rPr>
          <w:rFonts w:cs="Arial"/>
        </w:rPr>
      </w:pPr>
    </w:p>
    <w:p w14:paraId="102CFEDC" w14:textId="6BF7E273" w:rsidR="002C68FF" w:rsidRDefault="002C68FF" w:rsidP="0008384B">
      <w:pPr>
        <w:rPr>
          <w:rFonts w:cs="Arial"/>
        </w:rPr>
      </w:pPr>
    </w:p>
    <w:p w14:paraId="1FB74C2B" w14:textId="7C80A5A1" w:rsidR="002C68FF" w:rsidRDefault="002C68FF" w:rsidP="0008384B">
      <w:pPr>
        <w:rPr>
          <w:rFonts w:cs="Arial"/>
        </w:rPr>
      </w:pPr>
    </w:p>
    <w:p w14:paraId="6E5F0985" w14:textId="2C9978CD" w:rsidR="002C68FF" w:rsidRDefault="002C68FF" w:rsidP="0008384B">
      <w:pPr>
        <w:rPr>
          <w:rFonts w:cs="Arial"/>
        </w:rPr>
      </w:pPr>
    </w:p>
    <w:p w14:paraId="16BC2884" w14:textId="616B9B50" w:rsidR="002C68FF" w:rsidRDefault="002C68FF" w:rsidP="0008384B">
      <w:pPr>
        <w:rPr>
          <w:rFonts w:cs="Arial"/>
        </w:rPr>
      </w:pPr>
    </w:p>
    <w:p w14:paraId="78322659" w14:textId="2203E9E7" w:rsidR="002C68FF" w:rsidRDefault="002C68FF" w:rsidP="0008384B">
      <w:pPr>
        <w:rPr>
          <w:rFonts w:cs="Arial"/>
        </w:rPr>
      </w:pPr>
    </w:p>
    <w:p w14:paraId="0B31029C" w14:textId="6B5CCD7B" w:rsidR="002C68FF" w:rsidRDefault="002C68FF" w:rsidP="0008384B">
      <w:pPr>
        <w:rPr>
          <w:rFonts w:cs="Arial"/>
        </w:rPr>
      </w:pPr>
    </w:p>
    <w:p w14:paraId="6243E543" w14:textId="484FA4C8" w:rsidR="002C68FF" w:rsidRDefault="002C68FF" w:rsidP="0008384B">
      <w:pPr>
        <w:rPr>
          <w:rFonts w:cs="Arial"/>
        </w:rPr>
      </w:pPr>
    </w:p>
    <w:p w14:paraId="327174E2" w14:textId="16E723F8" w:rsidR="002C68FF" w:rsidRDefault="002C68FF" w:rsidP="0008384B">
      <w:pPr>
        <w:rPr>
          <w:rFonts w:cs="Arial"/>
        </w:rPr>
      </w:pPr>
    </w:p>
    <w:p w14:paraId="3C5BA31B" w14:textId="77777777" w:rsidR="002C68FF" w:rsidRPr="002C68FF" w:rsidRDefault="002C68FF" w:rsidP="0008384B">
      <w:pPr>
        <w:rPr>
          <w:rFonts w:cs="Arial"/>
        </w:rPr>
      </w:pPr>
    </w:p>
    <w:p w14:paraId="540A892B" w14:textId="3B30AD65" w:rsidR="0008384B" w:rsidRPr="002C68FF" w:rsidRDefault="0008384B" w:rsidP="0008384B">
      <w:pPr>
        <w:pStyle w:val="Heading2"/>
        <w:rPr>
          <w:rFonts w:cs="Arial"/>
        </w:rPr>
      </w:pPr>
      <w:r w:rsidRPr="002C68FF">
        <w:rPr>
          <w:rFonts w:cs="Arial"/>
        </w:rPr>
        <w:t>Service pupil premium funding (optional)</w:t>
      </w:r>
    </w:p>
    <w:tbl>
      <w:tblPr>
        <w:tblStyle w:val="TableGrid"/>
        <w:tblW w:w="0" w:type="auto"/>
        <w:tblLook w:val="04A0" w:firstRow="1" w:lastRow="0" w:firstColumn="1" w:lastColumn="0" w:noHBand="0" w:noVBand="1"/>
      </w:tblPr>
      <w:tblGrid>
        <w:gridCol w:w="9486"/>
      </w:tblGrid>
      <w:tr w:rsidR="00ED5108" w:rsidRPr="002C68FF" w14:paraId="60D4B166" w14:textId="77777777" w:rsidTr="00CA4421">
        <w:tc>
          <w:tcPr>
            <w:tcW w:w="9486" w:type="dxa"/>
            <w:shd w:val="clear" w:color="auto" w:fill="CFDCE3"/>
          </w:tcPr>
          <w:p w14:paraId="4641AE9E" w14:textId="2758D317" w:rsidR="00ED5108" w:rsidRPr="002C68FF" w:rsidRDefault="009D71E8" w:rsidP="00F54FCB">
            <w:pPr>
              <w:spacing w:before="60" w:after="60"/>
              <w:rPr>
                <w:rFonts w:cs="Arial"/>
                <w:b/>
                <w:bCs/>
              </w:rPr>
            </w:pPr>
            <w:r w:rsidRPr="002C68FF">
              <w:rPr>
                <w:rFonts w:cs="Arial"/>
                <w:i/>
                <w:iCs/>
              </w:rPr>
              <w:t xml:space="preserve">For schools that receive this funding, you may wish to provide the following information: </w:t>
            </w:r>
            <w:r w:rsidR="00ED5108" w:rsidRPr="002C68FF">
              <w:rPr>
                <w:rFonts w:cs="Arial"/>
                <w:b/>
                <w:bCs/>
                <w:color w:val="000000"/>
                <w:szCs w:val="28"/>
              </w:rPr>
              <w:t>How our service pupil premium allocation was spent last academic year</w:t>
            </w:r>
          </w:p>
        </w:tc>
      </w:tr>
      <w:tr w:rsidR="00ED5108" w:rsidRPr="002C68FF" w14:paraId="3EA0D00B" w14:textId="77777777" w:rsidTr="00ED5108">
        <w:tc>
          <w:tcPr>
            <w:tcW w:w="9486" w:type="dxa"/>
          </w:tcPr>
          <w:p w14:paraId="5AA67344" w14:textId="77777777" w:rsidR="00ED5108" w:rsidRPr="002C68FF" w:rsidRDefault="00ED5108" w:rsidP="00F54FCB">
            <w:pPr>
              <w:rPr>
                <w:rFonts w:cs="Arial"/>
              </w:rPr>
            </w:pPr>
          </w:p>
        </w:tc>
      </w:tr>
      <w:tr w:rsidR="00ED5108" w:rsidRPr="002C68FF" w14:paraId="2D016C33" w14:textId="77777777" w:rsidTr="00CA4421">
        <w:tc>
          <w:tcPr>
            <w:tcW w:w="9486" w:type="dxa"/>
            <w:shd w:val="clear" w:color="auto" w:fill="CFDCE3"/>
          </w:tcPr>
          <w:p w14:paraId="3A5A15C1" w14:textId="789D6271" w:rsidR="00ED5108" w:rsidRPr="002C68FF" w:rsidRDefault="00ED5108" w:rsidP="00F54FCB">
            <w:pPr>
              <w:spacing w:before="60" w:after="60"/>
              <w:rPr>
                <w:rFonts w:cs="Arial"/>
                <w:b/>
                <w:bCs/>
              </w:rPr>
            </w:pPr>
            <w:r w:rsidRPr="002C68FF">
              <w:rPr>
                <w:rFonts w:cs="Arial"/>
                <w:b/>
                <w:bCs/>
                <w:color w:val="000000"/>
                <w:szCs w:val="28"/>
              </w:rPr>
              <w:t>The impact of that spending on service pupil premium eligible pupils</w:t>
            </w:r>
          </w:p>
        </w:tc>
      </w:tr>
      <w:tr w:rsidR="00ED5108" w:rsidRPr="002C68FF" w14:paraId="703D7ACC" w14:textId="77777777" w:rsidTr="00ED5108">
        <w:tc>
          <w:tcPr>
            <w:tcW w:w="9486" w:type="dxa"/>
          </w:tcPr>
          <w:p w14:paraId="2AA0A743" w14:textId="77777777" w:rsidR="00ED5108" w:rsidRPr="002C68FF" w:rsidRDefault="00ED5108" w:rsidP="00F54FCB">
            <w:pPr>
              <w:rPr>
                <w:rFonts w:cs="Arial"/>
              </w:rPr>
            </w:pPr>
          </w:p>
        </w:tc>
      </w:tr>
    </w:tbl>
    <w:p w14:paraId="2A7D555F" w14:textId="77777777" w:rsidR="00E66558" w:rsidRPr="002C68FF" w:rsidRDefault="00E66558">
      <w:pPr>
        <w:spacing w:after="0" w:line="240" w:lineRule="auto"/>
        <w:rPr>
          <w:rFonts w:cs="Arial"/>
        </w:rPr>
      </w:pPr>
    </w:p>
    <w:p w14:paraId="2A7D5560" w14:textId="77777777" w:rsidR="00E66558" w:rsidRPr="002C68FF" w:rsidRDefault="009D71E8">
      <w:pPr>
        <w:pStyle w:val="Heading1"/>
        <w:rPr>
          <w:rFonts w:cs="Arial"/>
        </w:rPr>
      </w:pPr>
      <w:r w:rsidRPr="002C68FF">
        <w:rPr>
          <w:rFonts w:cs="Arial"/>
        </w:rP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2C68FF"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2C68FF" w:rsidRDefault="009D71E8">
            <w:pPr>
              <w:spacing w:before="120" w:after="120"/>
              <w:rPr>
                <w:rFonts w:cs="Arial"/>
                <w:i/>
                <w:iCs/>
              </w:rPr>
            </w:pPr>
            <w:r w:rsidRPr="002C68FF">
              <w:rPr>
                <w:rFonts w:cs="Arial"/>
                <w:i/>
                <w:iCs/>
              </w:rPr>
              <w:t xml:space="preserve">Use this space to provide any further information about your pupil premium strategy. For example, about </w:t>
            </w:r>
            <w:r w:rsidR="00BE44AC" w:rsidRPr="002C68FF">
              <w:rPr>
                <w:rFonts w:cs="Arial"/>
                <w:i/>
                <w:iCs/>
              </w:rPr>
              <w:t xml:space="preserve">your </w:t>
            </w:r>
            <w:r w:rsidRPr="002C68FF">
              <w:rPr>
                <w:rFonts w:cs="Arial"/>
                <w:i/>
                <w:iCs/>
              </w:rPr>
              <w:t>strategy planning</w:t>
            </w:r>
            <w:r w:rsidR="00F15753" w:rsidRPr="002C68FF">
              <w:rPr>
                <w:rFonts w:cs="Arial"/>
                <w:i/>
                <w:iCs/>
              </w:rPr>
              <w:t>, implementation</w:t>
            </w:r>
            <w:r w:rsidR="00BE44AC" w:rsidRPr="002C68FF">
              <w:rPr>
                <w:rFonts w:cs="Arial"/>
                <w:i/>
                <w:iCs/>
              </w:rPr>
              <w:t xml:space="preserve"> and evaluation,</w:t>
            </w:r>
            <w:r w:rsidRPr="002C68FF">
              <w:rPr>
                <w:rFonts w:cs="Arial"/>
                <w:i/>
                <w:iCs/>
              </w:rPr>
              <w:t xml:space="preserve"> or other activity that you are</w:t>
            </w:r>
            <w:r w:rsidR="00F15753" w:rsidRPr="002C68FF">
              <w:rPr>
                <w:rFonts w:cs="Arial"/>
                <w:i/>
                <w:iCs/>
              </w:rPr>
              <w:t xml:space="preserve"> deliver</w:t>
            </w:r>
            <w:r w:rsidRPr="002C68FF">
              <w:rPr>
                <w:rFonts w:cs="Arial"/>
                <w:i/>
                <w:iCs/>
              </w:rPr>
              <w:t>ing to support disadvantaged pupils that is not dependent on pupil premium funding.</w:t>
            </w:r>
          </w:p>
        </w:tc>
      </w:tr>
      <w:bookmarkEnd w:id="15"/>
      <w:bookmarkEnd w:id="16"/>
      <w:bookmarkEnd w:id="17"/>
    </w:tbl>
    <w:p w14:paraId="2A7D5564" w14:textId="77777777" w:rsidR="00E66558" w:rsidRPr="002C68FF" w:rsidRDefault="00E66558">
      <w:pPr>
        <w:rPr>
          <w:rFonts w:cs="Arial"/>
        </w:rPr>
      </w:pPr>
    </w:p>
    <w:sectPr w:rsidR="00E66558" w:rsidRPr="002C68FF">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A77F7ED" w:rsidR="00C373EA" w:rsidRDefault="009D71E8">
    <w:pPr>
      <w:pStyle w:val="Footer"/>
      <w:ind w:firstLine="4513"/>
    </w:pPr>
    <w:r>
      <w:fldChar w:fldCharType="begin"/>
    </w:r>
    <w:r>
      <w:instrText xml:space="preserve"> PAGE </w:instrText>
    </w:r>
    <w:r>
      <w:fldChar w:fldCharType="separate"/>
    </w:r>
    <w:r w:rsidR="00E176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D2D7BBF"/>
    <w:multiLevelType w:val="multilevel"/>
    <w:tmpl w:val="58D2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8FF"/>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62BA"/>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47655"/>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3B2"/>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1763A"/>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847655"/>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2C6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78157024">
      <w:bodyDiv w:val="1"/>
      <w:marLeft w:val="0"/>
      <w:marRight w:val="0"/>
      <w:marTop w:val="0"/>
      <w:marBottom w:val="0"/>
      <w:divBdr>
        <w:top w:val="none" w:sz="0" w:space="0" w:color="auto"/>
        <w:left w:val="none" w:sz="0" w:space="0" w:color="auto"/>
        <w:bottom w:val="none" w:sz="0" w:space="0" w:color="auto"/>
        <w:right w:val="none" w:sz="0" w:space="0" w:color="auto"/>
      </w:divBdr>
    </w:div>
    <w:div w:id="642199433">
      <w:bodyDiv w:val="1"/>
      <w:marLeft w:val="0"/>
      <w:marRight w:val="0"/>
      <w:marTop w:val="0"/>
      <w:marBottom w:val="0"/>
      <w:divBdr>
        <w:top w:val="none" w:sz="0" w:space="0" w:color="auto"/>
        <w:left w:val="none" w:sz="0" w:space="0" w:color="auto"/>
        <w:bottom w:val="none" w:sz="0" w:space="0" w:color="auto"/>
        <w:right w:val="none" w:sz="0" w:space="0" w:color="auto"/>
      </w:divBdr>
    </w:div>
    <w:div w:id="981156188">
      <w:bodyDiv w:val="1"/>
      <w:marLeft w:val="0"/>
      <w:marRight w:val="0"/>
      <w:marTop w:val="0"/>
      <w:marBottom w:val="0"/>
      <w:divBdr>
        <w:top w:val="none" w:sz="0" w:space="0" w:color="auto"/>
        <w:left w:val="none" w:sz="0" w:space="0" w:color="auto"/>
        <w:bottom w:val="none" w:sz="0" w:space="0" w:color="auto"/>
        <w:right w:val="none" w:sz="0" w:space="0" w:color="auto"/>
      </w:divBdr>
    </w:div>
    <w:div w:id="1085759317">
      <w:bodyDiv w:val="1"/>
      <w:marLeft w:val="0"/>
      <w:marRight w:val="0"/>
      <w:marTop w:val="0"/>
      <w:marBottom w:val="0"/>
      <w:divBdr>
        <w:top w:val="none" w:sz="0" w:space="0" w:color="auto"/>
        <w:left w:val="none" w:sz="0" w:space="0" w:color="auto"/>
        <w:bottom w:val="none" w:sz="0" w:space="0" w:color="auto"/>
        <w:right w:val="none" w:sz="0" w:space="0" w:color="auto"/>
      </w:divBdr>
    </w:div>
    <w:div w:id="1109282261">
      <w:bodyDiv w:val="1"/>
      <w:marLeft w:val="0"/>
      <w:marRight w:val="0"/>
      <w:marTop w:val="0"/>
      <w:marBottom w:val="0"/>
      <w:divBdr>
        <w:top w:val="none" w:sz="0" w:space="0" w:color="auto"/>
        <w:left w:val="none" w:sz="0" w:space="0" w:color="auto"/>
        <w:bottom w:val="none" w:sz="0" w:space="0" w:color="auto"/>
        <w:right w:val="none" w:sz="0" w:space="0" w:color="auto"/>
      </w:divBdr>
    </w:div>
    <w:div w:id="1150902546">
      <w:bodyDiv w:val="1"/>
      <w:marLeft w:val="0"/>
      <w:marRight w:val="0"/>
      <w:marTop w:val="0"/>
      <w:marBottom w:val="0"/>
      <w:divBdr>
        <w:top w:val="none" w:sz="0" w:space="0" w:color="auto"/>
        <w:left w:val="none" w:sz="0" w:space="0" w:color="auto"/>
        <w:bottom w:val="none" w:sz="0" w:space="0" w:color="auto"/>
        <w:right w:val="none" w:sz="0" w:space="0" w:color="auto"/>
      </w:divBdr>
    </w:div>
    <w:div w:id="1253857241">
      <w:bodyDiv w:val="1"/>
      <w:marLeft w:val="0"/>
      <w:marRight w:val="0"/>
      <w:marTop w:val="0"/>
      <w:marBottom w:val="0"/>
      <w:divBdr>
        <w:top w:val="none" w:sz="0" w:space="0" w:color="auto"/>
        <w:left w:val="none" w:sz="0" w:space="0" w:color="auto"/>
        <w:bottom w:val="none" w:sz="0" w:space="0" w:color="auto"/>
        <w:right w:val="none" w:sz="0" w:space="0" w:color="auto"/>
      </w:divBdr>
    </w:div>
    <w:div w:id="1470779357">
      <w:bodyDiv w:val="1"/>
      <w:marLeft w:val="0"/>
      <w:marRight w:val="0"/>
      <w:marTop w:val="0"/>
      <w:marBottom w:val="0"/>
      <w:divBdr>
        <w:top w:val="none" w:sz="0" w:space="0" w:color="auto"/>
        <w:left w:val="none" w:sz="0" w:space="0" w:color="auto"/>
        <w:bottom w:val="none" w:sz="0" w:space="0" w:color="auto"/>
        <w:right w:val="none" w:sz="0" w:space="0" w:color="auto"/>
      </w:divBdr>
    </w:div>
    <w:div w:id="1643346644">
      <w:bodyDiv w:val="1"/>
      <w:marLeft w:val="0"/>
      <w:marRight w:val="0"/>
      <w:marTop w:val="0"/>
      <w:marBottom w:val="0"/>
      <w:divBdr>
        <w:top w:val="none" w:sz="0" w:space="0" w:color="auto"/>
        <w:left w:val="none" w:sz="0" w:space="0" w:color="auto"/>
        <w:bottom w:val="none" w:sz="0" w:space="0" w:color="auto"/>
        <w:right w:val="none" w:sz="0" w:space="0" w:color="auto"/>
      </w:divBdr>
    </w:div>
    <w:div w:id="1677227129">
      <w:bodyDiv w:val="1"/>
      <w:marLeft w:val="0"/>
      <w:marRight w:val="0"/>
      <w:marTop w:val="0"/>
      <w:marBottom w:val="0"/>
      <w:divBdr>
        <w:top w:val="none" w:sz="0" w:space="0" w:color="auto"/>
        <w:left w:val="none" w:sz="0" w:space="0" w:color="auto"/>
        <w:bottom w:val="none" w:sz="0" w:space="0" w:color="auto"/>
        <w:right w:val="none" w:sz="0" w:space="0" w:color="auto"/>
      </w:divBdr>
    </w:div>
    <w:div w:id="1863744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M.Elliott</cp:lastModifiedBy>
  <cp:revision>2</cp:revision>
  <cp:lastPrinted>2025-12-18T11:51:00Z</cp:lastPrinted>
  <dcterms:created xsi:type="dcterms:W3CDTF">2025-12-18T11:52:00Z</dcterms:created>
  <dcterms:modified xsi:type="dcterms:W3CDTF">2025-12-18T11:52:00Z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bf1209f7-f350-437c-a5e5-2875c8c3f946</vt:lpwstr>
  </property>
</Properties>
</file>