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5A97E30F"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w:t>
      </w:r>
      <w:r w:rsidR="00775E2A">
        <w:t xml:space="preserve">2025-2026                </w:t>
      </w:r>
      <w:r w:rsidR="00DD4ED8">
        <w:t>St Andrew’s School</w:t>
      </w:r>
    </w:p>
    <w:p w14:paraId="57AD2424" w14:textId="77777777" w:rsidR="004B1F58" w:rsidRDefault="004B1F58" w:rsidP="004B1F58">
      <w:pPr>
        <w:spacing w:after="0"/>
      </w:pPr>
    </w:p>
    <w:p w14:paraId="16B48015" w14:textId="3F025614" w:rsidR="00E66558" w:rsidRDefault="009D71E8" w:rsidP="00C62989">
      <w:pPr>
        <w:rPr>
          <w:b/>
        </w:rPr>
      </w:pPr>
      <w:r>
        <w:t xml:space="preserve">This statement details our school’s use of pupil </w:t>
      </w:r>
      <w:r w:rsidRPr="005F2600">
        <w:t xml:space="preserve">premium </w:t>
      </w:r>
      <w:r>
        <w:t xml:space="preserve">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18A02D0A" w:rsidR="00E66558" w:rsidRDefault="009D71E8">
      <w:pPr>
        <w:pStyle w:val="Heading2"/>
      </w:pPr>
      <w:r>
        <w:t xml:space="preserve">School </w:t>
      </w:r>
      <w:r w:rsidR="00B507F1">
        <w:t>O</w:t>
      </w:r>
      <w:r>
        <w:t>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2940F3"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56337796" w:rsidR="002940F3" w:rsidRDefault="002940F3" w:rsidP="00C31636">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64D5EF31" w:rsidR="002940F3" w:rsidRDefault="00167C1B" w:rsidP="00C31636">
            <w:pPr>
              <w:pStyle w:val="TableRow"/>
              <w:ind w:left="0" w:right="0"/>
            </w:pPr>
            <w:r>
              <w:t>48 pupils</w:t>
            </w:r>
          </w:p>
        </w:tc>
      </w:tr>
      <w:tr w:rsidR="002940F3"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04774D67" w:rsidR="002940F3" w:rsidRDefault="002940F3" w:rsidP="00C31636">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59A0F6E5" w:rsidR="0022174A" w:rsidRDefault="00280E9E" w:rsidP="00C31636">
            <w:pPr>
              <w:pStyle w:val="TableRow"/>
              <w:ind w:left="0" w:right="0"/>
            </w:pPr>
            <w:r>
              <w:t>15 pupils (31%)</w:t>
            </w:r>
          </w:p>
        </w:tc>
      </w:tr>
      <w:tr w:rsidR="002940F3"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2A82B8D4" w:rsidR="002940F3" w:rsidRDefault="002940F3" w:rsidP="00C31636">
            <w:pPr>
              <w:pStyle w:val="TableRow"/>
              <w:ind w:left="0" w:right="0"/>
            </w:pPr>
            <w:r>
              <w:t xml:space="preserve">Academic year/years that our current pupil premium strategy plan covers </w:t>
            </w:r>
            <w:r w:rsidRPr="1CBF4D92">
              <w:rPr>
                <w:b/>
              </w:rPr>
              <w:t>(</w:t>
            </w:r>
            <w:r w:rsidR="004E57C3" w:rsidRPr="004B4D0A">
              <w:rPr>
                <w:b/>
              </w:rPr>
              <w:t>3-year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F" w14:textId="365683C1" w:rsidR="002940F3" w:rsidRDefault="00F21A63" w:rsidP="00C31636">
            <w:pPr>
              <w:pStyle w:val="TableRow"/>
              <w:ind w:left="0" w:right="0"/>
            </w:pPr>
            <w:r>
              <w:t>202</w:t>
            </w:r>
            <w:r w:rsidR="00775E2A">
              <w:t>4</w:t>
            </w:r>
            <w:r>
              <w:t xml:space="preserve"> – 202</w:t>
            </w:r>
            <w:r w:rsidR="00775E2A">
              <w:t>7</w:t>
            </w:r>
          </w:p>
        </w:tc>
      </w:tr>
      <w:tr w:rsidR="002940F3"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0F472705" w:rsidR="002940F3" w:rsidRDefault="002940F3" w:rsidP="00C31636">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60FD250C" w:rsidR="002940F3" w:rsidRDefault="00F21A63" w:rsidP="00C31636">
            <w:pPr>
              <w:pStyle w:val="TableRow"/>
              <w:ind w:left="0" w:right="0"/>
            </w:pPr>
            <w:r>
              <w:t>December 2025</w:t>
            </w:r>
          </w:p>
        </w:tc>
      </w:tr>
      <w:tr w:rsidR="002940F3"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0C766347" w:rsidR="002940F3" w:rsidRDefault="002940F3" w:rsidP="00C31636">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7629AC1C" w:rsidR="002940F3" w:rsidRDefault="00F21A63" w:rsidP="00C31636">
            <w:pPr>
              <w:pStyle w:val="TableRow"/>
              <w:ind w:left="0" w:right="0"/>
            </w:pPr>
            <w:r>
              <w:t>December 2026</w:t>
            </w:r>
          </w:p>
        </w:tc>
      </w:tr>
      <w:tr w:rsidR="002940F3"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605248E" w:rsidR="002940F3" w:rsidRDefault="002940F3" w:rsidP="00C31636">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0C3A2EA0" w:rsidR="002940F3" w:rsidRDefault="00150602" w:rsidP="00C31636">
            <w:pPr>
              <w:pStyle w:val="TableRow"/>
              <w:ind w:left="0" w:right="0"/>
            </w:pPr>
            <w:r>
              <w:t>Adrian Crossland</w:t>
            </w:r>
          </w:p>
        </w:tc>
      </w:tr>
      <w:tr w:rsidR="002940F3"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5DC091D2" w:rsidR="002940F3" w:rsidRDefault="002940F3" w:rsidP="00C31636">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2524173E" w:rsidR="002940F3" w:rsidRDefault="00150602" w:rsidP="00C31636">
            <w:pPr>
              <w:pStyle w:val="TableRow"/>
              <w:ind w:left="0" w:right="0"/>
            </w:pPr>
            <w:r>
              <w:t>Adrian Crossland</w:t>
            </w:r>
          </w:p>
        </w:tc>
      </w:tr>
      <w:tr w:rsidR="002940F3"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08FA5419" w:rsidR="002940F3" w:rsidRDefault="002940F3" w:rsidP="00C31636">
            <w:pPr>
              <w:pStyle w:val="TableRow"/>
              <w:ind w:left="0" w:right="0"/>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7F46C451" w:rsidR="002940F3" w:rsidRDefault="00150602" w:rsidP="00C31636">
            <w:pPr>
              <w:pStyle w:val="TableRow"/>
              <w:ind w:left="0" w:right="0"/>
            </w:pPr>
            <w:r w:rsidRPr="00F70478">
              <w:rPr>
                <w:highlight w:val="yellow"/>
              </w:rPr>
              <w:t>Chair of Trustees</w:t>
            </w:r>
          </w:p>
        </w:tc>
      </w:tr>
      <w:bookmarkEnd w:id="2"/>
      <w:bookmarkEnd w:id="3"/>
      <w:bookmarkEnd w:id="4"/>
    </w:tbl>
    <w:p w14:paraId="0B2A5FF2" w14:textId="77777777" w:rsidR="00421851" w:rsidRDefault="00421851" w:rsidP="00421851">
      <w:pPr>
        <w:suppressAutoHyphens w:val="0"/>
        <w:spacing w:after="0" w:line="240" w:lineRule="auto"/>
      </w:pPr>
    </w:p>
    <w:p w14:paraId="2F2D9209" w14:textId="77777777" w:rsidR="00421851" w:rsidRDefault="00421851" w:rsidP="00421851">
      <w:pPr>
        <w:suppressAutoHyphens w:val="0"/>
        <w:spacing w:after="0" w:line="240" w:lineRule="auto"/>
      </w:pPr>
    </w:p>
    <w:p w14:paraId="2A7D54D3" w14:textId="73AF827B" w:rsidR="00E66558" w:rsidRDefault="009D71E8" w:rsidP="00E47C0A">
      <w:pPr>
        <w:pStyle w:val="Heading2"/>
      </w:pPr>
      <w:r>
        <w:t>Funding overview</w:t>
      </w:r>
    </w:p>
    <w:p w14:paraId="24DC5532" w14:textId="77777777" w:rsidR="00421851" w:rsidRPr="00421851" w:rsidRDefault="00421851" w:rsidP="00421851">
      <w:pPr>
        <w:suppressAutoHyphens w:val="0"/>
        <w:spacing w:after="0" w:line="240" w:lineRule="auto"/>
        <w:rPr>
          <w:b/>
          <w:color w:val="104F75"/>
          <w:sz w:val="32"/>
          <w:szCs w:val="32"/>
        </w:rPr>
      </w:pP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E66558"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77777777" w:rsidR="00E66558" w:rsidRDefault="009D71E8" w:rsidP="00C31636">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8" w14:textId="47C09BBE" w:rsidR="00E66558" w:rsidRDefault="009D71E8" w:rsidP="00C31636">
            <w:pPr>
              <w:pStyle w:val="TableRow"/>
              <w:ind w:left="0" w:right="0"/>
            </w:pPr>
            <w:r>
              <w:t>£</w:t>
            </w:r>
            <w:r w:rsidR="00616B5C">
              <w:t>22, 885</w:t>
            </w:r>
          </w:p>
        </w:tc>
      </w:tr>
      <w:tr w:rsidR="00E66558"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D" w14:textId="74690F68" w:rsidR="007109F6" w:rsidRPr="005F16B6" w:rsidRDefault="009D71E8" w:rsidP="00C31636">
            <w:pPr>
              <w:pStyle w:val="TableRow"/>
              <w:spacing w:after="120"/>
              <w:ind w:left="0" w:right="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E" w14:textId="43239AAB" w:rsidR="00E66558" w:rsidRDefault="009D71E8" w:rsidP="00C31636">
            <w:pPr>
              <w:pStyle w:val="TableRow"/>
              <w:ind w:left="0" w:right="0"/>
            </w:pPr>
            <w:r>
              <w:t>£</w:t>
            </w:r>
            <w:r w:rsidR="00616B5C">
              <w:t>0</w:t>
            </w:r>
          </w:p>
        </w:tc>
      </w:tr>
      <w:tr w:rsidR="00E66558"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0" w14:textId="77777777" w:rsidR="00E66558" w:rsidRDefault="009D71E8" w:rsidP="00C31636">
            <w:pPr>
              <w:pStyle w:val="TableRow"/>
              <w:spacing w:after="120"/>
              <w:ind w:left="0" w:right="0"/>
              <w:rPr>
                <w:b/>
              </w:rPr>
            </w:pPr>
            <w:r>
              <w:rPr>
                <w:b/>
              </w:rPr>
              <w:t>Total budget for this academic year</w:t>
            </w:r>
          </w:p>
          <w:p w14:paraId="2A7D54E1" w14:textId="77777777" w:rsidR="00E66558" w:rsidRPr="003C4388" w:rsidRDefault="009D71E8" w:rsidP="00C31636">
            <w:pPr>
              <w:pStyle w:val="TableRow"/>
              <w:ind w:left="0" w:right="0"/>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2" w14:textId="39DA5800" w:rsidR="00E66558" w:rsidRDefault="009D71E8" w:rsidP="00C31636">
            <w:pPr>
              <w:pStyle w:val="TableRow"/>
              <w:ind w:left="0" w:right="0"/>
            </w:pPr>
            <w:r>
              <w:t>£</w:t>
            </w:r>
            <w:r w:rsidR="00616B5C">
              <w:t>22,885</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544C5" w14:textId="0305FF45" w:rsidR="001025E5" w:rsidRDefault="001025E5" w:rsidP="001025E5">
            <w:pPr>
              <w:rPr>
                <w:lang w:val="en-US"/>
              </w:rPr>
            </w:pPr>
            <w:r>
              <w:t xml:space="preserve">At St Andrew’s School our ethos and vision </w:t>
            </w:r>
            <w:proofErr w:type="gramStart"/>
            <w:r>
              <w:t>is</w:t>
            </w:r>
            <w:proofErr w:type="gramEnd"/>
            <w:r w:rsidR="00DD321D">
              <w:t>,</w:t>
            </w:r>
            <w:r>
              <w:t xml:space="preserve"> “Encouraging every student through learning, creativity and adventure to become a kind, respectful and independent young adult</w:t>
            </w:r>
            <w:r w:rsidR="00245978">
              <w:t xml:space="preserve"> prepared for the future</w:t>
            </w:r>
            <w:r>
              <w:t xml:space="preserve">.” </w:t>
            </w:r>
            <w:r w:rsidRPr="00AF005D">
              <w:rPr>
                <w:lang w:val="en-US"/>
              </w:rPr>
              <w:t xml:space="preserve">In accordance with Quaker principles </w:t>
            </w:r>
            <w:r>
              <w:rPr>
                <w:lang w:val="en-US"/>
              </w:rPr>
              <w:t>a</w:t>
            </w:r>
            <w:r w:rsidRPr="00AF005D">
              <w:rPr>
                <w:lang w:val="en-US"/>
              </w:rPr>
              <w:t xml:space="preserve">ll members are valued as equals for the important contribution they make to the school and wider community.  </w:t>
            </w:r>
          </w:p>
          <w:p w14:paraId="378594E8" w14:textId="3C2E77FF" w:rsidR="00167C1B" w:rsidRDefault="00627F65" w:rsidP="001025E5">
            <w:pPr>
              <w:rPr>
                <w:lang w:val="en-US"/>
              </w:rPr>
            </w:pPr>
            <w:r>
              <w:rPr>
                <w:lang w:val="en-US"/>
              </w:rPr>
              <w:t>A</w:t>
            </w:r>
            <w:r w:rsidR="00732B89">
              <w:rPr>
                <w:lang w:val="en-US"/>
              </w:rPr>
              <w:t>ll our students have a diagnosis of ASD and social and communication difficulties</w:t>
            </w:r>
            <w:r w:rsidR="00933EF2">
              <w:rPr>
                <w:lang w:val="en-US"/>
              </w:rPr>
              <w:t xml:space="preserve"> identified as part of their EHCP. A</w:t>
            </w:r>
            <w:r>
              <w:rPr>
                <w:lang w:val="en-US"/>
              </w:rPr>
              <w:t xml:space="preserve"> considerable number </w:t>
            </w:r>
            <w:r w:rsidR="00020512">
              <w:rPr>
                <w:lang w:val="en-US"/>
              </w:rPr>
              <w:t xml:space="preserve">of students enter the school with low starting points, both academically and socially, due to students not being able to manage effectively within the mainstream setting or being out of education for an extended period. With this mind, there is a </w:t>
            </w:r>
            <w:r w:rsidR="005E7398">
              <w:rPr>
                <w:lang w:val="en-US"/>
              </w:rPr>
              <w:t xml:space="preserve">high priority </w:t>
            </w:r>
            <w:r w:rsidR="00020512">
              <w:rPr>
                <w:lang w:val="en-US"/>
              </w:rPr>
              <w:t xml:space="preserve">on supporting student wellbeing and their </w:t>
            </w:r>
            <w:r w:rsidR="00FE52ED">
              <w:rPr>
                <w:lang w:val="en-US"/>
              </w:rPr>
              <w:t xml:space="preserve">communication and interaction, and </w:t>
            </w:r>
            <w:r w:rsidR="00020512">
              <w:rPr>
                <w:lang w:val="en-US"/>
              </w:rPr>
              <w:t>social</w:t>
            </w:r>
            <w:r w:rsidR="00FE52ED">
              <w:rPr>
                <w:lang w:val="en-US"/>
              </w:rPr>
              <w:t xml:space="preserve"> </w:t>
            </w:r>
            <w:r w:rsidR="00020512">
              <w:rPr>
                <w:lang w:val="en-US"/>
              </w:rPr>
              <w:t xml:space="preserve">emotional needs. </w:t>
            </w:r>
          </w:p>
          <w:p w14:paraId="609269A2" w14:textId="58122EC4" w:rsidR="00CD6B7A" w:rsidRDefault="00CD6B7A" w:rsidP="001025E5">
            <w:pPr>
              <w:rPr>
                <w:lang w:val="en-US"/>
              </w:rPr>
            </w:pPr>
            <w:r>
              <w:rPr>
                <w:lang w:val="en-US"/>
              </w:rPr>
              <w:t xml:space="preserve">The focus of our pupil premium strategy is supporting our disadvantaged students to achieve their own goals, both academically and socially and make accelerated progress so they can be the best they can be. </w:t>
            </w:r>
            <w:r w:rsidR="005E4843">
              <w:rPr>
                <w:lang w:val="en-US"/>
              </w:rPr>
              <w:t>Our approach</w:t>
            </w:r>
            <w:r w:rsidR="00301777">
              <w:rPr>
                <w:lang w:val="en-US"/>
              </w:rPr>
              <w:t xml:space="preserve"> responds to the needs of individual students</w:t>
            </w:r>
            <w:r w:rsidR="00E209EB">
              <w:rPr>
                <w:lang w:val="en-US"/>
              </w:rPr>
              <w:t>. High quality adaptive teaching and wellbeing support is at the heart of our approach as this wi</w:t>
            </w:r>
            <w:r w:rsidR="000612E0">
              <w:rPr>
                <w:lang w:val="en-US"/>
              </w:rPr>
              <w:t>ll</w:t>
            </w:r>
            <w:r w:rsidR="00E209EB">
              <w:rPr>
                <w:lang w:val="en-US"/>
              </w:rPr>
              <w:t xml:space="preserve"> have the greatest</w:t>
            </w:r>
            <w:r w:rsidR="007011C1">
              <w:rPr>
                <w:lang w:val="en-US"/>
              </w:rPr>
              <w:t xml:space="preserve"> impact in helping our students achieve their full potential. Strategies implemented use evidence informed research to make decision</w:t>
            </w:r>
            <w:r w:rsidR="000612E0">
              <w:rPr>
                <w:lang w:val="en-US"/>
              </w:rPr>
              <w:t>s</w:t>
            </w:r>
            <w:r w:rsidR="007011C1">
              <w:rPr>
                <w:lang w:val="en-US"/>
              </w:rPr>
              <w:t xml:space="preserve"> about how to support students to overcome their barriers.</w:t>
            </w:r>
          </w:p>
          <w:p w14:paraId="017C11C3" w14:textId="77777777" w:rsidR="001025E5" w:rsidRDefault="001025E5" w:rsidP="001025E5">
            <w:r>
              <w:t>The key principles of our strategy are:</w:t>
            </w:r>
          </w:p>
          <w:p w14:paraId="0FC2114D" w14:textId="77777777" w:rsidR="001025E5" w:rsidRDefault="001025E5" w:rsidP="001025E5">
            <w:pPr>
              <w:pStyle w:val="ListParagraph"/>
              <w:numPr>
                <w:ilvl w:val="0"/>
                <w:numId w:val="17"/>
              </w:numPr>
            </w:pPr>
            <w:r>
              <w:t>High expectation for the achievement of all disadvantaged students.</w:t>
            </w:r>
          </w:p>
          <w:p w14:paraId="231E77F0" w14:textId="77777777" w:rsidR="001025E5" w:rsidRDefault="001025E5" w:rsidP="001025E5">
            <w:pPr>
              <w:pStyle w:val="ListParagraph"/>
              <w:numPr>
                <w:ilvl w:val="0"/>
                <w:numId w:val="17"/>
              </w:numPr>
            </w:pPr>
            <w:r>
              <w:t>Early and bespoke intervention at the point where this is identified.</w:t>
            </w:r>
          </w:p>
          <w:p w14:paraId="62EC03AC" w14:textId="77777777" w:rsidR="001025E5" w:rsidRDefault="001025E5" w:rsidP="001025E5">
            <w:pPr>
              <w:pStyle w:val="ListParagraph"/>
              <w:numPr>
                <w:ilvl w:val="0"/>
                <w:numId w:val="17"/>
              </w:numPr>
            </w:pPr>
            <w:r>
              <w:t>The drive and belief that gaps can be closed through targeted support, resources and intervention.</w:t>
            </w:r>
          </w:p>
          <w:p w14:paraId="1355B8A3" w14:textId="77777777" w:rsidR="001025E5" w:rsidRDefault="001025E5" w:rsidP="001025E5">
            <w:pPr>
              <w:pStyle w:val="ListParagraph"/>
              <w:numPr>
                <w:ilvl w:val="0"/>
                <w:numId w:val="17"/>
              </w:numPr>
            </w:pPr>
            <w:r>
              <w:t>Providing targeted academic support for students not making expected progress.</w:t>
            </w:r>
          </w:p>
          <w:p w14:paraId="5A990A99" w14:textId="77777777" w:rsidR="001025E5" w:rsidRDefault="001025E5" w:rsidP="001025E5">
            <w:pPr>
              <w:pStyle w:val="ListParagraph"/>
              <w:numPr>
                <w:ilvl w:val="0"/>
                <w:numId w:val="17"/>
              </w:numPr>
            </w:pPr>
            <w:r>
              <w:t>Support pupils with non-academic barriers such as attendance, behaviour, social emotional and mental health.</w:t>
            </w:r>
          </w:p>
          <w:p w14:paraId="3C387110" w14:textId="52DE2301" w:rsidR="001025E5" w:rsidRDefault="001025E5" w:rsidP="001025E5">
            <w:pPr>
              <w:pStyle w:val="ListParagraph"/>
              <w:numPr>
                <w:ilvl w:val="0"/>
                <w:numId w:val="17"/>
              </w:numPr>
            </w:pPr>
            <w:r>
              <w:t xml:space="preserve">Supporting parents with learning and ensuring that students have opportunities to attend and take part in extra-curricular activities </w:t>
            </w:r>
            <w:r w:rsidR="003C57BF">
              <w:t>and pursue their personal interests, talents and passion.</w:t>
            </w:r>
          </w:p>
          <w:p w14:paraId="2A7D54E9" w14:textId="504CACFD" w:rsidR="00E66558" w:rsidRPr="00AF0618" w:rsidRDefault="00E66558" w:rsidP="00477464">
            <w:pPr>
              <w:pStyle w:val="ListParagraph"/>
              <w:numPr>
                <w:ilvl w:val="0"/>
                <w:numId w:val="0"/>
              </w:numPr>
              <w:ind w:left="720"/>
              <w:rPr>
                <w:i/>
                <w:iCs/>
              </w:rPr>
            </w:pPr>
          </w:p>
        </w:tc>
      </w:tr>
    </w:tbl>
    <w:p w14:paraId="22E6415C" w14:textId="77777777" w:rsidR="000612E0" w:rsidRDefault="000612E0">
      <w:pPr>
        <w:pStyle w:val="Heading2"/>
        <w:spacing w:before="600"/>
      </w:pPr>
    </w:p>
    <w:p w14:paraId="2A7D54EB" w14:textId="5F3DC8F7" w:rsidR="00E66558" w:rsidRPr="008E2334" w:rsidRDefault="000612E0" w:rsidP="008E2334">
      <w:pPr>
        <w:pStyle w:val="Heading2"/>
        <w:spacing w:before="600"/>
      </w:pPr>
      <w:r>
        <w:br w:type="page"/>
      </w:r>
      <w:r w:rsidR="009D71E8">
        <w:lastRenderedPageBreak/>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rsidP="00C31636">
            <w:pPr>
              <w:pStyle w:val="TableHeader"/>
              <w:ind w:left="0" w:right="0"/>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rsidP="00C31636">
            <w:pPr>
              <w:pStyle w:val="TableHeader"/>
              <w:ind w:left="0" w:right="0"/>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77777777" w:rsidR="00E66558" w:rsidRDefault="009D71E8" w:rsidP="00C31636">
            <w:pPr>
              <w:pStyle w:val="TableRow"/>
              <w:ind w:left="0" w:right="0"/>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1" w14:textId="7C390084" w:rsidR="0087253D" w:rsidRPr="00F05AE9" w:rsidRDefault="00BE18FD" w:rsidP="00C31636">
            <w:pPr>
              <w:pStyle w:val="TableRowCentered"/>
              <w:ind w:left="0" w:right="0"/>
              <w:jc w:val="left"/>
            </w:pPr>
            <w:r>
              <w:t xml:space="preserve">Teaching is not always </w:t>
            </w:r>
            <w:r w:rsidR="00F01C71">
              <w:t xml:space="preserve">targeting gaps so that students can address those gaps and secure a strong understanding </w:t>
            </w:r>
            <w:r w:rsidR="00697E82">
              <w:t xml:space="preserve">in English </w:t>
            </w:r>
            <w:r w:rsidR="00F01C71">
              <w:t xml:space="preserve">to enable them to achieve </w:t>
            </w:r>
            <w:r w:rsidR="008E2334">
              <w:t>the best outcomes</w:t>
            </w:r>
            <w:r w:rsidR="00F01C71">
              <w:t>.</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77777777" w:rsidR="00E66558" w:rsidRPr="00E93963" w:rsidRDefault="009D71E8" w:rsidP="00C31636">
            <w:pPr>
              <w:pStyle w:val="TableRow"/>
              <w:ind w:left="0" w:right="0"/>
              <w:rPr>
                <w:szCs w:val="20"/>
              </w:rPr>
            </w:pPr>
            <w:r w:rsidRPr="00E93963">
              <w:rPr>
                <w:szCs w:val="20"/>
              </w:rPr>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4" w14:textId="7FAAFE38" w:rsidR="0087253D" w:rsidRPr="00E93963" w:rsidRDefault="00417E3C" w:rsidP="00C31636">
            <w:pPr>
              <w:pStyle w:val="TableRowCentered"/>
              <w:ind w:left="0" w:right="0"/>
              <w:jc w:val="left"/>
            </w:pPr>
            <w:r>
              <w:t>The assessment ‘flight path’ for students is not always clear and accurately pitched to ensure progress can be accelerated and students secure the best outcomes at the end of KS4.</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77777777" w:rsidR="00E66558" w:rsidRPr="00E93963" w:rsidRDefault="009D71E8" w:rsidP="00C31636">
            <w:pPr>
              <w:pStyle w:val="TableRow"/>
              <w:ind w:left="0" w:right="0"/>
              <w:rPr>
                <w:szCs w:val="20"/>
              </w:rPr>
            </w:pPr>
            <w:r w:rsidRPr="00E93963">
              <w:rPr>
                <w:szCs w:val="20"/>
              </w:rPr>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7" w14:textId="0427E185" w:rsidR="0087253D" w:rsidRPr="00E93963" w:rsidRDefault="001116D2" w:rsidP="00C31636">
            <w:pPr>
              <w:pStyle w:val="TableRowCentered"/>
              <w:ind w:left="0" w:right="0"/>
              <w:jc w:val="left"/>
            </w:pPr>
            <w:r>
              <w:t>Social, emotional and mental health</w:t>
            </w:r>
            <w:r w:rsidR="00517E2A">
              <w:t xml:space="preserve"> needs are prevalent for many of the </w:t>
            </w:r>
            <w:r w:rsidR="00024E13">
              <w:t>students,</w:t>
            </w:r>
            <w:r w:rsidR="00517E2A">
              <w:t xml:space="preserve"> and early intervention and support is needed to help students manage the demands of the school environment</w:t>
            </w:r>
            <w:r w:rsidR="00024E13">
              <w:t xml:space="preserve"> and daily life</w:t>
            </w:r>
            <w:r w:rsidR="00517E2A">
              <w:t>.</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9" w14:textId="77777777" w:rsidR="00E66558" w:rsidRDefault="009D71E8" w:rsidP="00C31636">
            <w:pPr>
              <w:pStyle w:val="TableRow"/>
              <w:ind w:left="0" w:right="0"/>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A" w14:textId="449B2871" w:rsidR="0087253D" w:rsidRPr="003129BD" w:rsidRDefault="001116D2" w:rsidP="00C31636">
            <w:pPr>
              <w:pStyle w:val="TableRowCentered"/>
              <w:ind w:left="0" w:right="0"/>
              <w:jc w:val="left"/>
            </w:pPr>
            <w:r w:rsidRPr="00E93963">
              <w:t>Discussions with parents/ carers have identified that students would like a wider range of ‘Options’ available to study at GCSE level.</w:t>
            </w:r>
          </w:p>
        </w:tc>
      </w:tr>
      <w:tr w:rsidR="0087253D" w14:paraId="704DB0F4"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0ADC04" w14:textId="6F8A7800" w:rsidR="0087253D" w:rsidRDefault="0087253D" w:rsidP="00C31636">
            <w:pPr>
              <w:pStyle w:val="TableRow"/>
              <w:ind w:left="0" w:right="0"/>
              <w:rPr>
                <w:sz w:val="22"/>
                <w:szCs w:val="22"/>
              </w:rPr>
            </w:pPr>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A74D50" w14:textId="336262C6" w:rsidR="007E2C4B" w:rsidRPr="00E93963" w:rsidRDefault="0087253D" w:rsidP="00C31636">
            <w:pPr>
              <w:pStyle w:val="TableRowCentered"/>
              <w:ind w:left="0" w:right="0"/>
              <w:jc w:val="left"/>
            </w:pPr>
            <w:r>
              <w:t xml:space="preserve">Students do not always have the opportunities to access </w:t>
            </w:r>
            <w:r w:rsidR="001F7C06">
              <w:t>extra-curricular opportunities outside of the school environment due to their identified need</w:t>
            </w:r>
            <w:r w:rsidR="00FA470E">
              <w:t>s and the sensory demands of clubs outside of school.</w:t>
            </w:r>
          </w:p>
        </w:tc>
      </w:tr>
    </w:tbl>
    <w:p w14:paraId="2A7D54FF" w14:textId="70DC7FE2" w:rsidR="00E66558" w:rsidRDefault="009D71E8">
      <w:pPr>
        <w:pStyle w:val="Heading2"/>
        <w:spacing w:before="600"/>
      </w:pPr>
      <w:bookmarkStart w:id="16" w:name="_Toc443397160"/>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rsidP="00C31636">
            <w:pPr>
              <w:pStyle w:val="TableHeader"/>
              <w:ind w:left="0" w:right="0"/>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rsidP="00C31636">
            <w:pPr>
              <w:pStyle w:val="TableHeader"/>
              <w:ind w:left="0" w:right="0"/>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8CC3A" w14:textId="515CF53D" w:rsidR="00D27D5D" w:rsidRPr="00D27D5D" w:rsidRDefault="00D27D5D" w:rsidP="00C31636">
            <w:pPr>
              <w:pStyle w:val="TableRow"/>
              <w:ind w:left="0" w:right="0"/>
              <w:rPr>
                <w:b/>
                <w:bCs/>
                <w:sz w:val="22"/>
                <w:szCs w:val="22"/>
              </w:rPr>
            </w:pPr>
            <w:r w:rsidRPr="00D27D5D">
              <w:rPr>
                <w:b/>
                <w:bCs/>
                <w:sz w:val="22"/>
                <w:szCs w:val="22"/>
              </w:rPr>
              <w:t xml:space="preserve">Outcome 1 </w:t>
            </w:r>
            <w:r w:rsidR="00720AEE">
              <w:rPr>
                <w:b/>
                <w:bCs/>
                <w:sz w:val="22"/>
                <w:szCs w:val="22"/>
              </w:rPr>
              <w:t>–</w:t>
            </w:r>
            <w:r w:rsidRPr="00D27D5D">
              <w:rPr>
                <w:b/>
                <w:bCs/>
                <w:sz w:val="22"/>
                <w:szCs w:val="22"/>
              </w:rPr>
              <w:t xml:space="preserve"> English</w:t>
            </w:r>
          </w:p>
          <w:p w14:paraId="2A7D5504" w14:textId="15F206E8" w:rsidR="00E66558" w:rsidRPr="002F0E90" w:rsidRDefault="00E93963" w:rsidP="00C31636">
            <w:pPr>
              <w:pStyle w:val="TableRow"/>
              <w:ind w:left="0" w:right="0"/>
            </w:pPr>
            <w:r w:rsidRPr="002F0E90">
              <w:rPr>
                <w:sz w:val="22"/>
                <w:szCs w:val="22"/>
              </w:rPr>
              <w:t xml:space="preserve">Improved </w:t>
            </w:r>
            <w:r w:rsidR="00D27D5D">
              <w:rPr>
                <w:sz w:val="22"/>
                <w:szCs w:val="22"/>
              </w:rPr>
              <w:t>teaching</w:t>
            </w:r>
            <w:r w:rsidRPr="002F0E90">
              <w:rPr>
                <w:sz w:val="22"/>
                <w:szCs w:val="22"/>
              </w:rPr>
              <w:t xml:space="preserve"> in English shows that a higher number of students are achieving </w:t>
            </w:r>
            <w:r w:rsidR="00E70F1E">
              <w:rPr>
                <w:sz w:val="22"/>
                <w:szCs w:val="22"/>
              </w:rPr>
              <w:t>better outcomes.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045E4" w14:textId="6CD1BF13" w:rsidR="00E66558" w:rsidRDefault="00335EFE" w:rsidP="00C31636">
            <w:pPr>
              <w:pStyle w:val="TableRowCentered"/>
              <w:ind w:left="0" w:right="0"/>
              <w:jc w:val="left"/>
              <w:rPr>
                <w:sz w:val="22"/>
                <w:szCs w:val="22"/>
              </w:rPr>
            </w:pPr>
            <w:r>
              <w:rPr>
                <w:sz w:val="22"/>
                <w:szCs w:val="22"/>
              </w:rPr>
              <w:t xml:space="preserve">Stronger subject knowledge supported by training, CPD and resources that </w:t>
            </w:r>
            <w:r w:rsidR="004F1E3F">
              <w:rPr>
                <w:sz w:val="22"/>
                <w:szCs w:val="22"/>
              </w:rPr>
              <w:t>lead to better targeted teaching and improved outcomes.</w:t>
            </w:r>
          </w:p>
          <w:p w14:paraId="2A7D5505" w14:textId="0D269301" w:rsidR="00BB2B46" w:rsidRDefault="00BB2B46" w:rsidP="00C31636">
            <w:pPr>
              <w:pStyle w:val="TableRowCentered"/>
              <w:ind w:left="0" w:right="0"/>
              <w:jc w:val="left"/>
              <w:rPr>
                <w:sz w:val="22"/>
                <w:szCs w:val="22"/>
              </w:rPr>
            </w:pPr>
            <w:r>
              <w:rPr>
                <w:sz w:val="22"/>
                <w:szCs w:val="22"/>
              </w:rPr>
              <w:t xml:space="preserve">The number of students </w:t>
            </w:r>
            <w:r w:rsidR="00F85655">
              <w:rPr>
                <w:sz w:val="22"/>
                <w:szCs w:val="22"/>
              </w:rPr>
              <w:t>achieving GCSE outcomes will improve.</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D5C7D" w14:textId="59AE6AD1" w:rsidR="00D27D5D" w:rsidRPr="00D27D5D" w:rsidRDefault="00D27D5D" w:rsidP="00C31636">
            <w:pPr>
              <w:pStyle w:val="TableRow"/>
              <w:ind w:left="0" w:right="0"/>
              <w:rPr>
                <w:b/>
                <w:bCs/>
                <w:sz w:val="22"/>
                <w:szCs w:val="22"/>
              </w:rPr>
            </w:pPr>
            <w:r w:rsidRPr="00D27D5D">
              <w:rPr>
                <w:b/>
                <w:bCs/>
                <w:sz w:val="22"/>
                <w:szCs w:val="22"/>
              </w:rPr>
              <w:t xml:space="preserve">Outcome 2 </w:t>
            </w:r>
            <w:r w:rsidR="00720AEE">
              <w:rPr>
                <w:b/>
                <w:bCs/>
                <w:sz w:val="22"/>
                <w:szCs w:val="22"/>
              </w:rPr>
              <w:t>–</w:t>
            </w:r>
            <w:r w:rsidRPr="00D27D5D">
              <w:rPr>
                <w:b/>
                <w:bCs/>
                <w:sz w:val="22"/>
                <w:szCs w:val="22"/>
              </w:rPr>
              <w:t xml:space="preserve"> As</w:t>
            </w:r>
            <w:r>
              <w:rPr>
                <w:b/>
                <w:bCs/>
                <w:sz w:val="22"/>
                <w:szCs w:val="22"/>
              </w:rPr>
              <w:t>s</w:t>
            </w:r>
            <w:r w:rsidRPr="00D27D5D">
              <w:rPr>
                <w:b/>
                <w:bCs/>
                <w:sz w:val="22"/>
                <w:szCs w:val="22"/>
              </w:rPr>
              <w:t>essment</w:t>
            </w:r>
          </w:p>
          <w:p w14:paraId="2A7D5507" w14:textId="718C91D2" w:rsidR="00933EF2" w:rsidRDefault="009474E5" w:rsidP="00C31636">
            <w:pPr>
              <w:pStyle w:val="TableRow"/>
              <w:ind w:left="0" w:right="0"/>
              <w:rPr>
                <w:sz w:val="22"/>
                <w:szCs w:val="22"/>
              </w:rPr>
            </w:pPr>
            <w:r>
              <w:rPr>
                <w:sz w:val="22"/>
                <w:szCs w:val="22"/>
              </w:rPr>
              <w:t xml:space="preserve">Students, staff and parents will have a greater </w:t>
            </w:r>
            <w:r w:rsidR="00335EFE">
              <w:rPr>
                <w:sz w:val="22"/>
                <w:szCs w:val="22"/>
              </w:rPr>
              <w:t>understanding</w:t>
            </w:r>
            <w:r>
              <w:rPr>
                <w:sz w:val="22"/>
                <w:szCs w:val="22"/>
              </w:rPr>
              <w:t xml:space="preserve"> of </w:t>
            </w:r>
            <w:r w:rsidR="005E6E46">
              <w:rPr>
                <w:sz w:val="22"/>
                <w:szCs w:val="22"/>
              </w:rPr>
              <w:t xml:space="preserve">a </w:t>
            </w:r>
            <w:r>
              <w:rPr>
                <w:sz w:val="22"/>
                <w:szCs w:val="22"/>
              </w:rPr>
              <w:t>students</w:t>
            </w:r>
            <w:r w:rsidR="004F1E3F">
              <w:rPr>
                <w:sz w:val="22"/>
                <w:szCs w:val="22"/>
              </w:rPr>
              <w:t>’</w:t>
            </w:r>
            <w:r>
              <w:rPr>
                <w:sz w:val="22"/>
                <w:szCs w:val="22"/>
              </w:rPr>
              <w:t xml:space="preserve"> academic achievements and the ‘flight path’ needed to secure the best outcomes at the end of KS4.</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E157F" w14:textId="77777777" w:rsidR="00335EFE" w:rsidRDefault="00335EFE" w:rsidP="00335EFE">
            <w:pPr>
              <w:pStyle w:val="TableRowCentered"/>
              <w:ind w:left="0" w:right="0"/>
              <w:jc w:val="left"/>
              <w:rPr>
                <w:sz w:val="22"/>
                <w:szCs w:val="22"/>
              </w:rPr>
            </w:pPr>
            <w:r>
              <w:rPr>
                <w:sz w:val="22"/>
                <w:szCs w:val="22"/>
              </w:rPr>
              <w:t>A greater understanding of students’ academic achievements so that teaching can target identified gaps and build on strengths.</w:t>
            </w:r>
          </w:p>
          <w:p w14:paraId="2A7D5508" w14:textId="77777777" w:rsidR="00E66558" w:rsidRDefault="00E66558" w:rsidP="00C31636">
            <w:pPr>
              <w:pStyle w:val="TableRowCentered"/>
              <w:ind w:left="0" w:right="0"/>
              <w:jc w:val="left"/>
              <w:rPr>
                <w:sz w:val="22"/>
                <w:szCs w:val="22"/>
              </w:rPr>
            </w:pP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2F038" w14:textId="11D993F7" w:rsidR="00D27D5D" w:rsidRPr="00D27D5D" w:rsidRDefault="00D27D5D" w:rsidP="00C31636">
            <w:pPr>
              <w:pStyle w:val="TableRow"/>
              <w:ind w:left="0" w:right="0"/>
              <w:rPr>
                <w:b/>
                <w:bCs/>
                <w:sz w:val="22"/>
                <w:szCs w:val="22"/>
              </w:rPr>
            </w:pPr>
            <w:r w:rsidRPr="00D27D5D">
              <w:rPr>
                <w:b/>
                <w:bCs/>
                <w:sz w:val="22"/>
                <w:szCs w:val="22"/>
              </w:rPr>
              <w:t>Outcome 3 – Student wellbeing</w:t>
            </w:r>
          </w:p>
          <w:p w14:paraId="2A7D550A" w14:textId="325E68B3" w:rsidR="00E66558" w:rsidRDefault="0015160E" w:rsidP="00C31636">
            <w:pPr>
              <w:pStyle w:val="TableRow"/>
              <w:ind w:left="0" w:right="0"/>
              <w:rPr>
                <w:sz w:val="22"/>
                <w:szCs w:val="22"/>
              </w:rPr>
            </w:pPr>
            <w:r>
              <w:rPr>
                <w:sz w:val="22"/>
                <w:szCs w:val="22"/>
              </w:rPr>
              <w:t xml:space="preserve">The wellbeing of all </w:t>
            </w:r>
            <w:r w:rsidR="00FA05CB">
              <w:rPr>
                <w:sz w:val="22"/>
                <w:szCs w:val="22"/>
              </w:rPr>
              <w:t>student</w:t>
            </w:r>
            <w:r>
              <w:rPr>
                <w:sz w:val="22"/>
                <w:szCs w:val="22"/>
              </w:rPr>
              <w:t>s in school continues</w:t>
            </w:r>
            <w:r w:rsidR="00191BE2">
              <w:rPr>
                <w:sz w:val="22"/>
                <w:szCs w:val="22"/>
              </w:rPr>
              <w:t xml:space="preserve"> </w:t>
            </w:r>
            <w:r w:rsidR="007F3F2F">
              <w:rPr>
                <w:sz w:val="22"/>
                <w:szCs w:val="22"/>
              </w:rPr>
              <w:t>to be a pr</w:t>
            </w:r>
            <w:r w:rsidR="00CB59B3">
              <w:rPr>
                <w:sz w:val="22"/>
                <w:szCs w:val="22"/>
              </w:rPr>
              <w:t xml:space="preserve">iority </w:t>
            </w:r>
            <w:r w:rsidR="00191BE2">
              <w:rPr>
                <w:sz w:val="22"/>
                <w:szCs w:val="22"/>
              </w:rPr>
              <w:t>and any emotional and mental health issues are addressed swiftly with targeted early intervention.</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25DCC" w14:textId="5BCFB0D0" w:rsidR="00E66558" w:rsidRDefault="00B07FA0" w:rsidP="00C31636">
            <w:pPr>
              <w:pStyle w:val="TableRowCentered"/>
              <w:ind w:left="0" w:right="0"/>
              <w:jc w:val="left"/>
              <w:rPr>
                <w:sz w:val="22"/>
                <w:szCs w:val="22"/>
              </w:rPr>
            </w:pPr>
            <w:r>
              <w:rPr>
                <w:sz w:val="22"/>
                <w:szCs w:val="22"/>
              </w:rPr>
              <w:t>Quantitative data from Thrive Assessment show that students are making progress in the social, emotional and mental health.</w:t>
            </w:r>
          </w:p>
          <w:p w14:paraId="2A7D550B" w14:textId="521272E3" w:rsidR="00B07FA0" w:rsidRDefault="00B07FA0" w:rsidP="00C31636">
            <w:pPr>
              <w:pStyle w:val="TableRowCentered"/>
              <w:ind w:left="0" w:right="0"/>
              <w:jc w:val="left"/>
              <w:rPr>
                <w:sz w:val="22"/>
                <w:szCs w:val="22"/>
              </w:rPr>
            </w:pPr>
            <w:r>
              <w:rPr>
                <w:sz w:val="22"/>
                <w:szCs w:val="22"/>
              </w:rPr>
              <w:t>Students are accessing a range of interventions in school supporting their emotional needs and wellbeing.</w:t>
            </w:r>
          </w:p>
        </w:tc>
      </w:tr>
      <w:tr w:rsidR="00FA470E" w14:paraId="5B3AFCD3"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7DCDA" w14:textId="77777777" w:rsidR="00FA470E" w:rsidRPr="00D27D5D" w:rsidRDefault="00FA470E" w:rsidP="00FA470E">
            <w:pPr>
              <w:pStyle w:val="TableRow"/>
              <w:ind w:left="0" w:right="0"/>
              <w:rPr>
                <w:b/>
                <w:bCs/>
                <w:sz w:val="22"/>
                <w:szCs w:val="22"/>
              </w:rPr>
            </w:pPr>
            <w:r w:rsidRPr="00D27D5D">
              <w:rPr>
                <w:b/>
                <w:bCs/>
                <w:sz w:val="22"/>
                <w:szCs w:val="22"/>
              </w:rPr>
              <w:lastRenderedPageBreak/>
              <w:t>Outcome 4 – ‘Options’ and Careers</w:t>
            </w:r>
          </w:p>
          <w:p w14:paraId="24A07409" w14:textId="4B9C429A" w:rsidR="00FA470E" w:rsidRDefault="00FA470E" w:rsidP="00FA470E">
            <w:pPr>
              <w:pStyle w:val="TableRow"/>
              <w:ind w:left="0" w:right="0"/>
              <w:rPr>
                <w:sz w:val="22"/>
                <w:szCs w:val="22"/>
              </w:rPr>
            </w:pPr>
            <w:r>
              <w:rPr>
                <w:sz w:val="22"/>
                <w:szCs w:val="22"/>
              </w:rPr>
              <w:t>Students will have a greater range of ‘Options’ available to study to meet individual needs and interests to support future careers and life beyond St Andrew’s</w:t>
            </w:r>
            <w:r w:rsidR="002D7292">
              <w:rPr>
                <w:sz w:val="22"/>
                <w:szCs w:val="22"/>
              </w:rPr>
              <w:t xml:space="preserve"> School</w:t>
            </w:r>
            <w:r>
              <w:rPr>
                <w:sz w:val="22"/>
                <w:szCs w:val="22"/>
              </w:rPr>
              <w:t xml:space="preserve">. </w:t>
            </w:r>
          </w:p>
          <w:p w14:paraId="3A9032C5" w14:textId="77777777" w:rsidR="00FA470E" w:rsidRDefault="00FA470E" w:rsidP="00FA470E">
            <w:pPr>
              <w:pStyle w:val="TableRow"/>
              <w:ind w:left="0" w:right="0"/>
              <w:rPr>
                <w:sz w:val="22"/>
                <w:szCs w:val="22"/>
              </w:rPr>
            </w:pPr>
          </w:p>
          <w:p w14:paraId="7FB0D2F6" w14:textId="77777777" w:rsidR="00FA470E" w:rsidRPr="00D27D5D" w:rsidRDefault="00FA470E" w:rsidP="00FA470E">
            <w:pPr>
              <w:pStyle w:val="TableRow"/>
              <w:ind w:left="0" w:right="0"/>
              <w:rPr>
                <w:b/>
                <w:bCs/>
                <w:sz w:val="22"/>
                <w:szCs w:val="22"/>
              </w:rPr>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87D91" w14:textId="77777777" w:rsidR="00FA470E" w:rsidRDefault="00FA470E" w:rsidP="00FA470E">
            <w:pPr>
              <w:pStyle w:val="TableRowCentered"/>
              <w:ind w:left="0" w:right="0"/>
              <w:jc w:val="left"/>
              <w:rPr>
                <w:sz w:val="22"/>
                <w:szCs w:val="22"/>
              </w:rPr>
            </w:pPr>
            <w:r>
              <w:rPr>
                <w:sz w:val="22"/>
                <w:szCs w:val="22"/>
              </w:rPr>
              <w:t>A wider range of ‘Options’ will be available for students to choose.</w:t>
            </w:r>
          </w:p>
          <w:p w14:paraId="3D9A1596" w14:textId="0F9A31FE" w:rsidR="00FA470E" w:rsidRDefault="00FA470E" w:rsidP="00FA470E">
            <w:pPr>
              <w:pStyle w:val="TableRowCentered"/>
              <w:ind w:left="0" w:right="0"/>
              <w:jc w:val="left"/>
              <w:rPr>
                <w:sz w:val="22"/>
                <w:szCs w:val="22"/>
              </w:rPr>
            </w:pPr>
            <w:r>
              <w:rPr>
                <w:sz w:val="22"/>
                <w:szCs w:val="22"/>
              </w:rPr>
              <w:t>Where there is a particular interest, students will access vocational course</w:t>
            </w:r>
            <w:r w:rsidR="00B15EE7">
              <w:rPr>
                <w:sz w:val="22"/>
                <w:szCs w:val="22"/>
              </w:rPr>
              <w:t>s</w:t>
            </w:r>
            <w:r>
              <w:rPr>
                <w:sz w:val="22"/>
                <w:szCs w:val="22"/>
              </w:rPr>
              <w:t xml:space="preserve"> such as </w:t>
            </w:r>
            <w:r w:rsidR="008831AF">
              <w:rPr>
                <w:sz w:val="22"/>
                <w:szCs w:val="22"/>
              </w:rPr>
              <w:t>m</w:t>
            </w:r>
            <w:r>
              <w:rPr>
                <w:sz w:val="22"/>
                <w:szCs w:val="22"/>
              </w:rPr>
              <w:t xml:space="preserve">echanics, </w:t>
            </w:r>
            <w:r w:rsidR="00F80E35">
              <w:rPr>
                <w:sz w:val="22"/>
                <w:szCs w:val="22"/>
              </w:rPr>
              <w:t xml:space="preserve">animation and </w:t>
            </w:r>
            <w:r>
              <w:rPr>
                <w:sz w:val="22"/>
                <w:szCs w:val="22"/>
              </w:rPr>
              <w:t xml:space="preserve">hair and beauty sourced externally. </w:t>
            </w:r>
          </w:p>
        </w:tc>
      </w:tr>
      <w:tr w:rsidR="00FA470E" w14:paraId="3D8B6F8E"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CDCCF" w14:textId="6F462EB7" w:rsidR="00FA470E" w:rsidRDefault="00FA470E" w:rsidP="00FA470E">
            <w:pPr>
              <w:pStyle w:val="TableRow"/>
              <w:ind w:left="0" w:right="0"/>
              <w:rPr>
                <w:b/>
                <w:bCs/>
                <w:sz w:val="22"/>
                <w:szCs w:val="22"/>
              </w:rPr>
            </w:pPr>
            <w:r>
              <w:rPr>
                <w:b/>
                <w:bCs/>
                <w:sz w:val="22"/>
                <w:szCs w:val="22"/>
              </w:rPr>
              <w:t>Outcome 5 – Person</w:t>
            </w:r>
            <w:r w:rsidR="0028374A">
              <w:rPr>
                <w:b/>
                <w:bCs/>
                <w:sz w:val="22"/>
                <w:szCs w:val="22"/>
              </w:rPr>
              <w:t>al</w:t>
            </w:r>
            <w:r>
              <w:rPr>
                <w:b/>
                <w:bCs/>
                <w:sz w:val="22"/>
                <w:szCs w:val="22"/>
              </w:rPr>
              <w:t xml:space="preserve"> interests and extra-curricular activities</w:t>
            </w:r>
          </w:p>
          <w:p w14:paraId="05FFAAAC" w14:textId="5407B2A6" w:rsidR="00FA470E" w:rsidRDefault="00FA470E" w:rsidP="00FA470E">
            <w:pPr>
              <w:pStyle w:val="TableRow"/>
              <w:ind w:left="0" w:right="0"/>
              <w:rPr>
                <w:sz w:val="22"/>
                <w:szCs w:val="22"/>
              </w:rPr>
            </w:pPr>
            <w:r>
              <w:rPr>
                <w:sz w:val="22"/>
                <w:szCs w:val="22"/>
              </w:rPr>
              <w:t>Students will have the opportunities to pursue personal interest</w:t>
            </w:r>
            <w:r w:rsidR="00BB7408">
              <w:rPr>
                <w:sz w:val="22"/>
                <w:szCs w:val="22"/>
              </w:rPr>
              <w:t>s</w:t>
            </w:r>
            <w:r>
              <w:rPr>
                <w:sz w:val="22"/>
                <w:szCs w:val="22"/>
              </w:rPr>
              <w:t>.</w:t>
            </w:r>
          </w:p>
          <w:p w14:paraId="28DCC28A" w14:textId="77777777" w:rsidR="00FA470E" w:rsidRPr="00D27D5D" w:rsidRDefault="00FA470E" w:rsidP="00FA470E">
            <w:pPr>
              <w:pStyle w:val="TableRow"/>
              <w:ind w:left="0" w:right="0"/>
              <w:rPr>
                <w:b/>
                <w:bCs/>
                <w:sz w:val="22"/>
                <w:szCs w:val="22"/>
              </w:rPr>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3482D" w14:textId="77777777" w:rsidR="00FA470E" w:rsidRDefault="00FA470E" w:rsidP="00FA470E">
            <w:pPr>
              <w:pStyle w:val="TableRowCentered"/>
              <w:ind w:left="0" w:right="0"/>
              <w:jc w:val="left"/>
              <w:rPr>
                <w:sz w:val="22"/>
                <w:szCs w:val="22"/>
              </w:rPr>
            </w:pPr>
            <w:r>
              <w:rPr>
                <w:sz w:val="22"/>
                <w:szCs w:val="22"/>
              </w:rPr>
              <w:t>Students will have access to extra-curricular activities such as music, sport and the arts.</w:t>
            </w:r>
          </w:p>
          <w:p w14:paraId="7C34A8F5" w14:textId="77777777" w:rsidR="00FA470E" w:rsidRDefault="00FA470E" w:rsidP="00FA470E">
            <w:pPr>
              <w:pStyle w:val="TableRowCentered"/>
              <w:ind w:left="0" w:right="0"/>
              <w:jc w:val="left"/>
              <w:rPr>
                <w:sz w:val="22"/>
                <w:szCs w:val="22"/>
              </w:rPr>
            </w:pPr>
          </w:p>
          <w:p w14:paraId="0B42AB34" w14:textId="77777777" w:rsidR="00FA470E" w:rsidRDefault="00FA470E" w:rsidP="00FA470E">
            <w:pPr>
              <w:pStyle w:val="TableRowCentered"/>
              <w:ind w:left="0" w:right="0"/>
              <w:jc w:val="left"/>
              <w:rPr>
                <w:sz w:val="22"/>
                <w:szCs w:val="22"/>
              </w:rPr>
            </w:pPr>
            <w:r>
              <w:rPr>
                <w:sz w:val="22"/>
                <w:szCs w:val="22"/>
              </w:rPr>
              <w:t>All opportunities will be inclusive and open to all students regardless of their individual needs or financial barriers.</w:t>
            </w:r>
          </w:p>
          <w:p w14:paraId="381FF875" w14:textId="77777777" w:rsidR="00FA470E" w:rsidRDefault="00FA470E" w:rsidP="00FA470E">
            <w:pPr>
              <w:pStyle w:val="TableRowCentered"/>
              <w:ind w:left="0" w:right="0"/>
              <w:jc w:val="left"/>
              <w:rPr>
                <w:sz w:val="22"/>
                <w:szCs w:val="22"/>
              </w:rPr>
            </w:pPr>
          </w:p>
        </w:tc>
      </w:tr>
    </w:tbl>
    <w:p w14:paraId="60BAD9F6" w14:textId="77777777" w:rsidR="00120AB1" w:rsidRDefault="00120AB1" w:rsidP="00ED5108"/>
    <w:p w14:paraId="2A7D5512" w14:textId="7B489199" w:rsidR="00E66558" w:rsidRDefault="009D71E8">
      <w:pPr>
        <w:pStyle w:val="Heading2"/>
      </w:pPr>
      <w:r>
        <w:t>Activity in this academic year</w:t>
      </w:r>
    </w:p>
    <w:p w14:paraId="2A7D5513" w14:textId="20453EFC" w:rsidR="00E66558" w:rsidRDefault="009D71E8">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4E957536" w:rsidR="00E66558" w:rsidRDefault="009D71E8">
      <w:r w:rsidRPr="000C0B9C">
        <w:rPr>
          <w:highlight w:val="yellow"/>
        </w:rPr>
        <w:t xml:space="preserve">Budgeted cost: </w:t>
      </w:r>
      <w:r w:rsidR="000C0B9C" w:rsidRPr="000C0B9C">
        <w:rPr>
          <w:highlight w:val="yellow"/>
        </w:rPr>
        <w:t>£14,437</w:t>
      </w:r>
    </w:p>
    <w:tbl>
      <w:tblPr>
        <w:tblW w:w="5000" w:type="pct"/>
        <w:tblCellMar>
          <w:left w:w="10" w:type="dxa"/>
          <w:right w:w="10" w:type="dxa"/>
        </w:tblCellMar>
        <w:tblLook w:val="04A0" w:firstRow="1" w:lastRow="0" w:firstColumn="1" w:lastColumn="0" w:noHBand="0" w:noVBand="1"/>
      </w:tblPr>
      <w:tblGrid>
        <w:gridCol w:w="2689"/>
        <w:gridCol w:w="5244"/>
        <w:gridCol w:w="1553"/>
      </w:tblGrid>
      <w:tr w:rsidR="00E66558" w14:paraId="2A7D5519" w14:textId="77777777" w:rsidTr="00BA367A">
        <w:tc>
          <w:tcPr>
            <w:tcW w:w="268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rsidP="00C31636">
            <w:pPr>
              <w:pStyle w:val="TableHeader"/>
              <w:ind w:left="0" w:right="0"/>
              <w:jc w:val="left"/>
            </w:pPr>
            <w:r>
              <w:t>Activity</w:t>
            </w:r>
          </w:p>
        </w:tc>
        <w:tc>
          <w:tcPr>
            <w:tcW w:w="52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rsidP="00C31636">
            <w:pPr>
              <w:pStyle w:val="TableHeader"/>
              <w:ind w:left="0" w:right="0"/>
              <w:jc w:val="left"/>
            </w:pPr>
            <w:r>
              <w:t>Evidence that supports this approach</w:t>
            </w:r>
          </w:p>
        </w:tc>
        <w:tc>
          <w:tcPr>
            <w:tcW w:w="155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rsidP="00C31636">
            <w:pPr>
              <w:pStyle w:val="TableHeader"/>
              <w:ind w:left="0" w:right="0"/>
              <w:jc w:val="left"/>
            </w:pPr>
            <w:r>
              <w:t>Challenge number(s) addressed</w:t>
            </w:r>
          </w:p>
        </w:tc>
      </w:tr>
      <w:tr w:rsidR="00E66558" w14:paraId="2A7D551D" w14:textId="77777777" w:rsidTr="00BA367A">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F4B39" w14:textId="07FEF4B3" w:rsidR="00E66558" w:rsidRDefault="00D0128A" w:rsidP="00C31636">
            <w:pPr>
              <w:pStyle w:val="TableRow"/>
              <w:ind w:left="0" w:right="0"/>
              <w:rPr>
                <w:sz w:val="18"/>
                <w:szCs w:val="18"/>
              </w:rPr>
            </w:pPr>
            <w:r>
              <w:rPr>
                <w:sz w:val="18"/>
                <w:szCs w:val="18"/>
              </w:rPr>
              <w:t>Structured phonics interventions</w:t>
            </w:r>
            <w:r w:rsidR="00BE0861">
              <w:rPr>
                <w:sz w:val="18"/>
                <w:szCs w:val="18"/>
              </w:rPr>
              <w:t>, use of ‘Fresh Start’</w:t>
            </w:r>
            <w:r>
              <w:rPr>
                <w:sz w:val="18"/>
                <w:szCs w:val="18"/>
              </w:rPr>
              <w:t xml:space="preserve"> and small group tuition.</w:t>
            </w:r>
          </w:p>
          <w:p w14:paraId="705C6E15" w14:textId="77777777" w:rsidR="00D0128A" w:rsidRDefault="00D0128A" w:rsidP="00C31636">
            <w:pPr>
              <w:pStyle w:val="TableRow"/>
              <w:ind w:left="0" w:right="0"/>
              <w:rPr>
                <w:sz w:val="18"/>
                <w:szCs w:val="18"/>
              </w:rPr>
            </w:pPr>
          </w:p>
          <w:p w14:paraId="64A89D69" w14:textId="3EB2FFCF" w:rsidR="00BE0861" w:rsidRDefault="00BE0861" w:rsidP="00C31636">
            <w:pPr>
              <w:pStyle w:val="TableRow"/>
              <w:ind w:left="0" w:right="0"/>
              <w:rPr>
                <w:sz w:val="18"/>
                <w:szCs w:val="18"/>
              </w:rPr>
            </w:pPr>
            <w:r>
              <w:rPr>
                <w:sz w:val="18"/>
                <w:szCs w:val="18"/>
              </w:rPr>
              <w:t>Additional Phonics training for staff and English Lead to secure understanding of Read Write Inc</w:t>
            </w:r>
            <w:r w:rsidR="00C90AF2">
              <w:rPr>
                <w:sz w:val="18"/>
                <w:szCs w:val="18"/>
              </w:rPr>
              <w:t xml:space="preserve"> and Fresh Start,</w:t>
            </w:r>
            <w:r>
              <w:rPr>
                <w:sz w:val="18"/>
                <w:szCs w:val="18"/>
              </w:rPr>
              <w:t xml:space="preserve"> and ensure the scheme is used effectively.  </w:t>
            </w:r>
          </w:p>
          <w:p w14:paraId="5E4EC98E" w14:textId="77777777" w:rsidR="00BE0861" w:rsidRDefault="00BE0861" w:rsidP="00C31636">
            <w:pPr>
              <w:pStyle w:val="TableRow"/>
              <w:ind w:left="0" w:right="0"/>
              <w:rPr>
                <w:sz w:val="18"/>
                <w:szCs w:val="18"/>
              </w:rPr>
            </w:pPr>
          </w:p>
          <w:p w14:paraId="2A7D551A" w14:textId="5E6F7286" w:rsidR="00BE0861" w:rsidRPr="00D0128A" w:rsidRDefault="00BE0861" w:rsidP="00C31636">
            <w:pPr>
              <w:pStyle w:val="TableRow"/>
              <w:ind w:left="0" w:right="0"/>
              <w:rPr>
                <w:sz w:val="18"/>
                <w:szCs w:val="18"/>
              </w:rPr>
            </w:pPr>
            <w:r>
              <w:rPr>
                <w:sz w:val="18"/>
                <w:szCs w:val="18"/>
              </w:rPr>
              <w:t>RWI development days and purchase of additional Read Write Inc. resources</w:t>
            </w:r>
            <w:r w:rsidR="00C90AF2">
              <w:rPr>
                <w:sz w:val="18"/>
                <w:szCs w:val="18"/>
              </w:rPr>
              <w:t xml:space="preserve"> to support delivery</w:t>
            </w:r>
            <w:r>
              <w:rPr>
                <w:sz w:val="18"/>
                <w:szCs w:val="18"/>
              </w:rPr>
              <w:t>.</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5F540" w14:textId="77777777" w:rsidR="00E66558" w:rsidRDefault="008428F3" w:rsidP="00C31636">
            <w:pPr>
              <w:pStyle w:val="TableRowCentered"/>
              <w:ind w:left="0" w:right="0"/>
              <w:jc w:val="left"/>
              <w:rPr>
                <w:sz w:val="18"/>
                <w:szCs w:val="16"/>
              </w:rPr>
            </w:pPr>
            <w:hyperlink r:id="rId7" w:history="1">
              <w:r w:rsidR="00287CEC" w:rsidRPr="00762F45">
                <w:rPr>
                  <w:rStyle w:val="Hyperlink"/>
                  <w:sz w:val="18"/>
                  <w:szCs w:val="16"/>
                </w:rPr>
                <w:t>https://educationendowmentfoundation.org.uk/education-evidence/teaching-learning-toolkit/phonics</w:t>
              </w:r>
            </w:hyperlink>
            <w:r w:rsidR="00287CEC">
              <w:rPr>
                <w:sz w:val="18"/>
                <w:szCs w:val="16"/>
              </w:rPr>
              <w:t xml:space="preserve"> </w:t>
            </w:r>
            <w:r w:rsidR="00287CEC" w:rsidRPr="00287CEC">
              <w:rPr>
                <w:sz w:val="18"/>
                <w:szCs w:val="16"/>
              </w:rPr>
              <w:t xml:space="preserve"> </w:t>
            </w:r>
          </w:p>
          <w:p w14:paraId="4ABC8794" w14:textId="77777777" w:rsidR="00B632BC" w:rsidRDefault="00B632BC" w:rsidP="00C31636">
            <w:pPr>
              <w:pStyle w:val="TableRowCentered"/>
              <w:ind w:left="0" w:right="0"/>
              <w:jc w:val="left"/>
              <w:rPr>
                <w:sz w:val="18"/>
                <w:szCs w:val="16"/>
              </w:rPr>
            </w:pPr>
          </w:p>
          <w:p w14:paraId="0FCEC81A" w14:textId="77777777" w:rsidR="00B632BC" w:rsidRDefault="00B632BC" w:rsidP="00C31636">
            <w:pPr>
              <w:pStyle w:val="TableRowCentered"/>
              <w:ind w:left="0" w:right="0"/>
              <w:jc w:val="left"/>
              <w:rPr>
                <w:sz w:val="18"/>
                <w:szCs w:val="16"/>
              </w:rPr>
            </w:pPr>
            <w:r>
              <w:rPr>
                <w:sz w:val="18"/>
                <w:szCs w:val="16"/>
              </w:rPr>
              <w:t xml:space="preserve">Phonics approaches have consistently been found to be effective in supporting </w:t>
            </w:r>
            <w:r w:rsidR="00713B1C">
              <w:rPr>
                <w:sz w:val="18"/>
                <w:szCs w:val="16"/>
              </w:rPr>
              <w:t>e</w:t>
            </w:r>
            <w:r>
              <w:rPr>
                <w:sz w:val="18"/>
                <w:szCs w:val="16"/>
              </w:rPr>
              <w:t xml:space="preserve">arly </w:t>
            </w:r>
            <w:r w:rsidR="00713B1C">
              <w:rPr>
                <w:sz w:val="18"/>
                <w:szCs w:val="16"/>
              </w:rPr>
              <w:t>r</w:t>
            </w:r>
            <w:r>
              <w:rPr>
                <w:sz w:val="18"/>
                <w:szCs w:val="16"/>
              </w:rPr>
              <w:t xml:space="preserve">eading. Teaching phonics is more effective on average that other approaches to early </w:t>
            </w:r>
            <w:r w:rsidR="00713B1C">
              <w:rPr>
                <w:sz w:val="18"/>
                <w:szCs w:val="16"/>
              </w:rPr>
              <w:t>r</w:t>
            </w:r>
            <w:r>
              <w:rPr>
                <w:sz w:val="18"/>
                <w:szCs w:val="16"/>
              </w:rPr>
              <w:t xml:space="preserve">eading. </w:t>
            </w:r>
          </w:p>
          <w:p w14:paraId="33543DB1" w14:textId="77777777" w:rsidR="00713B1C" w:rsidRDefault="00713B1C" w:rsidP="00C31636">
            <w:pPr>
              <w:pStyle w:val="TableRowCentered"/>
              <w:ind w:left="0" w:right="0"/>
              <w:jc w:val="left"/>
              <w:rPr>
                <w:sz w:val="18"/>
                <w:szCs w:val="16"/>
              </w:rPr>
            </w:pPr>
          </w:p>
          <w:p w14:paraId="0910BF48" w14:textId="2B8FBBB6" w:rsidR="00713B1C" w:rsidRDefault="00713B1C" w:rsidP="00C31636">
            <w:pPr>
              <w:pStyle w:val="TableRowCentered"/>
              <w:ind w:left="0" w:right="0"/>
              <w:jc w:val="left"/>
              <w:rPr>
                <w:sz w:val="18"/>
                <w:szCs w:val="16"/>
              </w:rPr>
            </w:pPr>
            <w:r>
              <w:rPr>
                <w:sz w:val="18"/>
                <w:szCs w:val="16"/>
              </w:rPr>
              <w:t>It is possible that some disadvantaged students may not develop phonological awareness at the same rat</w:t>
            </w:r>
            <w:r w:rsidR="00456AE2">
              <w:rPr>
                <w:sz w:val="18"/>
                <w:szCs w:val="16"/>
              </w:rPr>
              <w:t>e</w:t>
            </w:r>
            <w:r>
              <w:rPr>
                <w:sz w:val="18"/>
                <w:szCs w:val="16"/>
              </w:rPr>
              <w:t xml:space="preserve"> as other students, having been exposed to fewer words spoken and books read in the home.</w:t>
            </w:r>
            <w:r w:rsidR="00FC1453">
              <w:rPr>
                <w:sz w:val="18"/>
                <w:szCs w:val="16"/>
              </w:rPr>
              <w:t xml:space="preserve"> Students may not have accessed phonics within their mainstream settings due to their identified additional needs.</w:t>
            </w:r>
          </w:p>
          <w:p w14:paraId="6D642180" w14:textId="77777777" w:rsidR="00FC1453" w:rsidRDefault="00FC1453" w:rsidP="00C31636">
            <w:pPr>
              <w:pStyle w:val="TableRowCentered"/>
              <w:ind w:left="0" w:right="0"/>
              <w:jc w:val="left"/>
              <w:rPr>
                <w:sz w:val="18"/>
                <w:szCs w:val="16"/>
              </w:rPr>
            </w:pPr>
          </w:p>
          <w:p w14:paraId="3DD0B485" w14:textId="77777777" w:rsidR="00FC1453" w:rsidRDefault="00FC1453" w:rsidP="00C31636">
            <w:pPr>
              <w:pStyle w:val="TableRowCentered"/>
              <w:ind w:left="0" w:right="0"/>
              <w:jc w:val="left"/>
              <w:rPr>
                <w:sz w:val="18"/>
                <w:szCs w:val="16"/>
              </w:rPr>
            </w:pPr>
            <w:r>
              <w:rPr>
                <w:sz w:val="18"/>
                <w:szCs w:val="16"/>
              </w:rPr>
              <w:t>Studies in England show the students who are eligible for free school meals typically receive similar or slightly greater benefit from p</w:t>
            </w:r>
            <w:r w:rsidR="00F82162">
              <w:rPr>
                <w:sz w:val="18"/>
                <w:szCs w:val="16"/>
              </w:rPr>
              <w:t>honics interventions. This is likely to be due to the explicit nature of the instruction and intensive support required.</w:t>
            </w:r>
          </w:p>
          <w:p w14:paraId="29BFE036" w14:textId="77777777" w:rsidR="00B871F3" w:rsidRDefault="00B871F3" w:rsidP="00C31636">
            <w:pPr>
              <w:pStyle w:val="TableRowCentered"/>
              <w:ind w:left="0" w:right="0"/>
              <w:jc w:val="left"/>
              <w:rPr>
                <w:sz w:val="18"/>
                <w:szCs w:val="16"/>
              </w:rPr>
            </w:pPr>
          </w:p>
          <w:p w14:paraId="1B564066" w14:textId="77777777" w:rsidR="008E1C3B" w:rsidRDefault="008E1C3B" w:rsidP="00C31636">
            <w:pPr>
              <w:pStyle w:val="TableRowCentered"/>
              <w:ind w:left="0" w:right="0"/>
              <w:jc w:val="left"/>
              <w:rPr>
                <w:sz w:val="18"/>
                <w:szCs w:val="16"/>
              </w:rPr>
            </w:pPr>
          </w:p>
          <w:p w14:paraId="7F4D2358" w14:textId="77777777" w:rsidR="008E1C3B" w:rsidRDefault="008E1C3B" w:rsidP="00C31636">
            <w:pPr>
              <w:pStyle w:val="TableRowCentered"/>
              <w:ind w:left="0" w:right="0"/>
              <w:jc w:val="left"/>
              <w:rPr>
                <w:sz w:val="18"/>
                <w:szCs w:val="16"/>
              </w:rPr>
            </w:pPr>
          </w:p>
          <w:p w14:paraId="2A7D551B" w14:textId="33EE6DFA" w:rsidR="008E1C3B" w:rsidRPr="00287CEC" w:rsidRDefault="008E1C3B" w:rsidP="00C31636">
            <w:pPr>
              <w:pStyle w:val="TableRowCentered"/>
              <w:ind w:left="0" w:right="0"/>
              <w:jc w:val="left"/>
              <w:rPr>
                <w:sz w:val="18"/>
                <w:szCs w:val="16"/>
              </w:rPr>
            </w:pP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006F6" w14:textId="77777777" w:rsidR="00B871F3" w:rsidRDefault="00B871F3" w:rsidP="00C31636">
            <w:pPr>
              <w:pStyle w:val="TableRowCentered"/>
              <w:ind w:left="0" w:right="0"/>
              <w:jc w:val="left"/>
              <w:rPr>
                <w:sz w:val="18"/>
                <w:szCs w:val="18"/>
              </w:rPr>
            </w:pPr>
          </w:p>
          <w:p w14:paraId="2A7D551C" w14:textId="657A5DDE" w:rsidR="00E66558" w:rsidRDefault="00BA367A" w:rsidP="00C31636">
            <w:pPr>
              <w:pStyle w:val="TableRowCentered"/>
              <w:ind w:left="0" w:right="0"/>
              <w:jc w:val="left"/>
              <w:rPr>
                <w:sz w:val="22"/>
              </w:rPr>
            </w:pPr>
            <w:r w:rsidRPr="00BA367A">
              <w:rPr>
                <w:sz w:val="18"/>
                <w:szCs w:val="18"/>
              </w:rPr>
              <w:t>Outcome 1 - English</w:t>
            </w:r>
          </w:p>
        </w:tc>
      </w:tr>
      <w:tr w:rsidR="00E66558" w14:paraId="2A7D5521" w14:textId="77777777" w:rsidTr="00BA367A">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56099" w14:textId="77777777" w:rsidR="00407C66" w:rsidRDefault="00996590" w:rsidP="00C31636">
            <w:pPr>
              <w:pStyle w:val="TableRow"/>
              <w:ind w:left="0" w:right="0"/>
              <w:rPr>
                <w:sz w:val="18"/>
                <w:szCs w:val="18"/>
              </w:rPr>
            </w:pPr>
            <w:r w:rsidRPr="00407C66">
              <w:rPr>
                <w:sz w:val="18"/>
                <w:szCs w:val="18"/>
              </w:rPr>
              <w:lastRenderedPageBreak/>
              <w:t xml:space="preserve">Purchase of </w:t>
            </w:r>
            <w:proofErr w:type="spellStart"/>
            <w:r w:rsidRPr="00407C66">
              <w:rPr>
                <w:sz w:val="18"/>
                <w:szCs w:val="18"/>
              </w:rPr>
              <w:t>PiXL</w:t>
            </w:r>
            <w:proofErr w:type="spellEnd"/>
            <w:r w:rsidRPr="00407C66">
              <w:rPr>
                <w:sz w:val="18"/>
                <w:szCs w:val="18"/>
              </w:rPr>
              <w:t xml:space="preserve"> and use of termly assessments </w:t>
            </w:r>
            <w:r w:rsidR="00407C66" w:rsidRPr="00407C66">
              <w:rPr>
                <w:sz w:val="18"/>
                <w:szCs w:val="18"/>
              </w:rPr>
              <w:t xml:space="preserve">to regularly monitor </w:t>
            </w:r>
            <w:proofErr w:type="spellStart"/>
            <w:r w:rsidR="00407C66" w:rsidRPr="00407C66">
              <w:rPr>
                <w:sz w:val="18"/>
                <w:szCs w:val="18"/>
              </w:rPr>
              <w:t>students</w:t>
            </w:r>
            <w:proofErr w:type="spellEnd"/>
            <w:r w:rsidR="00407C66" w:rsidRPr="00407C66">
              <w:rPr>
                <w:sz w:val="18"/>
                <w:szCs w:val="18"/>
              </w:rPr>
              <w:t xml:space="preserve"> progress and identify reliable benchmarking and a greater understanding of national expectations.</w:t>
            </w:r>
          </w:p>
          <w:p w14:paraId="3159E14E" w14:textId="77777777" w:rsidR="00CB0169" w:rsidRDefault="00CB0169" w:rsidP="00C31636">
            <w:pPr>
              <w:pStyle w:val="TableRow"/>
              <w:ind w:left="0" w:right="0"/>
              <w:rPr>
                <w:sz w:val="18"/>
                <w:szCs w:val="18"/>
              </w:rPr>
            </w:pPr>
          </w:p>
          <w:p w14:paraId="10004858" w14:textId="5819AC1A" w:rsidR="00CB0169" w:rsidRDefault="00CB0169" w:rsidP="00C31636">
            <w:pPr>
              <w:pStyle w:val="TableRow"/>
              <w:ind w:left="0" w:right="0"/>
              <w:rPr>
                <w:sz w:val="18"/>
                <w:szCs w:val="18"/>
              </w:rPr>
            </w:pPr>
            <w:r>
              <w:rPr>
                <w:sz w:val="18"/>
                <w:szCs w:val="18"/>
              </w:rPr>
              <w:t xml:space="preserve">Adapt the use of </w:t>
            </w:r>
            <w:proofErr w:type="spellStart"/>
            <w:r>
              <w:rPr>
                <w:sz w:val="18"/>
                <w:szCs w:val="18"/>
              </w:rPr>
              <w:t>PiXL</w:t>
            </w:r>
            <w:proofErr w:type="spellEnd"/>
            <w:r w:rsidR="00F57AD0">
              <w:rPr>
                <w:sz w:val="18"/>
                <w:szCs w:val="18"/>
              </w:rPr>
              <w:t xml:space="preserve"> </w:t>
            </w:r>
            <w:r>
              <w:rPr>
                <w:sz w:val="18"/>
                <w:szCs w:val="18"/>
              </w:rPr>
              <w:t>so it is purposeful and meets the needs of students</w:t>
            </w:r>
            <w:r w:rsidR="000730F9">
              <w:rPr>
                <w:sz w:val="18"/>
                <w:szCs w:val="18"/>
              </w:rPr>
              <w:t xml:space="preserve"> and provides data to support teaching and learning. </w:t>
            </w:r>
            <w:r>
              <w:rPr>
                <w:sz w:val="18"/>
                <w:szCs w:val="18"/>
              </w:rPr>
              <w:t xml:space="preserve"> </w:t>
            </w:r>
          </w:p>
          <w:p w14:paraId="2A7D551E" w14:textId="2C00E8ED" w:rsidR="00CB0169" w:rsidRPr="00407C66" w:rsidRDefault="00CB0169" w:rsidP="00C31636">
            <w:pPr>
              <w:pStyle w:val="TableRow"/>
              <w:ind w:left="0" w:right="0"/>
              <w:rPr>
                <w:sz w:val="18"/>
                <w:szCs w:val="18"/>
              </w:rPr>
            </w:pP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F" w14:textId="47FCBCDB" w:rsidR="00E66558" w:rsidRDefault="00CB0169" w:rsidP="00C31636">
            <w:pPr>
              <w:pStyle w:val="TableRowCentered"/>
              <w:ind w:left="0" w:right="0"/>
              <w:jc w:val="left"/>
              <w:rPr>
                <w:sz w:val="22"/>
              </w:rPr>
            </w:pPr>
            <w:r w:rsidRPr="00B871F3">
              <w:rPr>
                <w:sz w:val="18"/>
                <w:szCs w:val="16"/>
              </w:rPr>
              <w:t>Standar</w:t>
            </w:r>
            <w:r w:rsidR="000730F9" w:rsidRPr="00B871F3">
              <w:rPr>
                <w:sz w:val="18"/>
                <w:szCs w:val="16"/>
              </w:rPr>
              <w:t xml:space="preserve">dised tests and the comparison with </w:t>
            </w:r>
            <w:proofErr w:type="spellStart"/>
            <w:r w:rsidR="000730F9" w:rsidRPr="00B871F3">
              <w:rPr>
                <w:sz w:val="18"/>
                <w:szCs w:val="16"/>
              </w:rPr>
              <w:t>PiXL</w:t>
            </w:r>
            <w:proofErr w:type="spellEnd"/>
            <w:r w:rsidR="00F45190">
              <w:rPr>
                <w:sz w:val="18"/>
                <w:szCs w:val="16"/>
              </w:rPr>
              <w:t xml:space="preserve"> </w:t>
            </w:r>
            <w:r w:rsidR="00B871F3">
              <w:rPr>
                <w:sz w:val="18"/>
                <w:szCs w:val="16"/>
              </w:rPr>
              <w:t>n</w:t>
            </w:r>
            <w:r w:rsidR="000730F9" w:rsidRPr="00B871F3">
              <w:rPr>
                <w:sz w:val="18"/>
                <w:szCs w:val="16"/>
              </w:rPr>
              <w:t>ational average</w:t>
            </w:r>
            <w:r w:rsidR="00B871F3">
              <w:rPr>
                <w:sz w:val="18"/>
                <w:szCs w:val="16"/>
              </w:rPr>
              <w:t xml:space="preserve"> </w:t>
            </w:r>
            <w:r w:rsidR="00F57AD0">
              <w:rPr>
                <w:sz w:val="18"/>
                <w:szCs w:val="16"/>
              </w:rPr>
              <w:t xml:space="preserve">and national curriculum expectations </w:t>
            </w:r>
            <w:r w:rsidR="00B871F3">
              <w:rPr>
                <w:sz w:val="18"/>
                <w:szCs w:val="16"/>
              </w:rPr>
              <w:t xml:space="preserve">can provide reliable insights into the strength and barriers to learning for each student. This ensures they receive targeted additional support through interventions and adaptive teaching. </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B4387" w14:textId="77777777" w:rsidR="00B871F3" w:rsidRDefault="00B871F3" w:rsidP="00C31636">
            <w:pPr>
              <w:pStyle w:val="TableRowCentered"/>
              <w:ind w:left="0" w:right="0"/>
              <w:jc w:val="left"/>
              <w:rPr>
                <w:sz w:val="18"/>
                <w:szCs w:val="18"/>
              </w:rPr>
            </w:pPr>
          </w:p>
          <w:p w14:paraId="2A7D5520" w14:textId="3570ACA0" w:rsidR="00E66558" w:rsidRDefault="00B871F3" w:rsidP="00C31636">
            <w:pPr>
              <w:pStyle w:val="TableRowCentered"/>
              <w:ind w:left="0" w:right="0"/>
              <w:jc w:val="left"/>
              <w:rPr>
                <w:sz w:val="22"/>
              </w:rPr>
            </w:pPr>
            <w:r w:rsidRPr="00B871F3">
              <w:rPr>
                <w:sz w:val="18"/>
                <w:szCs w:val="18"/>
              </w:rPr>
              <w:t>Outcome 2 - Attainment</w:t>
            </w:r>
          </w:p>
        </w:tc>
      </w:tr>
      <w:tr w:rsidR="00BF73F8" w14:paraId="03BD0F1A" w14:textId="77777777" w:rsidTr="00BA367A">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A11FC" w14:textId="35ED9EA4" w:rsidR="00BF73F8" w:rsidRPr="00CD46C5" w:rsidRDefault="00BF73F8" w:rsidP="00C31636">
            <w:pPr>
              <w:pStyle w:val="TableRow"/>
              <w:ind w:left="0" w:right="0"/>
              <w:rPr>
                <w:color w:val="auto"/>
                <w:sz w:val="18"/>
                <w:szCs w:val="18"/>
              </w:rPr>
            </w:pPr>
            <w:r w:rsidRPr="00CD46C5">
              <w:rPr>
                <w:color w:val="auto"/>
                <w:sz w:val="18"/>
                <w:szCs w:val="18"/>
              </w:rPr>
              <w:t xml:space="preserve">External support for English Lead to </w:t>
            </w:r>
            <w:r w:rsidR="005749A7" w:rsidRPr="00CD46C5">
              <w:rPr>
                <w:color w:val="auto"/>
                <w:sz w:val="18"/>
                <w:szCs w:val="18"/>
              </w:rPr>
              <w:t>ensure that a high quality and well</w:t>
            </w:r>
            <w:r w:rsidR="002624B0" w:rsidRPr="00CD46C5">
              <w:rPr>
                <w:color w:val="auto"/>
                <w:sz w:val="18"/>
                <w:szCs w:val="18"/>
              </w:rPr>
              <w:t>-</w:t>
            </w:r>
            <w:r w:rsidR="005749A7" w:rsidRPr="00CD46C5">
              <w:rPr>
                <w:color w:val="auto"/>
                <w:sz w:val="18"/>
                <w:szCs w:val="18"/>
              </w:rPr>
              <w:t xml:space="preserve">planned English curriculum is delivered to raise academic standards. </w:t>
            </w:r>
          </w:p>
          <w:p w14:paraId="77861D3C" w14:textId="77777777" w:rsidR="005749A7" w:rsidRPr="00CD46C5" w:rsidRDefault="005749A7" w:rsidP="00C31636">
            <w:pPr>
              <w:pStyle w:val="TableRow"/>
              <w:ind w:left="0" w:right="0"/>
              <w:rPr>
                <w:color w:val="auto"/>
                <w:sz w:val="18"/>
                <w:szCs w:val="18"/>
              </w:rPr>
            </w:pPr>
          </w:p>
          <w:p w14:paraId="618B5A36" w14:textId="0013E232" w:rsidR="005749A7" w:rsidRPr="00CD46C5" w:rsidRDefault="005749A7" w:rsidP="00C31636">
            <w:pPr>
              <w:pStyle w:val="TableRow"/>
              <w:ind w:left="0" w:right="0"/>
              <w:rPr>
                <w:color w:val="auto"/>
                <w:sz w:val="18"/>
                <w:szCs w:val="18"/>
              </w:rPr>
            </w:pPr>
            <w:r w:rsidRPr="00CD46C5">
              <w:rPr>
                <w:color w:val="auto"/>
                <w:sz w:val="18"/>
                <w:szCs w:val="18"/>
              </w:rPr>
              <w:t>English support for ECT to support subject knowledge and teaching.</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80B99" w14:textId="5B48F756" w:rsidR="00BF73F8" w:rsidRPr="00CD46C5" w:rsidRDefault="00DB07B5" w:rsidP="00C31636">
            <w:pPr>
              <w:pStyle w:val="TableRowCentered"/>
              <w:ind w:left="0" w:right="0"/>
              <w:jc w:val="left"/>
              <w:rPr>
                <w:color w:val="auto"/>
                <w:sz w:val="18"/>
                <w:szCs w:val="16"/>
              </w:rPr>
            </w:pPr>
            <w:r w:rsidRPr="00CD46C5">
              <w:rPr>
                <w:color w:val="auto"/>
                <w:sz w:val="18"/>
                <w:szCs w:val="16"/>
              </w:rPr>
              <w:t xml:space="preserve">Teacher instruction and carefully planned lessons will target key </w:t>
            </w:r>
            <w:r w:rsidR="0000537E">
              <w:rPr>
                <w:color w:val="auto"/>
                <w:sz w:val="18"/>
                <w:szCs w:val="16"/>
              </w:rPr>
              <w:t>student</w:t>
            </w:r>
            <w:r w:rsidRPr="00CD46C5">
              <w:rPr>
                <w:color w:val="auto"/>
                <w:sz w:val="18"/>
                <w:szCs w:val="16"/>
              </w:rPr>
              <w:t xml:space="preserve">s and outcomes leading to higher attainment. </w:t>
            </w:r>
          </w:p>
          <w:p w14:paraId="2F48ADAC" w14:textId="77777777" w:rsidR="00B5527A" w:rsidRPr="00CD46C5" w:rsidRDefault="00B5527A" w:rsidP="00C31636">
            <w:pPr>
              <w:pStyle w:val="TableRowCentered"/>
              <w:ind w:left="0" w:right="0"/>
              <w:jc w:val="left"/>
              <w:rPr>
                <w:color w:val="auto"/>
                <w:sz w:val="18"/>
                <w:szCs w:val="16"/>
              </w:rPr>
            </w:pPr>
          </w:p>
          <w:p w14:paraId="345179B1" w14:textId="77777777" w:rsidR="00B5527A" w:rsidRPr="00CD46C5" w:rsidRDefault="00B5527A" w:rsidP="00C31636">
            <w:pPr>
              <w:pStyle w:val="TableRowCentered"/>
              <w:ind w:left="0" w:right="0"/>
              <w:jc w:val="left"/>
              <w:rPr>
                <w:color w:val="auto"/>
                <w:sz w:val="18"/>
                <w:szCs w:val="16"/>
              </w:rPr>
            </w:pPr>
            <w:r w:rsidRPr="00CD46C5">
              <w:rPr>
                <w:color w:val="auto"/>
                <w:sz w:val="18"/>
                <w:szCs w:val="16"/>
              </w:rPr>
              <w:t xml:space="preserve">Reading comprehension strategies are high impact on average +6 months. </w:t>
            </w:r>
          </w:p>
          <w:p w14:paraId="528FC263" w14:textId="77777777" w:rsidR="00B5527A" w:rsidRPr="00CD46C5" w:rsidRDefault="008428F3" w:rsidP="00C31636">
            <w:pPr>
              <w:pStyle w:val="TableRowCentered"/>
              <w:ind w:left="0" w:right="0"/>
              <w:jc w:val="left"/>
              <w:rPr>
                <w:color w:val="auto"/>
                <w:sz w:val="18"/>
                <w:szCs w:val="16"/>
              </w:rPr>
            </w:pPr>
            <w:hyperlink r:id="rId8" w:history="1">
              <w:r w:rsidR="00535E41" w:rsidRPr="00CD46C5">
                <w:rPr>
                  <w:rStyle w:val="Hyperlink"/>
                  <w:color w:val="auto"/>
                  <w:sz w:val="18"/>
                  <w:szCs w:val="16"/>
                </w:rPr>
                <w:t>https://educationendowmentfoundation.org.uk/education-evidence/teaching-learning-toolkit/reading-comprehension-strategies</w:t>
              </w:r>
            </w:hyperlink>
            <w:r w:rsidR="00535E41" w:rsidRPr="00CD46C5">
              <w:rPr>
                <w:color w:val="auto"/>
                <w:sz w:val="18"/>
                <w:szCs w:val="16"/>
              </w:rPr>
              <w:t xml:space="preserve"> </w:t>
            </w:r>
          </w:p>
          <w:p w14:paraId="4250A0E3" w14:textId="77777777" w:rsidR="00535E41" w:rsidRPr="00CD46C5" w:rsidRDefault="00535E41" w:rsidP="00C31636">
            <w:pPr>
              <w:pStyle w:val="TableRowCentered"/>
              <w:ind w:left="0" w:right="0"/>
              <w:jc w:val="left"/>
              <w:rPr>
                <w:color w:val="auto"/>
                <w:sz w:val="18"/>
                <w:szCs w:val="16"/>
              </w:rPr>
            </w:pPr>
          </w:p>
          <w:p w14:paraId="3A10C579" w14:textId="032D2B5C" w:rsidR="00535E41" w:rsidRPr="00CD46C5" w:rsidRDefault="00535E41" w:rsidP="00C31636">
            <w:pPr>
              <w:pStyle w:val="TableRowCentered"/>
              <w:ind w:left="0" w:right="0"/>
              <w:jc w:val="left"/>
              <w:rPr>
                <w:color w:val="auto"/>
                <w:sz w:val="18"/>
                <w:szCs w:val="16"/>
              </w:rPr>
            </w:pP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39298" w14:textId="77777777" w:rsidR="00BF73F8" w:rsidRPr="00CD46C5" w:rsidRDefault="00BF73F8" w:rsidP="00C31636">
            <w:pPr>
              <w:pStyle w:val="TableRowCentered"/>
              <w:ind w:left="0" w:right="0"/>
              <w:jc w:val="left"/>
              <w:rPr>
                <w:color w:val="auto"/>
                <w:sz w:val="18"/>
                <w:szCs w:val="18"/>
              </w:rPr>
            </w:pPr>
          </w:p>
          <w:p w14:paraId="30749677" w14:textId="6E39111C" w:rsidR="005E2855" w:rsidRPr="00CD46C5" w:rsidRDefault="005E2855" w:rsidP="00C31636">
            <w:pPr>
              <w:pStyle w:val="TableRowCentered"/>
              <w:ind w:left="0" w:right="0"/>
              <w:jc w:val="left"/>
              <w:rPr>
                <w:color w:val="auto"/>
                <w:sz w:val="18"/>
                <w:szCs w:val="18"/>
              </w:rPr>
            </w:pPr>
            <w:r w:rsidRPr="00CD46C5">
              <w:rPr>
                <w:color w:val="auto"/>
                <w:sz w:val="18"/>
                <w:szCs w:val="18"/>
              </w:rPr>
              <w:t>Outcome 1 - English</w:t>
            </w:r>
          </w:p>
        </w:tc>
      </w:tr>
      <w:tr w:rsidR="003E73F2" w14:paraId="49597413" w14:textId="77777777" w:rsidTr="00BA367A">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D1A91A" w14:textId="77777777" w:rsidR="003E73F2" w:rsidRPr="00CD46C5" w:rsidRDefault="003E73F2" w:rsidP="00C31636">
            <w:pPr>
              <w:pStyle w:val="TableRow"/>
              <w:ind w:left="0" w:right="0"/>
              <w:rPr>
                <w:color w:val="auto"/>
                <w:sz w:val="18"/>
                <w:szCs w:val="18"/>
              </w:rPr>
            </w:pPr>
            <w:r w:rsidRPr="00CD46C5">
              <w:rPr>
                <w:color w:val="auto"/>
                <w:sz w:val="18"/>
                <w:szCs w:val="18"/>
              </w:rPr>
              <w:t xml:space="preserve">Whole school CPD linked to Zones of Regulation so </w:t>
            </w:r>
            <w:r w:rsidR="009566E7" w:rsidRPr="00CD46C5">
              <w:rPr>
                <w:color w:val="auto"/>
                <w:sz w:val="18"/>
                <w:szCs w:val="18"/>
              </w:rPr>
              <w:t>there is a whole school approach to the teaching of self-regulation.</w:t>
            </w:r>
          </w:p>
          <w:p w14:paraId="64FCD91A" w14:textId="21B6AE8C" w:rsidR="009566E7" w:rsidRPr="00CD46C5" w:rsidRDefault="009566E7" w:rsidP="00C31636">
            <w:pPr>
              <w:pStyle w:val="TableRow"/>
              <w:ind w:left="0" w:right="0"/>
              <w:rPr>
                <w:color w:val="auto"/>
                <w:sz w:val="18"/>
                <w:szCs w:val="18"/>
              </w:rPr>
            </w:pP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1C9CA" w14:textId="77777777" w:rsidR="003E73F2" w:rsidRPr="00CD46C5" w:rsidRDefault="00827096" w:rsidP="00C31636">
            <w:pPr>
              <w:pStyle w:val="TableRowCentered"/>
              <w:ind w:left="0" w:right="0"/>
              <w:jc w:val="left"/>
              <w:rPr>
                <w:color w:val="auto"/>
                <w:sz w:val="18"/>
                <w:szCs w:val="16"/>
              </w:rPr>
            </w:pPr>
            <w:r w:rsidRPr="00CD46C5">
              <w:rPr>
                <w:color w:val="auto"/>
                <w:sz w:val="18"/>
                <w:szCs w:val="16"/>
              </w:rPr>
              <w:t>Metacognition and self-regulation strategies can be effect</w:t>
            </w:r>
            <w:r w:rsidR="00C9127B" w:rsidRPr="00CD46C5">
              <w:rPr>
                <w:color w:val="auto"/>
                <w:sz w:val="18"/>
                <w:szCs w:val="16"/>
              </w:rPr>
              <w:t>ive and have been identified as having improved outcomes in English, Maths and Science.</w:t>
            </w:r>
          </w:p>
          <w:p w14:paraId="597D50BD" w14:textId="77777777" w:rsidR="007379C8" w:rsidRPr="00CD46C5" w:rsidRDefault="007379C8" w:rsidP="00C31636">
            <w:pPr>
              <w:pStyle w:val="TableRowCentered"/>
              <w:ind w:left="0" w:right="0"/>
              <w:jc w:val="left"/>
              <w:rPr>
                <w:color w:val="auto"/>
                <w:sz w:val="18"/>
                <w:szCs w:val="16"/>
              </w:rPr>
            </w:pPr>
            <w:r w:rsidRPr="00CD46C5">
              <w:rPr>
                <w:color w:val="auto"/>
                <w:sz w:val="18"/>
                <w:szCs w:val="16"/>
              </w:rPr>
              <w:t>The average impact of metacognition and self-regulation approaches is high (+8 months additional progress).</w:t>
            </w:r>
          </w:p>
          <w:p w14:paraId="5321A6DE" w14:textId="2D5313C5" w:rsidR="007379C8" w:rsidRPr="00CD46C5" w:rsidRDefault="007379C8" w:rsidP="00C31636">
            <w:pPr>
              <w:pStyle w:val="TableRowCentered"/>
              <w:ind w:left="0" w:right="0"/>
              <w:jc w:val="left"/>
              <w:rPr>
                <w:color w:val="auto"/>
                <w:sz w:val="18"/>
                <w:szCs w:val="16"/>
              </w:rPr>
            </w:pP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B661E" w14:textId="0F77DB68" w:rsidR="003E73F2" w:rsidRPr="00CD46C5" w:rsidRDefault="009566E7" w:rsidP="00C31636">
            <w:pPr>
              <w:pStyle w:val="TableRowCentered"/>
              <w:ind w:left="0" w:right="0"/>
              <w:jc w:val="left"/>
              <w:rPr>
                <w:color w:val="auto"/>
                <w:sz w:val="18"/>
                <w:szCs w:val="18"/>
              </w:rPr>
            </w:pPr>
            <w:r w:rsidRPr="00CD46C5">
              <w:rPr>
                <w:color w:val="auto"/>
                <w:sz w:val="18"/>
                <w:szCs w:val="18"/>
              </w:rPr>
              <w:t xml:space="preserve">Outcome 3 – </w:t>
            </w:r>
            <w:r w:rsidR="008B5A1F">
              <w:rPr>
                <w:color w:val="auto"/>
                <w:sz w:val="18"/>
                <w:szCs w:val="18"/>
              </w:rPr>
              <w:t>S</w:t>
            </w:r>
            <w:r w:rsidRPr="00CD46C5">
              <w:rPr>
                <w:color w:val="auto"/>
                <w:sz w:val="18"/>
                <w:szCs w:val="18"/>
              </w:rPr>
              <w:t>tudent wellbeing</w:t>
            </w:r>
          </w:p>
        </w:tc>
      </w:tr>
      <w:tr w:rsidR="00CA2048" w14:paraId="5E65AAA0" w14:textId="77777777" w:rsidTr="00BA367A">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BC1D5D" w14:textId="77777777" w:rsidR="00CA2048" w:rsidRDefault="00CA2048" w:rsidP="00C31636">
            <w:pPr>
              <w:pStyle w:val="TableRow"/>
              <w:ind w:left="0" w:right="0"/>
              <w:rPr>
                <w:color w:val="auto"/>
                <w:sz w:val="18"/>
                <w:szCs w:val="18"/>
              </w:rPr>
            </w:pPr>
            <w:r>
              <w:rPr>
                <w:color w:val="auto"/>
                <w:sz w:val="18"/>
                <w:szCs w:val="18"/>
              </w:rPr>
              <w:t xml:space="preserve">External support with careers including the implementation and use of Compass + and </w:t>
            </w:r>
            <w:r w:rsidR="00A42011">
              <w:rPr>
                <w:color w:val="auto"/>
                <w:sz w:val="18"/>
                <w:szCs w:val="18"/>
              </w:rPr>
              <w:t>carefully planned opportunities within the curriculum</w:t>
            </w:r>
            <w:r w:rsidR="00E95947">
              <w:rPr>
                <w:color w:val="auto"/>
                <w:sz w:val="18"/>
                <w:szCs w:val="18"/>
              </w:rPr>
              <w:t>.</w:t>
            </w:r>
          </w:p>
          <w:p w14:paraId="10304FDF" w14:textId="3545A580" w:rsidR="00AD7CB2" w:rsidRPr="00CD46C5" w:rsidRDefault="00AD7CB2" w:rsidP="00C31636">
            <w:pPr>
              <w:pStyle w:val="TableRow"/>
              <w:ind w:left="0" w:right="0"/>
              <w:rPr>
                <w:color w:val="auto"/>
                <w:sz w:val="18"/>
                <w:szCs w:val="18"/>
              </w:rPr>
            </w:pP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4CF04" w14:textId="1447D64C" w:rsidR="00CA2048" w:rsidRPr="00CD46C5" w:rsidRDefault="007B30F6" w:rsidP="00C31636">
            <w:pPr>
              <w:pStyle w:val="TableRowCentered"/>
              <w:ind w:left="0" w:right="0"/>
              <w:jc w:val="left"/>
              <w:rPr>
                <w:color w:val="auto"/>
                <w:sz w:val="18"/>
                <w:szCs w:val="16"/>
              </w:rPr>
            </w:pPr>
            <w:r w:rsidRPr="009924FF">
              <w:rPr>
                <w:sz w:val="18"/>
                <w:szCs w:val="18"/>
              </w:rPr>
              <w:t xml:space="preserve">By </w:t>
            </w:r>
            <w:r w:rsidR="0070048E">
              <w:rPr>
                <w:sz w:val="18"/>
                <w:szCs w:val="18"/>
              </w:rPr>
              <w:t xml:space="preserve">aligning our careers provision with the Gatsby </w:t>
            </w:r>
            <w:r w:rsidR="00AD7CB2">
              <w:rPr>
                <w:sz w:val="18"/>
                <w:szCs w:val="18"/>
              </w:rPr>
              <w:t>Benchmarks</w:t>
            </w:r>
            <w:r w:rsidR="0070048E">
              <w:rPr>
                <w:sz w:val="18"/>
                <w:szCs w:val="18"/>
              </w:rPr>
              <w:t xml:space="preserve"> and CDI frameworks</w:t>
            </w:r>
            <w:r w:rsidR="00AD7CB2">
              <w:rPr>
                <w:sz w:val="18"/>
                <w:szCs w:val="18"/>
              </w:rPr>
              <w:t xml:space="preserve"> </w:t>
            </w:r>
            <w:r>
              <w:rPr>
                <w:sz w:val="18"/>
                <w:szCs w:val="18"/>
              </w:rPr>
              <w:t>enables students</w:t>
            </w:r>
            <w:r w:rsidR="00AD7CB2">
              <w:rPr>
                <w:sz w:val="18"/>
                <w:szCs w:val="18"/>
              </w:rPr>
              <w:t xml:space="preserve"> to have a good understanding of careers and in time</w:t>
            </w:r>
            <w:r>
              <w:rPr>
                <w:sz w:val="18"/>
                <w:szCs w:val="18"/>
              </w:rPr>
              <w:t xml:space="preserve"> to receive further qualifications leading to opportunities post 16.</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69E5A" w14:textId="0662A56A" w:rsidR="00CA2048" w:rsidRPr="00CD46C5" w:rsidRDefault="00E95947" w:rsidP="00C31636">
            <w:pPr>
              <w:pStyle w:val="TableRowCentered"/>
              <w:ind w:left="0" w:right="0"/>
              <w:jc w:val="left"/>
              <w:rPr>
                <w:color w:val="auto"/>
                <w:sz w:val="18"/>
                <w:szCs w:val="18"/>
              </w:rPr>
            </w:pPr>
            <w:r>
              <w:rPr>
                <w:color w:val="auto"/>
                <w:sz w:val="18"/>
                <w:szCs w:val="18"/>
              </w:rPr>
              <w:t>Outcome 4 – Options and Careers</w:t>
            </w:r>
          </w:p>
        </w:tc>
      </w:tr>
    </w:tbl>
    <w:p w14:paraId="2A7D5522" w14:textId="77777777" w:rsidR="00E66558" w:rsidRDefault="00E66558" w:rsidP="00ED5108"/>
    <w:p w14:paraId="78DEE79A" w14:textId="77777777" w:rsidR="00E45CD1" w:rsidRDefault="00E45CD1" w:rsidP="00AA355B">
      <w:pPr>
        <w:pStyle w:val="Heading3"/>
      </w:pPr>
    </w:p>
    <w:p w14:paraId="6759E344" w14:textId="77777777" w:rsidR="00E45CD1" w:rsidRDefault="00E45CD1" w:rsidP="00AA355B">
      <w:pPr>
        <w:pStyle w:val="Heading3"/>
      </w:pPr>
    </w:p>
    <w:p w14:paraId="2AF51EF5" w14:textId="77777777" w:rsidR="00E45CD1" w:rsidRDefault="00E45CD1" w:rsidP="00E45CD1"/>
    <w:p w14:paraId="67ADF63B" w14:textId="77777777" w:rsidR="00E45CD1" w:rsidRPr="00E45CD1" w:rsidRDefault="00E45CD1" w:rsidP="00E45CD1"/>
    <w:p w14:paraId="414B3372" w14:textId="77777777" w:rsidR="00E45CD1" w:rsidRDefault="00E45CD1" w:rsidP="00AA355B">
      <w:pPr>
        <w:pStyle w:val="Heading3"/>
      </w:pPr>
    </w:p>
    <w:p w14:paraId="6FDF0BC8" w14:textId="77777777" w:rsidR="00E45CD1" w:rsidRDefault="00E45CD1" w:rsidP="00AA355B">
      <w:pPr>
        <w:pStyle w:val="Heading3"/>
      </w:pPr>
    </w:p>
    <w:p w14:paraId="7FE895F9" w14:textId="77777777" w:rsidR="00E45CD1" w:rsidRPr="00E45CD1" w:rsidRDefault="00E45CD1" w:rsidP="00E45CD1"/>
    <w:p w14:paraId="2A7D5523" w14:textId="64AA2F22" w:rsidR="00E66558" w:rsidRPr="00AA355B" w:rsidRDefault="009D71E8" w:rsidP="00AA355B">
      <w:pPr>
        <w:pStyle w:val="Heading3"/>
      </w:pPr>
      <w:r>
        <w:lastRenderedPageBreak/>
        <w:t xml:space="preserve">Targeted academic support (for example, </w:t>
      </w:r>
      <w:r w:rsidR="00D33FE5">
        <w:t>tutoring, one-to-one support</w:t>
      </w:r>
      <w:r w:rsidR="00F776E1">
        <w:t>,</w:t>
      </w:r>
      <w:r w:rsidR="00D33FE5">
        <w:t xml:space="preserve"> </w:t>
      </w:r>
      <w:r>
        <w:t xml:space="preserve">structured interventions) </w:t>
      </w:r>
    </w:p>
    <w:p w14:paraId="2A7D5524" w14:textId="154A4DB4" w:rsidR="00E66558" w:rsidRDefault="009D71E8">
      <w:r w:rsidRPr="000C0B9C">
        <w:rPr>
          <w:highlight w:val="yellow"/>
        </w:rPr>
        <w:t>Budgeted cost: £</w:t>
      </w:r>
      <w:r w:rsidR="000C0B9C" w:rsidRPr="000C0B9C">
        <w:rPr>
          <w:highlight w:val="yellow"/>
        </w:rPr>
        <w:t>3948</w:t>
      </w:r>
    </w:p>
    <w:tbl>
      <w:tblPr>
        <w:tblW w:w="5000" w:type="pct"/>
        <w:tblCellMar>
          <w:left w:w="10" w:type="dxa"/>
          <w:right w:w="10" w:type="dxa"/>
        </w:tblCellMar>
        <w:tblLook w:val="04A0" w:firstRow="1" w:lastRow="0" w:firstColumn="1" w:lastColumn="0" w:noHBand="0" w:noVBand="1"/>
      </w:tblPr>
      <w:tblGrid>
        <w:gridCol w:w="2689"/>
        <w:gridCol w:w="5244"/>
        <w:gridCol w:w="1553"/>
      </w:tblGrid>
      <w:tr w:rsidR="00E66558" w14:paraId="2A7D5528" w14:textId="77777777" w:rsidTr="009B6494">
        <w:tc>
          <w:tcPr>
            <w:tcW w:w="268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rsidP="00C31636">
            <w:pPr>
              <w:pStyle w:val="TableHeader"/>
              <w:ind w:left="0" w:right="0"/>
              <w:jc w:val="left"/>
            </w:pPr>
            <w:r>
              <w:t>Activity</w:t>
            </w:r>
          </w:p>
        </w:tc>
        <w:tc>
          <w:tcPr>
            <w:tcW w:w="52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rsidP="00C31636">
            <w:pPr>
              <w:pStyle w:val="TableHeader"/>
              <w:ind w:left="0" w:right="0"/>
              <w:jc w:val="left"/>
            </w:pPr>
            <w:r>
              <w:t>Evidence that supports this approach</w:t>
            </w:r>
          </w:p>
        </w:tc>
        <w:tc>
          <w:tcPr>
            <w:tcW w:w="155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rsidP="00C31636">
            <w:pPr>
              <w:pStyle w:val="TableHeader"/>
              <w:ind w:left="0" w:right="0"/>
              <w:jc w:val="left"/>
            </w:pPr>
            <w:r>
              <w:t>Challenge number(s) addressed</w:t>
            </w:r>
          </w:p>
        </w:tc>
      </w:tr>
      <w:tr w:rsidR="00E66558" w14:paraId="2A7D552C" w14:textId="77777777" w:rsidTr="009B6494">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9" w14:textId="17F4CC28" w:rsidR="00E66558" w:rsidRPr="00F76EED" w:rsidRDefault="00921410" w:rsidP="00C31636">
            <w:pPr>
              <w:pStyle w:val="TableRow"/>
              <w:ind w:left="0" w:right="0"/>
              <w:rPr>
                <w:color w:val="auto"/>
                <w:sz w:val="18"/>
                <w:szCs w:val="18"/>
              </w:rPr>
            </w:pPr>
            <w:r w:rsidRPr="00F76EED">
              <w:rPr>
                <w:color w:val="auto"/>
                <w:sz w:val="18"/>
                <w:szCs w:val="18"/>
              </w:rPr>
              <w:t xml:space="preserve">Intervention for students to secure </w:t>
            </w:r>
            <w:r w:rsidR="008B5A1F">
              <w:rPr>
                <w:color w:val="auto"/>
                <w:sz w:val="18"/>
                <w:szCs w:val="18"/>
              </w:rPr>
              <w:t>e</w:t>
            </w:r>
            <w:r w:rsidRPr="00F76EED">
              <w:rPr>
                <w:color w:val="auto"/>
                <w:sz w:val="18"/>
                <w:szCs w:val="18"/>
              </w:rPr>
              <w:t xml:space="preserve">arly </w:t>
            </w:r>
            <w:r w:rsidR="008B5A1F">
              <w:rPr>
                <w:color w:val="auto"/>
                <w:sz w:val="18"/>
                <w:szCs w:val="18"/>
              </w:rPr>
              <w:t>r</w:t>
            </w:r>
            <w:r w:rsidRPr="00F76EED">
              <w:rPr>
                <w:color w:val="auto"/>
                <w:sz w:val="18"/>
                <w:szCs w:val="18"/>
              </w:rPr>
              <w:t>eading skills and phonics knowledge</w:t>
            </w:r>
            <w:r w:rsidR="0071450A" w:rsidRPr="00F76EED">
              <w:rPr>
                <w:color w:val="auto"/>
                <w:sz w:val="18"/>
                <w:szCs w:val="18"/>
              </w:rPr>
              <w:t xml:space="preserve"> following RWI training and </w:t>
            </w:r>
            <w:r w:rsidR="00767D18" w:rsidRPr="00F76EED">
              <w:rPr>
                <w:color w:val="auto"/>
                <w:sz w:val="18"/>
                <w:szCs w:val="18"/>
              </w:rPr>
              <w:t>CPD.</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A9FBB" w14:textId="77777777" w:rsidR="00767D18" w:rsidRPr="00F76EED" w:rsidRDefault="008428F3" w:rsidP="00767D18">
            <w:pPr>
              <w:pStyle w:val="TableRowCentered"/>
              <w:ind w:left="0" w:right="0"/>
              <w:jc w:val="left"/>
              <w:rPr>
                <w:rStyle w:val="Hyperlink"/>
                <w:color w:val="auto"/>
                <w:sz w:val="18"/>
                <w:szCs w:val="16"/>
              </w:rPr>
            </w:pPr>
            <w:hyperlink r:id="rId9" w:history="1">
              <w:r w:rsidR="00767D18" w:rsidRPr="00F76EED">
                <w:rPr>
                  <w:rStyle w:val="Hyperlink"/>
                  <w:color w:val="auto"/>
                  <w:sz w:val="18"/>
                  <w:szCs w:val="16"/>
                </w:rPr>
                <w:t>https://educationendowmentfoundation.org.uk/education-evidence/teaching-learning-toolkit/one-to-one-tuition</w:t>
              </w:r>
            </w:hyperlink>
          </w:p>
          <w:p w14:paraId="7198100B" w14:textId="77777777" w:rsidR="00767D18" w:rsidRPr="00F76EED" w:rsidRDefault="00767D18" w:rsidP="00767D18">
            <w:pPr>
              <w:pStyle w:val="TableRowCentered"/>
              <w:ind w:left="0" w:right="0"/>
              <w:jc w:val="left"/>
              <w:rPr>
                <w:rStyle w:val="Hyperlink"/>
                <w:color w:val="auto"/>
                <w:sz w:val="18"/>
                <w:szCs w:val="16"/>
              </w:rPr>
            </w:pPr>
          </w:p>
          <w:p w14:paraId="5B050C59" w14:textId="77777777" w:rsidR="00767D18" w:rsidRPr="00F76EED" w:rsidRDefault="008428F3" w:rsidP="00767D18">
            <w:pPr>
              <w:pStyle w:val="TableRowCentered"/>
              <w:ind w:left="0" w:right="0"/>
              <w:jc w:val="left"/>
              <w:rPr>
                <w:color w:val="auto"/>
              </w:rPr>
            </w:pPr>
            <w:hyperlink r:id="rId10" w:history="1">
              <w:r w:rsidR="009B6494" w:rsidRPr="00F76EED">
                <w:rPr>
                  <w:rStyle w:val="Hyperlink"/>
                  <w:color w:val="auto"/>
                  <w:sz w:val="18"/>
                  <w:szCs w:val="16"/>
                </w:rPr>
                <w:t>https://educationendowmentfoundation.org.uk/education-evidence/teaching-learning-toolkit/small-group-tuition</w:t>
              </w:r>
            </w:hyperlink>
            <w:r w:rsidR="009B6494" w:rsidRPr="00F76EED">
              <w:rPr>
                <w:color w:val="auto"/>
              </w:rPr>
              <w:t xml:space="preserve"> </w:t>
            </w:r>
          </w:p>
          <w:p w14:paraId="68A2CFC2" w14:textId="77777777" w:rsidR="009B6494" w:rsidRDefault="009B6494" w:rsidP="00767D18">
            <w:pPr>
              <w:pStyle w:val="TableRowCentered"/>
              <w:ind w:left="0" w:right="0"/>
              <w:jc w:val="left"/>
              <w:rPr>
                <w:color w:val="auto"/>
              </w:rPr>
            </w:pPr>
          </w:p>
          <w:p w14:paraId="032D7C9D" w14:textId="77777777" w:rsidR="00FC2E6B" w:rsidRDefault="00FC2E6B" w:rsidP="00767D18">
            <w:pPr>
              <w:pStyle w:val="TableRowCentered"/>
              <w:ind w:left="0" w:right="0"/>
              <w:jc w:val="left"/>
              <w:rPr>
                <w:color w:val="auto"/>
              </w:rPr>
            </w:pPr>
          </w:p>
          <w:p w14:paraId="2A7D552A" w14:textId="2A6F36D0" w:rsidR="00FC2E6B" w:rsidRPr="00F76EED" w:rsidRDefault="00FC2E6B" w:rsidP="00767D18">
            <w:pPr>
              <w:pStyle w:val="TableRowCentered"/>
              <w:ind w:left="0" w:right="0"/>
              <w:jc w:val="left"/>
              <w:rPr>
                <w:color w:val="auto"/>
              </w:rPr>
            </w:pP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B" w14:textId="05B62D83" w:rsidR="00E66558" w:rsidRPr="00F76EED" w:rsidRDefault="009B6494" w:rsidP="00C31636">
            <w:pPr>
              <w:pStyle w:val="TableRowCentered"/>
              <w:ind w:left="0" w:right="0"/>
              <w:jc w:val="left"/>
              <w:rPr>
                <w:color w:val="auto"/>
                <w:sz w:val="18"/>
                <w:szCs w:val="18"/>
              </w:rPr>
            </w:pPr>
            <w:r w:rsidRPr="00F76EED">
              <w:rPr>
                <w:color w:val="auto"/>
                <w:sz w:val="18"/>
                <w:szCs w:val="18"/>
              </w:rPr>
              <w:t xml:space="preserve">Outcome 1 – English </w:t>
            </w:r>
          </w:p>
        </w:tc>
      </w:tr>
      <w:tr w:rsidR="007D7835" w14:paraId="40D02196" w14:textId="77777777" w:rsidTr="009B6494">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394C4" w14:textId="61761EFC" w:rsidR="007D7835" w:rsidRPr="00F76EED" w:rsidRDefault="007D7835" w:rsidP="007D7835">
            <w:pPr>
              <w:pStyle w:val="TableRow"/>
              <w:ind w:left="0" w:right="0"/>
              <w:rPr>
                <w:color w:val="auto"/>
                <w:sz w:val="18"/>
                <w:szCs w:val="18"/>
              </w:rPr>
            </w:pPr>
            <w:r>
              <w:rPr>
                <w:color w:val="auto"/>
                <w:sz w:val="18"/>
                <w:szCs w:val="18"/>
              </w:rPr>
              <w:t xml:space="preserve">Targeted 1:1 support and Thrive sessions delivered by a qualified Thrive </w:t>
            </w:r>
            <w:r w:rsidR="00F70AAD">
              <w:rPr>
                <w:color w:val="auto"/>
                <w:sz w:val="18"/>
                <w:szCs w:val="18"/>
              </w:rPr>
              <w:t>p</w:t>
            </w:r>
            <w:r>
              <w:rPr>
                <w:color w:val="auto"/>
                <w:sz w:val="18"/>
                <w:szCs w:val="18"/>
              </w:rPr>
              <w:t xml:space="preserve">ractitioner to ensure they are making progress socially and emotionally. </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2BFC5" w14:textId="77777777" w:rsidR="007D7835" w:rsidRDefault="008428F3" w:rsidP="007D7835">
            <w:pPr>
              <w:pStyle w:val="TableRowCentered"/>
              <w:ind w:left="0" w:right="0"/>
              <w:jc w:val="left"/>
              <w:rPr>
                <w:sz w:val="22"/>
              </w:rPr>
            </w:pPr>
            <w:hyperlink r:id="rId11" w:history="1">
              <w:r w:rsidR="007D7835" w:rsidRPr="009A409E">
                <w:rPr>
                  <w:rStyle w:val="Hyperlink"/>
                  <w:sz w:val="18"/>
                  <w:szCs w:val="16"/>
                </w:rPr>
                <w:t>https://educationendowmentfoundation.org.uk/education-evidence/teaching-learning-toolkit/social-and-emotional-learning</w:t>
              </w:r>
            </w:hyperlink>
            <w:r w:rsidR="007D7835">
              <w:rPr>
                <w:sz w:val="22"/>
              </w:rPr>
              <w:t xml:space="preserve"> </w:t>
            </w:r>
          </w:p>
          <w:p w14:paraId="18138C29" w14:textId="77777777" w:rsidR="007D7835" w:rsidRDefault="007D7835" w:rsidP="007D7835">
            <w:pPr>
              <w:pStyle w:val="TableRowCentered"/>
              <w:ind w:left="0" w:right="0"/>
              <w:jc w:val="left"/>
              <w:rPr>
                <w:sz w:val="22"/>
              </w:rPr>
            </w:pPr>
          </w:p>
          <w:p w14:paraId="54EF12EC" w14:textId="40F4BF16" w:rsidR="007D7835" w:rsidRPr="00F76EED" w:rsidRDefault="007D7835" w:rsidP="007D7835">
            <w:pPr>
              <w:pStyle w:val="TableRowCentered"/>
              <w:ind w:left="0" w:right="0"/>
              <w:jc w:val="left"/>
              <w:rPr>
                <w:color w:val="auto"/>
              </w:rPr>
            </w:pPr>
            <w:r w:rsidRPr="001775B2">
              <w:rPr>
                <w:sz w:val="18"/>
                <w:szCs w:val="16"/>
              </w:rPr>
              <w:t xml:space="preserve">Social and emotional learning approaches have a positive impact, on average, of </w:t>
            </w:r>
            <w:r>
              <w:rPr>
                <w:sz w:val="18"/>
                <w:szCs w:val="16"/>
              </w:rPr>
              <w:t>3</w:t>
            </w:r>
            <w:r w:rsidRPr="001775B2">
              <w:rPr>
                <w:sz w:val="18"/>
                <w:szCs w:val="16"/>
              </w:rPr>
              <w:t xml:space="preserve"> months’ additional progress in academic outcomes over the course of</w:t>
            </w:r>
            <w:r>
              <w:rPr>
                <w:sz w:val="18"/>
                <w:szCs w:val="18"/>
              </w:rPr>
              <w:t xml:space="preserve"> an academic year. This tends to be more effective (+5 months) in secondary compared to primary (+2 months).</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37FB2" w14:textId="77777777" w:rsidR="007D7835" w:rsidRDefault="007D7835" w:rsidP="007D7835">
            <w:pPr>
              <w:pStyle w:val="TableRowCentered"/>
              <w:ind w:left="0" w:right="0"/>
              <w:jc w:val="left"/>
              <w:rPr>
                <w:sz w:val="18"/>
                <w:szCs w:val="18"/>
              </w:rPr>
            </w:pPr>
          </w:p>
          <w:p w14:paraId="72B5BAE7" w14:textId="687BB0F0" w:rsidR="007D7835" w:rsidRPr="00F76EED" w:rsidRDefault="007D7835" w:rsidP="007D7835">
            <w:pPr>
              <w:pStyle w:val="TableRowCentered"/>
              <w:ind w:left="0" w:right="0"/>
              <w:jc w:val="left"/>
              <w:rPr>
                <w:color w:val="auto"/>
                <w:sz w:val="18"/>
                <w:szCs w:val="18"/>
              </w:rPr>
            </w:pPr>
            <w:r w:rsidRPr="00C51E42">
              <w:rPr>
                <w:sz w:val="18"/>
                <w:szCs w:val="18"/>
              </w:rPr>
              <w:t xml:space="preserve">Outcome 3 – </w:t>
            </w:r>
            <w:r w:rsidR="00FC2E6B">
              <w:rPr>
                <w:sz w:val="18"/>
                <w:szCs w:val="18"/>
              </w:rPr>
              <w:t>S</w:t>
            </w:r>
            <w:r w:rsidRPr="00C51E42">
              <w:rPr>
                <w:sz w:val="18"/>
                <w:szCs w:val="18"/>
              </w:rPr>
              <w:t>tudent wellbeing</w:t>
            </w:r>
          </w:p>
        </w:tc>
      </w:tr>
    </w:tbl>
    <w:p w14:paraId="24EBB7DF" w14:textId="77777777" w:rsidR="000C0B9C" w:rsidRDefault="00370B5C" w:rsidP="000C0B9C">
      <w:pPr>
        <w:suppressAutoHyphens w:val="0"/>
        <w:spacing w:after="0" w:line="240" w:lineRule="auto"/>
        <w:rPr>
          <w:b/>
          <w:bCs/>
          <w:color w:val="104F75"/>
          <w:sz w:val="28"/>
          <w:szCs w:val="28"/>
        </w:rPr>
      </w:pPr>
      <w:r>
        <w:br w:type="page"/>
      </w:r>
      <w:r w:rsidR="009D71E8" w:rsidRPr="000C0B9C">
        <w:rPr>
          <w:b/>
          <w:bCs/>
          <w:color w:val="104F75"/>
          <w:sz w:val="28"/>
          <w:szCs w:val="28"/>
        </w:rPr>
        <w:lastRenderedPageBreak/>
        <w:t xml:space="preserve">Wider strategies (for example, related to attendance, behaviour, </w:t>
      </w:r>
    </w:p>
    <w:p w14:paraId="2A7D5532" w14:textId="67FB0B41" w:rsidR="00E66558" w:rsidRPr="000C0B9C" w:rsidRDefault="009D71E8" w:rsidP="000C0B9C">
      <w:pPr>
        <w:suppressAutoHyphens w:val="0"/>
        <w:spacing w:after="0" w:line="240" w:lineRule="auto"/>
        <w:rPr>
          <w:b/>
          <w:bCs/>
          <w:color w:val="104F75"/>
          <w:sz w:val="28"/>
          <w:szCs w:val="28"/>
        </w:rPr>
      </w:pPr>
      <w:r w:rsidRPr="000C0B9C">
        <w:rPr>
          <w:b/>
          <w:bCs/>
          <w:color w:val="104F75"/>
          <w:sz w:val="28"/>
          <w:szCs w:val="28"/>
        </w:rPr>
        <w:t>wellbeing)</w:t>
      </w:r>
    </w:p>
    <w:p w14:paraId="2A7D5533" w14:textId="0CF363F7" w:rsidR="00E66558" w:rsidRDefault="009D71E8">
      <w:pPr>
        <w:spacing w:before="240" w:after="120"/>
      </w:pPr>
      <w:r w:rsidRPr="006A3FA6">
        <w:rPr>
          <w:highlight w:val="yellow"/>
        </w:rPr>
        <w:t>Budgeted cost: £</w:t>
      </w:r>
      <w:r w:rsidR="006A3FA6" w:rsidRPr="006A3FA6">
        <w:rPr>
          <w:highlight w:val="yellow"/>
        </w:rPr>
        <w:t>4500</w:t>
      </w:r>
    </w:p>
    <w:tbl>
      <w:tblPr>
        <w:tblW w:w="5000" w:type="pct"/>
        <w:tblCellMar>
          <w:left w:w="10" w:type="dxa"/>
          <w:right w:w="10" w:type="dxa"/>
        </w:tblCellMar>
        <w:tblLook w:val="04A0" w:firstRow="1" w:lastRow="0" w:firstColumn="1" w:lastColumn="0" w:noHBand="0" w:noVBand="1"/>
      </w:tblPr>
      <w:tblGrid>
        <w:gridCol w:w="2830"/>
        <w:gridCol w:w="4962"/>
        <w:gridCol w:w="1694"/>
      </w:tblGrid>
      <w:tr w:rsidR="00E66558" w14:paraId="2A7D5537" w14:textId="77777777" w:rsidTr="001A24CA">
        <w:tc>
          <w:tcPr>
            <w:tcW w:w="283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rsidP="00C31636">
            <w:pPr>
              <w:pStyle w:val="TableHeader"/>
              <w:ind w:left="0" w:right="0"/>
              <w:jc w:val="left"/>
            </w:pPr>
            <w:r>
              <w:t>Activity</w:t>
            </w:r>
          </w:p>
        </w:tc>
        <w:tc>
          <w:tcPr>
            <w:tcW w:w="4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rsidP="00C31636">
            <w:pPr>
              <w:pStyle w:val="TableHeader"/>
              <w:ind w:left="0" w:right="0"/>
              <w:jc w:val="left"/>
            </w:pPr>
            <w:r>
              <w:t>Evidence that supports this approach</w:t>
            </w:r>
          </w:p>
        </w:tc>
        <w:tc>
          <w:tcPr>
            <w:tcW w:w="169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rsidP="00C31636">
            <w:pPr>
              <w:pStyle w:val="TableHeader"/>
              <w:ind w:left="0" w:right="0"/>
              <w:jc w:val="left"/>
            </w:pPr>
            <w:r>
              <w:t>Challenge number(s) addressed</w:t>
            </w:r>
          </w:p>
        </w:tc>
      </w:tr>
      <w:tr w:rsidR="00E66558" w14:paraId="2A7D553B" w14:textId="77777777" w:rsidTr="001A24CA">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9A521" w14:textId="77777777" w:rsidR="004F64A6" w:rsidRPr="004F64A6" w:rsidRDefault="00D51A1A" w:rsidP="00C31636">
            <w:pPr>
              <w:pStyle w:val="TableRow"/>
              <w:ind w:left="0" w:right="0"/>
              <w:rPr>
                <w:sz w:val="18"/>
                <w:szCs w:val="18"/>
              </w:rPr>
            </w:pPr>
            <w:r w:rsidRPr="004F64A6">
              <w:rPr>
                <w:sz w:val="18"/>
                <w:szCs w:val="18"/>
              </w:rPr>
              <w:t>Thrive practitioners</w:t>
            </w:r>
            <w:r w:rsidR="00A24021" w:rsidRPr="004F64A6">
              <w:rPr>
                <w:sz w:val="18"/>
                <w:szCs w:val="18"/>
              </w:rPr>
              <w:t xml:space="preserve"> appointed and fully trained to provide whole school social, emotional and mental health support and support to identified disadvantaged students.</w:t>
            </w:r>
          </w:p>
          <w:p w14:paraId="2FF6A04E" w14:textId="77777777" w:rsidR="004F64A6" w:rsidRPr="004F64A6" w:rsidRDefault="004F64A6" w:rsidP="00C31636">
            <w:pPr>
              <w:pStyle w:val="TableRow"/>
              <w:ind w:left="0" w:right="0"/>
              <w:rPr>
                <w:sz w:val="18"/>
                <w:szCs w:val="18"/>
              </w:rPr>
            </w:pPr>
          </w:p>
          <w:p w14:paraId="27B6236D" w14:textId="2976E4BF" w:rsidR="004F64A6" w:rsidRDefault="004F64A6" w:rsidP="00C31636">
            <w:pPr>
              <w:pStyle w:val="TableRow"/>
              <w:ind w:left="0" w:right="0"/>
              <w:rPr>
                <w:sz w:val="18"/>
                <w:szCs w:val="18"/>
              </w:rPr>
            </w:pPr>
            <w:r w:rsidRPr="004F64A6">
              <w:rPr>
                <w:sz w:val="18"/>
                <w:szCs w:val="18"/>
              </w:rPr>
              <w:t>Whole school Thrive approach to ensure a consistent approach and highly value the importance of wellbeing.</w:t>
            </w:r>
          </w:p>
          <w:p w14:paraId="0E73C228" w14:textId="77777777" w:rsidR="004F64A6" w:rsidRDefault="004F64A6" w:rsidP="00C31636">
            <w:pPr>
              <w:pStyle w:val="TableRow"/>
              <w:ind w:left="0" w:right="0"/>
              <w:rPr>
                <w:sz w:val="18"/>
                <w:szCs w:val="18"/>
              </w:rPr>
            </w:pPr>
          </w:p>
          <w:p w14:paraId="35D9306F" w14:textId="77777777" w:rsidR="00E66558" w:rsidRDefault="0010562C" w:rsidP="00C31636">
            <w:pPr>
              <w:pStyle w:val="TableRow"/>
              <w:ind w:left="0" w:right="0"/>
              <w:rPr>
                <w:sz w:val="18"/>
                <w:szCs w:val="18"/>
              </w:rPr>
            </w:pPr>
            <w:r>
              <w:rPr>
                <w:sz w:val="18"/>
                <w:szCs w:val="18"/>
              </w:rPr>
              <w:t>Individual action plans</w:t>
            </w:r>
            <w:r w:rsidR="005D05FA">
              <w:rPr>
                <w:sz w:val="18"/>
                <w:szCs w:val="18"/>
              </w:rPr>
              <w:t xml:space="preserve"> will be completed to identify activities and targeted areas</w:t>
            </w:r>
            <w:r w:rsidR="00AF7A0A">
              <w:rPr>
                <w:sz w:val="18"/>
                <w:szCs w:val="18"/>
              </w:rPr>
              <w:t xml:space="preserve"> of focus. Outcomes will be </w:t>
            </w:r>
            <w:proofErr w:type="gramStart"/>
            <w:r w:rsidR="00AF7A0A">
              <w:rPr>
                <w:sz w:val="18"/>
                <w:szCs w:val="18"/>
              </w:rPr>
              <w:t>monitored</w:t>
            </w:r>
            <w:proofErr w:type="gramEnd"/>
            <w:r w:rsidR="00AF7A0A">
              <w:rPr>
                <w:sz w:val="18"/>
                <w:szCs w:val="18"/>
              </w:rPr>
              <w:t xml:space="preserve"> </w:t>
            </w:r>
            <w:r w:rsidR="007328B1">
              <w:rPr>
                <w:sz w:val="18"/>
                <w:szCs w:val="18"/>
              </w:rPr>
              <w:t>and students will make progress and their social and emotional needs met.</w:t>
            </w:r>
          </w:p>
          <w:p w14:paraId="2A7D5538" w14:textId="1086894F" w:rsidR="0081198D" w:rsidRPr="00ED1C14" w:rsidRDefault="0081198D" w:rsidP="00C31636">
            <w:pPr>
              <w:pStyle w:val="TableRow"/>
              <w:ind w:left="0" w:right="0"/>
              <w:rPr>
                <w:sz w:val="18"/>
                <w:szCs w:val="18"/>
              </w:rPr>
            </w:pP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AA537" w14:textId="77777777" w:rsidR="00E66558" w:rsidRDefault="008428F3" w:rsidP="00C31636">
            <w:pPr>
              <w:pStyle w:val="TableRowCentered"/>
              <w:ind w:left="0" w:right="0"/>
              <w:jc w:val="left"/>
              <w:rPr>
                <w:sz w:val="22"/>
              </w:rPr>
            </w:pPr>
            <w:hyperlink r:id="rId12" w:history="1">
              <w:r w:rsidR="009A409E" w:rsidRPr="009A409E">
                <w:rPr>
                  <w:rStyle w:val="Hyperlink"/>
                  <w:sz w:val="18"/>
                  <w:szCs w:val="16"/>
                </w:rPr>
                <w:t>https://educationendowmentfoundation.org.uk/education-evidence/teaching-learning-toolkit/social-and-emotional-learning</w:t>
              </w:r>
            </w:hyperlink>
            <w:r w:rsidR="009A409E">
              <w:rPr>
                <w:sz w:val="22"/>
              </w:rPr>
              <w:t xml:space="preserve"> </w:t>
            </w:r>
          </w:p>
          <w:p w14:paraId="5814343C" w14:textId="77777777" w:rsidR="00327C8F" w:rsidRDefault="00327C8F" w:rsidP="00C31636">
            <w:pPr>
              <w:pStyle w:val="TableRowCentered"/>
              <w:ind w:left="0" w:right="0"/>
              <w:jc w:val="left"/>
              <w:rPr>
                <w:sz w:val="22"/>
              </w:rPr>
            </w:pPr>
          </w:p>
          <w:p w14:paraId="2A7D5539" w14:textId="0E397FD8" w:rsidR="0095449D" w:rsidRPr="0081037C" w:rsidRDefault="00327C8F" w:rsidP="00C31636">
            <w:pPr>
              <w:pStyle w:val="TableRowCentered"/>
              <w:ind w:left="0" w:right="0"/>
              <w:jc w:val="left"/>
              <w:rPr>
                <w:sz w:val="18"/>
                <w:szCs w:val="18"/>
              </w:rPr>
            </w:pPr>
            <w:r w:rsidRPr="001775B2">
              <w:rPr>
                <w:sz w:val="18"/>
                <w:szCs w:val="16"/>
              </w:rPr>
              <w:t>Social and emotional learning approaches have a p</w:t>
            </w:r>
            <w:r w:rsidR="001775B2" w:rsidRPr="001775B2">
              <w:rPr>
                <w:sz w:val="18"/>
                <w:szCs w:val="16"/>
              </w:rPr>
              <w:t xml:space="preserve">ositive impact, on average, of </w:t>
            </w:r>
            <w:r w:rsidR="0081037C">
              <w:rPr>
                <w:sz w:val="18"/>
                <w:szCs w:val="16"/>
              </w:rPr>
              <w:t>3</w:t>
            </w:r>
            <w:r w:rsidR="001775B2" w:rsidRPr="001775B2">
              <w:rPr>
                <w:sz w:val="18"/>
                <w:szCs w:val="16"/>
              </w:rPr>
              <w:t xml:space="preserve"> months’ additional progress in academic outcomes over the course of</w:t>
            </w:r>
            <w:r w:rsidR="001775B2">
              <w:rPr>
                <w:sz w:val="18"/>
                <w:szCs w:val="18"/>
              </w:rPr>
              <w:t xml:space="preserve"> </w:t>
            </w:r>
            <w:r w:rsidR="003D4075">
              <w:rPr>
                <w:sz w:val="18"/>
                <w:szCs w:val="18"/>
              </w:rPr>
              <w:t>an academic year.</w:t>
            </w:r>
            <w:r w:rsidR="00C51E42">
              <w:rPr>
                <w:sz w:val="18"/>
                <w:szCs w:val="18"/>
              </w:rPr>
              <w:t xml:space="preserve"> This tends to be more effective (+5 months) in secondary compared to primary (+2 months)</w:t>
            </w:r>
            <w:r w:rsidR="00BF2142">
              <w:rPr>
                <w:sz w:val="18"/>
                <w:szCs w:val="18"/>
              </w:rPr>
              <w:t>.</w:t>
            </w:r>
          </w:p>
        </w:tc>
        <w:tc>
          <w:tcPr>
            <w:tcW w:w="1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77B8A0" w14:textId="77777777" w:rsidR="00C51E42" w:rsidRDefault="00C51E42" w:rsidP="00C31636">
            <w:pPr>
              <w:pStyle w:val="TableRowCentered"/>
              <w:ind w:left="0" w:right="0"/>
              <w:jc w:val="left"/>
              <w:rPr>
                <w:sz w:val="18"/>
                <w:szCs w:val="18"/>
              </w:rPr>
            </w:pPr>
          </w:p>
          <w:p w14:paraId="2A7D553A" w14:textId="7042B797" w:rsidR="00E66558" w:rsidRDefault="00C51E42" w:rsidP="00C31636">
            <w:pPr>
              <w:pStyle w:val="TableRowCentered"/>
              <w:ind w:left="0" w:right="0"/>
              <w:jc w:val="left"/>
              <w:rPr>
                <w:sz w:val="22"/>
              </w:rPr>
            </w:pPr>
            <w:r w:rsidRPr="00C51E42">
              <w:rPr>
                <w:sz w:val="18"/>
                <w:szCs w:val="18"/>
              </w:rPr>
              <w:t xml:space="preserve">Outcome 3 – </w:t>
            </w:r>
            <w:r w:rsidR="008505DC">
              <w:rPr>
                <w:sz w:val="18"/>
                <w:szCs w:val="18"/>
              </w:rPr>
              <w:t>S</w:t>
            </w:r>
            <w:r w:rsidRPr="00C51E42">
              <w:rPr>
                <w:sz w:val="18"/>
                <w:szCs w:val="18"/>
              </w:rPr>
              <w:t>tudent wellbeing</w:t>
            </w:r>
          </w:p>
        </w:tc>
      </w:tr>
      <w:tr w:rsidR="00485C9E" w14:paraId="6C366130" w14:textId="77777777" w:rsidTr="001A24CA">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5B651" w14:textId="1C08CF67" w:rsidR="00485C9E" w:rsidRPr="00ED1C14" w:rsidRDefault="00873055" w:rsidP="00C31636">
            <w:pPr>
              <w:pStyle w:val="TableRow"/>
              <w:ind w:left="0" w:right="0"/>
              <w:rPr>
                <w:sz w:val="18"/>
                <w:szCs w:val="18"/>
              </w:rPr>
            </w:pPr>
            <w:r w:rsidRPr="00873055">
              <w:rPr>
                <w:sz w:val="18"/>
                <w:szCs w:val="18"/>
              </w:rPr>
              <w:t>Counsell</w:t>
            </w:r>
            <w:r w:rsidR="00F7085C">
              <w:rPr>
                <w:sz w:val="18"/>
                <w:szCs w:val="18"/>
              </w:rPr>
              <w:t>o</w:t>
            </w:r>
            <w:r w:rsidRPr="00873055">
              <w:rPr>
                <w:sz w:val="18"/>
                <w:szCs w:val="18"/>
              </w:rPr>
              <w:t>rs will provide weekly sessions and targeted support to help students understand and manage their emotions to increase well-being, success and engagement.</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EA77B" w14:textId="77777777" w:rsidR="00F7085C" w:rsidRPr="00370B5C" w:rsidRDefault="00356478" w:rsidP="00F7085C">
            <w:pPr>
              <w:rPr>
                <w:sz w:val="18"/>
                <w:szCs w:val="18"/>
              </w:rPr>
            </w:pPr>
            <w:r w:rsidRPr="00D70168">
              <w:rPr>
                <w:sz w:val="18"/>
                <w:szCs w:val="18"/>
              </w:rPr>
              <w:t>Social and emotional learning approaches have a positive impact, on average, of 3 months additional progress in academic outcomes. Evidence suggests students from disadvantaged backgrounds have on avera</w:t>
            </w:r>
            <w:r w:rsidR="00D70168" w:rsidRPr="00D70168">
              <w:rPr>
                <w:sz w:val="18"/>
                <w:szCs w:val="18"/>
              </w:rPr>
              <w:t>g</w:t>
            </w:r>
            <w:r w:rsidRPr="00D70168">
              <w:rPr>
                <w:sz w:val="18"/>
                <w:szCs w:val="18"/>
              </w:rPr>
              <w:t>e, weaker social</w:t>
            </w:r>
            <w:r w:rsidR="00D70168" w:rsidRPr="00D70168">
              <w:rPr>
                <w:sz w:val="18"/>
                <w:szCs w:val="18"/>
              </w:rPr>
              <w:t>, emotional learning skills.</w:t>
            </w:r>
            <w:r w:rsidR="00D70168" w:rsidRPr="00370B5C">
              <w:rPr>
                <w:sz w:val="18"/>
                <w:szCs w:val="18"/>
              </w:rPr>
              <w:t xml:space="preserve"> </w:t>
            </w:r>
          </w:p>
          <w:p w14:paraId="08C00564" w14:textId="0178B6E5" w:rsidR="00D70168" w:rsidRPr="00D70168" w:rsidRDefault="008428F3" w:rsidP="00D70168">
            <w:pPr>
              <w:pStyle w:val="TableRowCentered"/>
              <w:ind w:left="0" w:right="0"/>
              <w:jc w:val="left"/>
              <w:rPr>
                <w:sz w:val="22"/>
              </w:rPr>
            </w:pPr>
            <w:hyperlink r:id="rId13" w:history="1">
              <w:r w:rsidR="00D70168" w:rsidRPr="009A409E">
                <w:rPr>
                  <w:rStyle w:val="Hyperlink"/>
                  <w:sz w:val="18"/>
                  <w:szCs w:val="16"/>
                </w:rPr>
                <w:t>https://educationendowmentfoundation.org.uk/education-evidence/teaching-learning-toolkit/social-and-emotional-learning</w:t>
              </w:r>
            </w:hyperlink>
            <w:r w:rsidR="00D70168">
              <w:rPr>
                <w:sz w:val="22"/>
              </w:rPr>
              <w:t xml:space="preserve"> </w:t>
            </w:r>
          </w:p>
        </w:tc>
        <w:tc>
          <w:tcPr>
            <w:tcW w:w="1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18907" w14:textId="77777777" w:rsidR="00485C9E" w:rsidRDefault="00485C9E" w:rsidP="00C31636">
            <w:pPr>
              <w:pStyle w:val="TableRowCentered"/>
              <w:ind w:left="0" w:right="0"/>
              <w:jc w:val="left"/>
              <w:rPr>
                <w:sz w:val="22"/>
              </w:rPr>
            </w:pPr>
          </w:p>
          <w:p w14:paraId="499B7723" w14:textId="2F913B21" w:rsidR="0067369A" w:rsidRDefault="0067369A" w:rsidP="00C31636">
            <w:pPr>
              <w:pStyle w:val="TableRowCentered"/>
              <w:ind w:left="0" w:right="0"/>
              <w:jc w:val="left"/>
              <w:rPr>
                <w:sz w:val="22"/>
              </w:rPr>
            </w:pPr>
            <w:r w:rsidRPr="0067369A">
              <w:rPr>
                <w:sz w:val="18"/>
                <w:szCs w:val="18"/>
              </w:rPr>
              <w:t xml:space="preserve">Outcome 3 – </w:t>
            </w:r>
            <w:r w:rsidR="008505DC">
              <w:rPr>
                <w:sz w:val="18"/>
                <w:szCs w:val="18"/>
              </w:rPr>
              <w:t>S</w:t>
            </w:r>
            <w:r w:rsidRPr="0067369A">
              <w:rPr>
                <w:sz w:val="18"/>
                <w:szCs w:val="18"/>
              </w:rPr>
              <w:t>tudent wellbeing</w:t>
            </w:r>
          </w:p>
        </w:tc>
      </w:tr>
      <w:tr w:rsidR="00485C9E" w14:paraId="6A3FF1A1" w14:textId="77777777" w:rsidTr="001A24CA">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8A4BC" w14:textId="1FA67C8C" w:rsidR="00485C9E" w:rsidRPr="00ED1C14" w:rsidRDefault="00A02026" w:rsidP="00C31636">
            <w:pPr>
              <w:pStyle w:val="TableRow"/>
              <w:ind w:left="0" w:right="0"/>
              <w:rPr>
                <w:sz w:val="18"/>
                <w:szCs w:val="18"/>
              </w:rPr>
            </w:pPr>
            <w:r>
              <w:rPr>
                <w:sz w:val="18"/>
                <w:szCs w:val="18"/>
              </w:rPr>
              <w:t xml:space="preserve">Students will have access to </w:t>
            </w:r>
            <w:r w:rsidR="00AF52BF">
              <w:rPr>
                <w:sz w:val="18"/>
                <w:szCs w:val="18"/>
              </w:rPr>
              <w:t>r</w:t>
            </w:r>
            <w:r>
              <w:rPr>
                <w:sz w:val="18"/>
                <w:szCs w:val="18"/>
              </w:rPr>
              <w:t xml:space="preserve">iding </w:t>
            </w:r>
            <w:r w:rsidR="00AF52BF">
              <w:rPr>
                <w:sz w:val="18"/>
                <w:szCs w:val="18"/>
              </w:rPr>
              <w:t>l</w:t>
            </w:r>
            <w:r>
              <w:rPr>
                <w:sz w:val="18"/>
                <w:szCs w:val="18"/>
              </w:rPr>
              <w:t>essons with the R</w:t>
            </w:r>
            <w:r w:rsidR="0057287F">
              <w:rPr>
                <w:sz w:val="18"/>
                <w:szCs w:val="18"/>
              </w:rPr>
              <w:t>DA (Riding for the Disabled Association) and gain new</w:t>
            </w:r>
            <w:r w:rsidR="00EC1AD1">
              <w:rPr>
                <w:sz w:val="18"/>
                <w:szCs w:val="18"/>
              </w:rPr>
              <w:t xml:space="preserve"> experiences, </w:t>
            </w:r>
            <w:r w:rsidR="00477358">
              <w:rPr>
                <w:sz w:val="18"/>
                <w:szCs w:val="18"/>
              </w:rPr>
              <w:t xml:space="preserve">self-confidence and self-efficacy. </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54139" w14:textId="77777777" w:rsidR="00485C9E" w:rsidRDefault="008428F3" w:rsidP="00C31636">
            <w:pPr>
              <w:pStyle w:val="TableRowCentered"/>
              <w:ind w:left="0" w:right="0"/>
              <w:jc w:val="left"/>
              <w:rPr>
                <w:sz w:val="18"/>
                <w:szCs w:val="18"/>
              </w:rPr>
            </w:pPr>
            <w:hyperlink r:id="rId14" w:history="1">
              <w:r w:rsidR="00A02026">
                <w:rPr>
                  <w:rStyle w:val="Hyperlink"/>
                  <w:sz w:val="18"/>
                  <w:szCs w:val="18"/>
                </w:rPr>
                <w:t>https://educationendowmentfoundation.org.uk/education-evidence/teaching-learning-toolkit/outdoor-adventure-learning</w:t>
              </w:r>
            </w:hyperlink>
          </w:p>
          <w:p w14:paraId="397F70FA" w14:textId="77777777" w:rsidR="00233A0B" w:rsidRDefault="00233A0B" w:rsidP="00C31636">
            <w:pPr>
              <w:pStyle w:val="TableRowCentered"/>
              <w:ind w:left="0" w:right="0"/>
              <w:jc w:val="left"/>
              <w:rPr>
                <w:sz w:val="18"/>
                <w:szCs w:val="18"/>
              </w:rPr>
            </w:pPr>
          </w:p>
          <w:p w14:paraId="30847233" w14:textId="69BED493" w:rsidR="00233A0B" w:rsidRPr="00BF2142" w:rsidRDefault="00233A0B" w:rsidP="00C31636">
            <w:pPr>
              <w:pStyle w:val="TableRowCentered"/>
              <w:ind w:left="0" w:right="0"/>
              <w:jc w:val="left"/>
              <w:rPr>
                <w:sz w:val="18"/>
                <w:szCs w:val="18"/>
              </w:rPr>
            </w:pPr>
            <w:r>
              <w:rPr>
                <w:sz w:val="18"/>
                <w:szCs w:val="18"/>
              </w:rPr>
              <w:t>Outdoor le</w:t>
            </w:r>
            <w:r w:rsidR="00CE7E2B">
              <w:rPr>
                <w:sz w:val="18"/>
                <w:szCs w:val="18"/>
              </w:rPr>
              <w:t>arning and adventure can have a positive impact on the individual. Outdoor learning may have positive impacts on other outcomes such as self-efficacy, motivation and teamwor</w:t>
            </w:r>
            <w:r w:rsidR="00D11424">
              <w:rPr>
                <w:sz w:val="18"/>
                <w:szCs w:val="18"/>
              </w:rPr>
              <w:t xml:space="preserve">k. Outdoor adventure learning may play an important part of the wider school experience. </w:t>
            </w:r>
          </w:p>
        </w:tc>
        <w:tc>
          <w:tcPr>
            <w:tcW w:w="1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F93E0" w14:textId="3A0CD8A2" w:rsidR="00913FB3" w:rsidRDefault="00913FB3" w:rsidP="00913FB3">
            <w:pPr>
              <w:pStyle w:val="TableRowCentered"/>
              <w:ind w:left="0" w:right="0"/>
              <w:jc w:val="left"/>
              <w:rPr>
                <w:sz w:val="22"/>
              </w:rPr>
            </w:pPr>
            <w:r w:rsidRPr="0028374A">
              <w:rPr>
                <w:sz w:val="18"/>
                <w:szCs w:val="18"/>
              </w:rPr>
              <w:t xml:space="preserve">Outcome 5 – </w:t>
            </w:r>
            <w:r w:rsidR="008505DC">
              <w:rPr>
                <w:sz w:val="18"/>
                <w:szCs w:val="18"/>
              </w:rPr>
              <w:t>P</w:t>
            </w:r>
            <w:r w:rsidRPr="0028374A">
              <w:rPr>
                <w:sz w:val="18"/>
                <w:szCs w:val="18"/>
              </w:rPr>
              <w:t>ersonal interests and extra-curricular activities</w:t>
            </w:r>
            <w:r>
              <w:rPr>
                <w:sz w:val="22"/>
              </w:rPr>
              <w:t xml:space="preserve"> </w:t>
            </w:r>
          </w:p>
          <w:p w14:paraId="5F78C10E" w14:textId="77777777" w:rsidR="00913FB3" w:rsidRDefault="00913FB3" w:rsidP="00913FB3">
            <w:pPr>
              <w:pStyle w:val="TableRowCentered"/>
              <w:ind w:left="0" w:right="0"/>
              <w:jc w:val="left"/>
              <w:rPr>
                <w:sz w:val="22"/>
              </w:rPr>
            </w:pPr>
          </w:p>
          <w:p w14:paraId="36931745" w14:textId="33C8FAC4" w:rsidR="00913FB3" w:rsidRDefault="00913FB3" w:rsidP="00913FB3">
            <w:pPr>
              <w:pStyle w:val="TableRowCentered"/>
              <w:ind w:left="0" w:right="0"/>
              <w:jc w:val="left"/>
              <w:rPr>
                <w:sz w:val="18"/>
                <w:szCs w:val="18"/>
              </w:rPr>
            </w:pPr>
            <w:r w:rsidRPr="0028374A">
              <w:rPr>
                <w:sz w:val="18"/>
                <w:szCs w:val="18"/>
              </w:rPr>
              <w:t xml:space="preserve">Outcome 3 – </w:t>
            </w:r>
            <w:r w:rsidR="008505DC">
              <w:rPr>
                <w:sz w:val="18"/>
                <w:szCs w:val="18"/>
              </w:rPr>
              <w:t>S</w:t>
            </w:r>
            <w:r w:rsidRPr="0028374A">
              <w:rPr>
                <w:sz w:val="18"/>
                <w:szCs w:val="18"/>
              </w:rPr>
              <w:t>tudent wellbeing</w:t>
            </w:r>
          </w:p>
          <w:p w14:paraId="641DE751" w14:textId="77777777" w:rsidR="00485C9E" w:rsidRDefault="00485C9E" w:rsidP="00C31636">
            <w:pPr>
              <w:pStyle w:val="TableRowCentered"/>
              <w:ind w:left="0" w:right="0"/>
              <w:jc w:val="left"/>
              <w:rPr>
                <w:sz w:val="22"/>
              </w:rPr>
            </w:pPr>
          </w:p>
        </w:tc>
      </w:tr>
    </w:tbl>
    <w:p w14:paraId="2A7D5540" w14:textId="77777777" w:rsidR="00E66558" w:rsidRDefault="00E66558">
      <w:pPr>
        <w:spacing w:before="240" w:after="0"/>
        <w:rPr>
          <w:b/>
          <w:bCs/>
          <w:color w:val="104F75"/>
          <w:sz w:val="28"/>
          <w:szCs w:val="28"/>
        </w:rPr>
      </w:pPr>
    </w:p>
    <w:p w14:paraId="2A7D5541" w14:textId="6E368389" w:rsidR="00E66558" w:rsidRDefault="009D71E8" w:rsidP="00120AB1">
      <w:r w:rsidRPr="006A3FA6">
        <w:rPr>
          <w:b/>
          <w:bCs/>
          <w:color w:val="104F75"/>
          <w:sz w:val="28"/>
          <w:szCs w:val="28"/>
          <w:highlight w:val="yellow"/>
        </w:rPr>
        <w:t>Total budgeted cost: £</w:t>
      </w:r>
      <w:r w:rsidR="006A3FA6" w:rsidRPr="006A3FA6">
        <w:rPr>
          <w:b/>
          <w:bCs/>
          <w:color w:val="104F75"/>
          <w:sz w:val="28"/>
          <w:szCs w:val="28"/>
          <w:highlight w:val="yellow"/>
        </w:rPr>
        <w:t>22,885.00</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D10BA4" w14:textId="3EB7FED2" w:rsidR="001166FD" w:rsidRPr="003129BD" w:rsidRDefault="001166FD" w:rsidP="00462287">
            <w:pPr>
              <w:pStyle w:val="TableRow"/>
              <w:ind w:left="0" w:right="0"/>
              <w:rPr>
                <w:b/>
                <w:bCs/>
                <w:sz w:val="22"/>
                <w:szCs w:val="22"/>
              </w:rPr>
            </w:pPr>
            <w:r w:rsidRPr="003129BD">
              <w:rPr>
                <w:b/>
                <w:bCs/>
                <w:sz w:val="22"/>
                <w:szCs w:val="22"/>
              </w:rPr>
              <w:t xml:space="preserve">Context </w:t>
            </w:r>
          </w:p>
          <w:p w14:paraId="5379BAC6" w14:textId="75AA4745" w:rsidR="00CA1FDF" w:rsidRPr="001166FD" w:rsidRDefault="000E65AF" w:rsidP="00462287">
            <w:pPr>
              <w:pStyle w:val="TableRow"/>
              <w:ind w:left="0" w:right="0"/>
              <w:rPr>
                <w:sz w:val="22"/>
                <w:szCs w:val="22"/>
              </w:rPr>
            </w:pPr>
            <w:r w:rsidRPr="001166FD">
              <w:rPr>
                <w:sz w:val="22"/>
                <w:szCs w:val="22"/>
              </w:rPr>
              <w:t xml:space="preserve">Last year, St Andrew’s </w:t>
            </w:r>
            <w:r w:rsidR="0001282D">
              <w:rPr>
                <w:sz w:val="22"/>
                <w:szCs w:val="22"/>
              </w:rPr>
              <w:t>implemented</w:t>
            </w:r>
            <w:r w:rsidRPr="001166FD">
              <w:rPr>
                <w:sz w:val="22"/>
                <w:szCs w:val="22"/>
              </w:rPr>
              <w:t xml:space="preserve"> a number of changes to ensure </w:t>
            </w:r>
            <w:r w:rsidR="008B4DA2">
              <w:rPr>
                <w:sz w:val="22"/>
                <w:szCs w:val="22"/>
              </w:rPr>
              <w:t>all</w:t>
            </w:r>
            <w:r w:rsidR="00384156">
              <w:rPr>
                <w:sz w:val="22"/>
                <w:szCs w:val="22"/>
              </w:rPr>
              <w:t xml:space="preserve"> </w:t>
            </w:r>
            <w:r w:rsidR="00293826">
              <w:rPr>
                <w:sz w:val="22"/>
                <w:szCs w:val="22"/>
              </w:rPr>
              <w:t xml:space="preserve">students </w:t>
            </w:r>
            <w:r w:rsidR="00384156">
              <w:rPr>
                <w:sz w:val="22"/>
                <w:szCs w:val="22"/>
              </w:rPr>
              <w:t>are</w:t>
            </w:r>
            <w:r w:rsidR="00293826">
              <w:rPr>
                <w:sz w:val="22"/>
                <w:szCs w:val="22"/>
              </w:rPr>
              <w:t xml:space="preserve"> best supported to achieve their full potential</w:t>
            </w:r>
            <w:r w:rsidRPr="001166FD">
              <w:rPr>
                <w:sz w:val="22"/>
                <w:szCs w:val="22"/>
              </w:rPr>
              <w:t>. Due to the needs of our students, there is a great emphasis on meeting the social communication and mental health needs. For the initial part of the three</w:t>
            </w:r>
            <w:r w:rsidR="001166FD">
              <w:rPr>
                <w:sz w:val="22"/>
                <w:szCs w:val="22"/>
              </w:rPr>
              <w:t>-</w:t>
            </w:r>
            <w:r w:rsidRPr="001166FD">
              <w:rPr>
                <w:sz w:val="22"/>
                <w:szCs w:val="22"/>
              </w:rPr>
              <w:t xml:space="preserve">year plan, there has been a focus on using pupil premium funding </w:t>
            </w:r>
            <w:r w:rsidR="00A37A2D">
              <w:rPr>
                <w:sz w:val="22"/>
                <w:szCs w:val="22"/>
              </w:rPr>
              <w:t>to support</w:t>
            </w:r>
            <w:r w:rsidR="00357CB5">
              <w:rPr>
                <w:sz w:val="22"/>
                <w:szCs w:val="22"/>
              </w:rPr>
              <w:t xml:space="preserve"> wider strategies focusing on a range of services to support student wellbeing. </w:t>
            </w:r>
            <w:r w:rsidR="004C7817">
              <w:rPr>
                <w:sz w:val="22"/>
                <w:szCs w:val="22"/>
              </w:rPr>
              <w:t>This consolidated the opportunities available to students.</w:t>
            </w:r>
          </w:p>
          <w:p w14:paraId="798D233C" w14:textId="77777777" w:rsidR="00CA1FDF" w:rsidRDefault="00CA1FDF" w:rsidP="00462287">
            <w:pPr>
              <w:pStyle w:val="TableRow"/>
              <w:ind w:left="0" w:right="0"/>
              <w:rPr>
                <w:b/>
                <w:bCs/>
                <w:sz w:val="22"/>
                <w:szCs w:val="22"/>
              </w:rPr>
            </w:pPr>
          </w:p>
          <w:p w14:paraId="641A0603" w14:textId="77777777" w:rsidR="000B671D" w:rsidRDefault="00E90B8C" w:rsidP="00462287">
            <w:pPr>
              <w:pStyle w:val="TableRow"/>
              <w:ind w:left="0" w:right="0"/>
              <w:rPr>
                <w:b/>
                <w:bCs/>
                <w:sz w:val="22"/>
                <w:szCs w:val="22"/>
              </w:rPr>
            </w:pPr>
            <w:r w:rsidRPr="00D27D5D">
              <w:rPr>
                <w:b/>
                <w:bCs/>
                <w:sz w:val="22"/>
                <w:szCs w:val="22"/>
              </w:rPr>
              <w:t xml:space="preserve">Outcome 1 </w:t>
            </w:r>
            <w:r w:rsidR="00462287">
              <w:rPr>
                <w:b/>
                <w:bCs/>
                <w:sz w:val="22"/>
                <w:szCs w:val="22"/>
              </w:rPr>
              <w:t>–</w:t>
            </w:r>
            <w:r w:rsidRPr="00D27D5D">
              <w:rPr>
                <w:b/>
                <w:bCs/>
                <w:sz w:val="22"/>
                <w:szCs w:val="22"/>
              </w:rPr>
              <w:t xml:space="preserve"> English</w:t>
            </w:r>
            <w:r w:rsidR="00462287">
              <w:rPr>
                <w:b/>
                <w:bCs/>
                <w:sz w:val="22"/>
                <w:szCs w:val="22"/>
              </w:rPr>
              <w:t xml:space="preserve"> </w:t>
            </w:r>
          </w:p>
          <w:p w14:paraId="2729AB3B" w14:textId="09718C24" w:rsidR="00E90B8C" w:rsidRPr="00462287" w:rsidRDefault="00E90B8C" w:rsidP="00462287">
            <w:pPr>
              <w:pStyle w:val="TableRow"/>
              <w:ind w:left="0" w:right="0"/>
              <w:rPr>
                <w:b/>
                <w:bCs/>
                <w:sz w:val="22"/>
                <w:szCs w:val="22"/>
              </w:rPr>
            </w:pPr>
            <w:r w:rsidRPr="002F0E90">
              <w:rPr>
                <w:sz w:val="22"/>
                <w:szCs w:val="22"/>
              </w:rPr>
              <w:t xml:space="preserve">Improved </w:t>
            </w:r>
            <w:r>
              <w:rPr>
                <w:sz w:val="22"/>
                <w:szCs w:val="22"/>
              </w:rPr>
              <w:t>teaching</w:t>
            </w:r>
            <w:r w:rsidRPr="002F0E90">
              <w:rPr>
                <w:sz w:val="22"/>
                <w:szCs w:val="22"/>
              </w:rPr>
              <w:t xml:space="preserve"> in English shows that a higher number of students are achieving </w:t>
            </w:r>
            <w:r w:rsidR="00F32F9F">
              <w:rPr>
                <w:sz w:val="22"/>
                <w:szCs w:val="22"/>
              </w:rPr>
              <w:t>the best outcomes.</w:t>
            </w:r>
          </w:p>
          <w:p w14:paraId="7271706E" w14:textId="47B9D6B8" w:rsidR="00462287" w:rsidRPr="00141C2F" w:rsidRDefault="00141C2F" w:rsidP="00462287">
            <w:pPr>
              <w:pStyle w:val="TableRow"/>
              <w:ind w:left="0" w:right="0"/>
              <w:rPr>
                <w:color w:val="0070C0"/>
                <w:sz w:val="22"/>
                <w:szCs w:val="22"/>
              </w:rPr>
            </w:pPr>
            <w:r w:rsidRPr="00141C2F">
              <w:rPr>
                <w:color w:val="0070C0"/>
                <w:sz w:val="22"/>
                <w:szCs w:val="22"/>
              </w:rPr>
              <w:t xml:space="preserve">There is a clear understanding of the support that needs to be in place and </w:t>
            </w:r>
            <w:proofErr w:type="spellStart"/>
            <w:r w:rsidRPr="00141C2F">
              <w:rPr>
                <w:color w:val="0070C0"/>
                <w:sz w:val="22"/>
                <w:szCs w:val="22"/>
              </w:rPr>
              <w:t>PiXL</w:t>
            </w:r>
            <w:proofErr w:type="spellEnd"/>
            <w:r w:rsidRPr="00141C2F">
              <w:rPr>
                <w:color w:val="0070C0"/>
                <w:sz w:val="22"/>
                <w:szCs w:val="22"/>
              </w:rPr>
              <w:t xml:space="preserve"> and RWI training has already been source</w:t>
            </w:r>
            <w:r w:rsidR="008E5827">
              <w:rPr>
                <w:color w:val="0070C0"/>
                <w:sz w:val="22"/>
                <w:szCs w:val="22"/>
              </w:rPr>
              <w:t>d</w:t>
            </w:r>
            <w:r w:rsidRPr="00141C2F">
              <w:rPr>
                <w:color w:val="0070C0"/>
                <w:sz w:val="22"/>
                <w:szCs w:val="22"/>
              </w:rPr>
              <w:t xml:space="preserve"> for </w:t>
            </w:r>
            <w:r w:rsidR="006A0161">
              <w:rPr>
                <w:color w:val="0070C0"/>
                <w:sz w:val="22"/>
                <w:szCs w:val="22"/>
              </w:rPr>
              <w:t xml:space="preserve">this </w:t>
            </w:r>
            <w:r w:rsidRPr="00141C2F">
              <w:rPr>
                <w:color w:val="0070C0"/>
                <w:sz w:val="22"/>
                <w:szCs w:val="22"/>
              </w:rPr>
              <w:t>academic year to ensure that subject knowledge and leadership can be supported</w:t>
            </w:r>
            <w:r w:rsidR="006A0161">
              <w:rPr>
                <w:color w:val="0070C0"/>
                <w:sz w:val="22"/>
                <w:szCs w:val="22"/>
              </w:rPr>
              <w:t>,</w:t>
            </w:r>
            <w:r w:rsidRPr="00141C2F">
              <w:rPr>
                <w:color w:val="0070C0"/>
                <w:sz w:val="22"/>
                <w:szCs w:val="22"/>
              </w:rPr>
              <w:t xml:space="preserve"> leading to accelerated progress.</w:t>
            </w:r>
          </w:p>
          <w:p w14:paraId="007EF299" w14:textId="77777777" w:rsidR="00462287" w:rsidRDefault="00462287" w:rsidP="00462287">
            <w:pPr>
              <w:pStyle w:val="TableRow"/>
              <w:ind w:left="0" w:right="0"/>
              <w:rPr>
                <w:b/>
                <w:bCs/>
                <w:sz w:val="22"/>
                <w:szCs w:val="22"/>
              </w:rPr>
            </w:pPr>
          </w:p>
          <w:p w14:paraId="31CAC6E4" w14:textId="77777777" w:rsidR="000B671D" w:rsidRDefault="00462287" w:rsidP="00E124F2">
            <w:pPr>
              <w:pStyle w:val="TableRow"/>
              <w:ind w:left="0" w:right="0"/>
              <w:rPr>
                <w:b/>
                <w:bCs/>
                <w:sz w:val="22"/>
                <w:szCs w:val="22"/>
              </w:rPr>
            </w:pPr>
            <w:r w:rsidRPr="00D27D5D">
              <w:rPr>
                <w:b/>
                <w:bCs/>
                <w:sz w:val="22"/>
                <w:szCs w:val="22"/>
              </w:rPr>
              <w:t xml:space="preserve">Outcome 2 </w:t>
            </w:r>
            <w:r>
              <w:rPr>
                <w:b/>
                <w:bCs/>
                <w:sz w:val="22"/>
                <w:szCs w:val="22"/>
              </w:rPr>
              <w:t>–</w:t>
            </w:r>
            <w:r w:rsidRPr="00D27D5D">
              <w:rPr>
                <w:b/>
                <w:bCs/>
                <w:sz w:val="22"/>
                <w:szCs w:val="22"/>
              </w:rPr>
              <w:t xml:space="preserve"> As</w:t>
            </w:r>
            <w:r>
              <w:rPr>
                <w:b/>
                <w:bCs/>
                <w:sz w:val="22"/>
                <w:szCs w:val="22"/>
              </w:rPr>
              <w:t>s</w:t>
            </w:r>
            <w:r w:rsidRPr="00D27D5D">
              <w:rPr>
                <w:b/>
                <w:bCs/>
                <w:sz w:val="22"/>
                <w:szCs w:val="22"/>
              </w:rPr>
              <w:t>essment</w:t>
            </w:r>
            <w:r>
              <w:rPr>
                <w:b/>
                <w:bCs/>
                <w:sz w:val="22"/>
                <w:szCs w:val="22"/>
              </w:rPr>
              <w:t xml:space="preserve"> </w:t>
            </w:r>
          </w:p>
          <w:p w14:paraId="076E78B7" w14:textId="55657F20" w:rsidR="0064167B" w:rsidRDefault="00462287" w:rsidP="00E124F2">
            <w:pPr>
              <w:pStyle w:val="TableRow"/>
              <w:ind w:left="0" w:right="0"/>
              <w:rPr>
                <w:sz w:val="22"/>
                <w:szCs w:val="22"/>
              </w:rPr>
            </w:pPr>
            <w:r>
              <w:rPr>
                <w:sz w:val="22"/>
                <w:szCs w:val="22"/>
              </w:rPr>
              <w:t>Students, staff and parents will have a greater understanding of a students’ academic achievements and the ‘flight path’ needed to secure the best outcomes at the end of KS4.</w:t>
            </w:r>
          </w:p>
          <w:p w14:paraId="1028B648" w14:textId="7C606268" w:rsidR="00E124F2" w:rsidRDefault="00E124F2" w:rsidP="00E124F2">
            <w:pPr>
              <w:pStyle w:val="TableRow"/>
              <w:ind w:left="0" w:right="0"/>
              <w:rPr>
                <w:color w:val="0070C0"/>
                <w:sz w:val="22"/>
                <w:szCs w:val="22"/>
              </w:rPr>
            </w:pPr>
            <w:r>
              <w:rPr>
                <w:color w:val="0070C0"/>
                <w:sz w:val="22"/>
                <w:szCs w:val="22"/>
              </w:rPr>
              <w:t xml:space="preserve">Through external support, baselines against national expectations were </w:t>
            </w:r>
            <w:r w:rsidR="001719C6">
              <w:rPr>
                <w:color w:val="0070C0"/>
                <w:sz w:val="22"/>
                <w:szCs w:val="22"/>
              </w:rPr>
              <w:t xml:space="preserve">identified for curriculum subjects. Further support next academic year will ensure that </w:t>
            </w:r>
            <w:r w:rsidR="0021317A">
              <w:rPr>
                <w:color w:val="0070C0"/>
                <w:sz w:val="22"/>
                <w:szCs w:val="22"/>
              </w:rPr>
              <w:t>progress will be accelerated from these starting points using resources and CPD for support</w:t>
            </w:r>
            <w:r w:rsidR="007A4ECF">
              <w:rPr>
                <w:color w:val="0070C0"/>
                <w:sz w:val="22"/>
                <w:szCs w:val="22"/>
              </w:rPr>
              <w:t xml:space="preserve"> and monitored regularly</w:t>
            </w:r>
            <w:r w:rsidR="0021317A">
              <w:rPr>
                <w:color w:val="0070C0"/>
                <w:sz w:val="22"/>
                <w:szCs w:val="22"/>
              </w:rPr>
              <w:t>.</w:t>
            </w:r>
          </w:p>
          <w:p w14:paraId="4551D3F1" w14:textId="77777777" w:rsidR="0021317A" w:rsidRPr="00E124F2" w:rsidRDefault="0021317A" w:rsidP="00E124F2">
            <w:pPr>
              <w:pStyle w:val="TableRow"/>
              <w:ind w:left="0" w:right="0"/>
              <w:rPr>
                <w:b/>
                <w:bCs/>
                <w:color w:val="0070C0"/>
                <w:sz w:val="22"/>
                <w:szCs w:val="22"/>
              </w:rPr>
            </w:pPr>
          </w:p>
          <w:p w14:paraId="7C0E1D9A" w14:textId="77777777" w:rsidR="000B671D" w:rsidRDefault="004C0B85" w:rsidP="004C0B85">
            <w:pPr>
              <w:pStyle w:val="NoSpacing"/>
              <w:rPr>
                <w:sz w:val="22"/>
                <w:szCs w:val="22"/>
              </w:rPr>
            </w:pPr>
            <w:r w:rsidRPr="004C0B85">
              <w:rPr>
                <w:b/>
                <w:bCs/>
                <w:sz w:val="22"/>
                <w:szCs w:val="22"/>
              </w:rPr>
              <w:t>Outcome 3 – Student wellbeing</w:t>
            </w:r>
            <w:r>
              <w:rPr>
                <w:sz w:val="22"/>
                <w:szCs w:val="22"/>
              </w:rPr>
              <w:t xml:space="preserve"> </w:t>
            </w:r>
          </w:p>
          <w:p w14:paraId="555ECDCC" w14:textId="4B3CF19E" w:rsidR="004C0B85" w:rsidRDefault="004C0B85" w:rsidP="004C0B85">
            <w:pPr>
              <w:pStyle w:val="NoSpacing"/>
              <w:rPr>
                <w:sz w:val="22"/>
                <w:szCs w:val="22"/>
              </w:rPr>
            </w:pPr>
            <w:r w:rsidRPr="004C0B85">
              <w:rPr>
                <w:sz w:val="22"/>
                <w:szCs w:val="22"/>
              </w:rPr>
              <w:t xml:space="preserve">The wellbeing of all </w:t>
            </w:r>
            <w:r w:rsidR="008338EB">
              <w:rPr>
                <w:sz w:val="22"/>
                <w:szCs w:val="22"/>
              </w:rPr>
              <w:t>students</w:t>
            </w:r>
            <w:r w:rsidRPr="004C0B85">
              <w:rPr>
                <w:sz w:val="22"/>
                <w:szCs w:val="22"/>
              </w:rPr>
              <w:t xml:space="preserve"> in school continues to be a priority and any emotional and mental health issues are addressed swiftly with targeted early intervention.</w:t>
            </w:r>
          </w:p>
          <w:p w14:paraId="66E58A50" w14:textId="310B0492" w:rsidR="004C0B85" w:rsidRPr="001A6C0D" w:rsidRDefault="003122CD" w:rsidP="004C0B85">
            <w:pPr>
              <w:pStyle w:val="NoSpacing"/>
              <w:rPr>
                <w:color w:val="EE0000"/>
                <w:sz w:val="22"/>
                <w:szCs w:val="22"/>
              </w:rPr>
            </w:pPr>
            <w:r>
              <w:rPr>
                <w:color w:val="0070C0"/>
                <w:sz w:val="22"/>
                <w:szCs w:val="22"/>
              </w:rPr>
              <w:t>Supporting student w</w:t>
            </w:r>
            <w:r w:rsidR="0021317A">
              <w:rPr>
                <w:color w:val="0070C0"/>
                <w:sz w:val="22"/>
                <w:szCs w:val="22"/>
              </w:rPr>
              <w:t xml:space="preserve">ellbeing is a strength of the school and </w:t>
            </w:r>
            <w:r w:rsidR="008338EB">
              <w:rPr>
                <w:color w:val="0070C0"/>
                <w:sz w:val="22"/>
                <w:szCs w:val="22"/>
              </w:rPr>
              <w:t>students</w:t>
            </w:r>
            <w:r w:rsidR="0021317A">
              <w:rPr>
                <w:color w:val="0070C0"/>
                <w:sz w:val="22"/>
                <w:szCs w:val="22"/>
              </w:rPr>
              <w:t xml:space="preserve"> are supported through a wide range of initiatives</w:t>
            </w:r>
            <w:r w:rsidR="00834E6C">
              <w:rPr>
                <w:color w:val="0070C0"/>
                <w:sz w:val="22"/>
                <w:szCs w:val="22"/>
              </w:rPr>
              <w:t xml:space="preserve"> available to students – counselling, highly qualified and skilled staff, therapeutic interventions, Forest Schoo</w:t>
            </w:r>
            <w:r>
              <w:rPr>
                <w:color w:val="0070C0"/>
                <w:sz w:val="22"/>
                <w:szCs w:val="22"/>
              </w:rPr>
              <w:t xml:space="preserve">l </w:t>
            </w:r>
            <w:r w:rsidR="00834E6C">
              <w:rPr>
                <w:color w:val="0070C0"/>
                <w:sz w:val="22"/>
                <w:szCs w:val="22"/>
              </w:rPr>
              <w:t xml:space="preserve">and RDA. Students are well </w:t>
            </w:r>
            <w:r w:rsidR="001A6C0D">
              <w:rPr>
                <w:color w:val="0070C0"/>
                <w:sz w:val="22"/>
                <w:szCs w:val="22"/>
              </w:rPr>
              <w:t xml:space="preserve">supported. Next year, the implementation of Thrive will also </w:t>
            </w:r>
            <w:r w:rsidR="00AD10C9">
              <w:rPr>
                <w:color w:val="0070C0"/>
                <w:sz w:val="22"/>
                <w:szCs w:val="22"/>
              </w:rPr>
              <w:t xml:space="preserve">enable </w:t>
            </w:r>
            <w:r w:rsidR="001A6C0D">
              <w:rPr>
                <w:color w:val="0070C0"/>
                <w:sz w:val="22"/>
                <w:szCs w:val="22"/>
              </w:rPr>
              <w:t>emotional wellbeing to be formally monitored with measurable progress outcomes.</w:t>
            </w:r>
            <w:r w:rsidR="001A6C0D">
              <w:rPr>
                <w:color w:val="EE0000"/>
                <w:sz w:val="22"/>
                <w:szCs w:val="22"/>
              </w:rPr>
              <w:t xml:space="preserve"> </w:t>
            </w:r>
          </w:p>
          <w:p w14:paraId="22E08287" w14:textId="77777777" w:rsidR="00A848C9" w:rsidRDefault="00A848C9" w:rsidP="004C0B85">
            <w:pPr>
              <w:pStyle w:val="NoSpacing"/>
              <w:rPr>
                <w:sz w:val="22"/>
                <w:szCs w:val="22"/>
              </w:rPr>
            </w:pPr>
          </w:p>
          <w:p w14:paraId="44B82E2D" w14:textId="77777777" w:rsidR="000B671D" w:rsidRDefault="00A848C9" w:rsidP="00A848C9">
            <w:pPr>
              <w:pStyle w:val="TableRow"/>
              <w:ind w:left="0" w:right="0"/>
              <w:rPr>
                <w:b/>
                <w:bCs/>
                <w:sz w:val="22"/>
                <w:szCs w:val="22"/>
              </w:rPr>
            </w:pPr>
            <w:r w:rsidRPr="00D27D5D">
              <w:rPr>
                <w:b/>
                <w:bCs/>
                <w:sz w:val="22"/>
                <w:szCs w:val="22"/>
              </w:rPr>
              <w:t>Outcome 4 – ‘Options’ and Careers</w:t>
            </w:r>
            <w:r>
              <w:rPr>
                <w:b/>
                <w:bCs/>
                <w:sz w:val="22"/>
                <w:szCs w:val="22"/>
              </w:rPr>
              <w:t xml:space="preserve"> </w:t>
            </w:r>
          </w:p>
          <w:p w14:paraId="70CAF1E5" w14:textId="449289AB" w:rsidR="00A848C9" w:rsidRPr="00A848C9" w:rsidRDefault="00A848C9" w:rsidP="00A848C9">
            <w:pPr>
              <w:pStyle w:val="TableRow"/>
              <w:ind w:left="0" w:right="0"/>
              <w:rPr>
                <w:b/>
                <w:bCs/>
                <w:sz w:val="22"/>
                <w:szCs w:val="22"/>
              </w:rPr>
            </w:pPr>
            <w:r>
              <w:rPr>
                <w:sz w:val="22"/>
                <w:szCs w:val="22"/>
              </w:rPr>
              <w:t xml:space="preserve">Students will have a greater range of ‘Options’ available to study to meet individual needs and interests to support future careers and life beyond St Andrew’s. </w:t>
            </w:r>
          </w:p>
          <w:p w14:paraId="7B603454" w14:textId="2A3E5E8D" w:rsidR="004C0B85" w:rsidRPr="001A6C0D" w:rsidRDefault="00BC52A0" w:rsidP="004C0B85">
            <w:pPr>
              <w:pStyle w:val="NoSpacing"/>
              <w:rPr>
                <w:color w:val="EE0000"/>
                <w:sz w:val="22"/>
                <w:szCs w:val="22"/>
              </w:rPr>
            </w:pPr>
            <w:r>
              <w:rPr>
                <w:color w:val="0070C0"/>
                <w:sz w:val="22"/>
                <w:szCs w:val="22"/>
              </w:rPr>
              <w:t xml:space="preserve">Students were offered ‘Options’ and where </w:t>
            </w:r>
            <w:r w:rsidR="001A6C0D">
              <w:rPr>
                <w:color w:val="0070C0"/>
                <w:sz w:val="22"/>
                <w:szCs w:val="22"/>
              </w:rPr>
              <w:t>identified</w:t>
            </w:r>
            <w:r w:rsidR="00FF32A4">
              <w:rPr>
                <w:color w:val="0070C0"/>
                <w:sz w:val="22"/>
                <w:szCs w:val="22"/>
              </w:rPr>
              <w:t>,</w:t>
            </w:r>
            <w:r w:rsidR="001A6C0D">
              <w:rPr>
                <w:color w:val="0070C0"/>
                <w:sz w:val="22"/>
                <w:szCs w:val="22"/>
              </w:rPr>
              <w:t xml:space="preserve"> external providers were </w:t>
            </w:r>
            <w:r w:rsidR="00FF32A4">
              <w:rPr>
                <w:color w:val="0070C0"/>
                <w:sz w:val="22"/>
                <w:szCs w:val="22"/>
              </w:rPr>
              <w:t>sourced</w:t>
            </w:r>
            <w:r w:rsidR="001A6C0D">
              <w:rPr>
                <w:color w:val="0070C0"/>
                <w:sz w:val="22"/>
                <w:szCs w:val="22"/>
              </w:rPr>
              <w:t xml:space="preserve"> to enable students to access further </w:t>
            </w:r>
            <w:r w:rsidR="00C23CA6">
              <w:rPr>
                <w:color w:val="0070C0"/>
                <w:sz w:val="22"/>
                <w:szCs w:val="22"/>
              </w:rPr>
              <w:t>learning path</w:t>
            </w:r>
            <w:r w:rsidR="000644DC">
              <w:rPr>
                <w:color w:val="0070C0"/>
                <w:sz w:val="22"/>
                <w:szCs w:val="22"/>
              </w:rPr>
              <w:t>w</w:t>
            </w:r>
            <w:r w:rsidR="00C23CA6">
              <w:rPr>
                <w:color w:val="0070C0"/>
                <w:sz w:val="22"/>
                <w:szCs w:val="22"/>
              </w:rPr>
              <w:t>ays</w:t>
            </w:r>
            <w:r w:rsidR="001A6C0D">
              <w:rPr>
                <w:color w:val="0070C0"/>
                <w:sz w:val="22"/>
                <w:szCs w:val="22"/>
              </w:rPr>
              <w:t xml:space="preserve"> leading to post 1</w:t>
            </w:r>
            <w:r w:rsidR="00F2591B">
              <w:rPr>
                <w:color w:val="0070C0"/>
                <w:sz w:val="22"/>
                <w:szCs w:val="22"/>
              </w:rPr>
              <w:t>6</w:t>
            </w:r>
            <w:r w:rsidR="001A6C0D">
              <w:rPr>
                <w:color w:val="0070C0"/>
                <w:sz w:val="22"/>
                <w:szCs w:val="22"/>
              </w:rPr>
              <w:t xml:space="preserve"> opportunities.</w:t>
            </w:r>
            <w:r w:rsidR="001A6C0D">
              <w:rPr>
                <w:color w:val="EE0000"/>
                <w:sz w:val="22"/>
                <w:szCs w:val="22"/>
              </w:rPr>
              <w:t xml:space="preserve"> </w:t>
            </w:r>
          </w:p>
          <w:p w14:paraId="6EB08D17" w14:textId="77777777" w:rsidR="00A848C9" w:rsidRDefault="00A848C9" w:rsidP="004C0B85">
            <w:pPr>
              <w:pStyle w:val="NoSpacing"/>
              <w:rPr>
                <w:sz w:val="22"/>
                <w:szCs w:val="22"/>
              </w:rPr>
            </w:pPr>
          </w:p>
          <w:p w14:paraId="1AE6F284" w14:textId="77777777" w:rsidR="000B671D" w:rsidRDefault="00CA1FDF" w:rsidP="00CA1FDF">
            <w:pPr>
              <w:pStyle w:val="TableRow"/>
              <w:ind w:left="0" w:right="0"/>
              <w:rPr>
                <w:b/>
                <w:bCs/>
                <w:sz w:val="22"/>
                <w:szCs w:val="22"/>
              </w:rPr>
            </w:pPr>
            <w:r>
              <w:rPr>
                <w:b/>
                <w:bCs/>
                <w:sz w:val="22"/>
                <w:szCs w:val="22"/>
              </w:rPr>
              <w:t>Outcome 5 – Personal interests and extra-curricular activities</w:t>
            </w:r>
          </w:p>
          <w:p w14:paraId="3A52AD8B" w14:textId="1A02356D" w:rsidR="00CA1FDF" w:rsidRDefault="00CA1FDF" w:rsidP="00CA1FDF">
            <w:pPr>
              <w:pStyle w:val="TableRow"/>
              <w:ind w:left="0" w:right="0"/>
              <w:rPr>
                <w:sz w:val="22"/>
                <w:szCs w:val="22"/>
              </w:rPr>
            </w:pPr>
            <w:r>
              <w:rPr>
                <w:sz w:val="22"/>
                <w:szCs w:val="22"/>
              </w:rPr>
              <w:t>Students will have the opportunities to pursue personal interest</w:t>
            </w:r>
            <w:r w:rsidR="00BB7408">
              <w:rPr>
                <w:sz w:val="22"/>
                <w:szCs w:val="22"/>
              </w:rPr>
              <w:t>s</w:t>
            </w:r>
            <w:r>
              <w:rPr>
                <w:sz w:val="22"/>
                <w:szCs w:val="22"/>
              </w:rPr>
              <w:t>.</w:t>
            </w:r>
          </w:p>
          <w:p w14:paraId="46E69E5A" w14:textId="4B280263" w:rsidR="001A6C0D" w:rsidRPr="00E10A98" w:rsidRDefault="001A6C0D" w:rsidP="00CA1FDF">
            <w:pPr>
              <w:pStyle w:val="TableRow"/>
              <w:ind w:left="0" w:right="0"/>
              <w:rPr>
                <w:color w:val="EE0000"/>
                <w:sz w:val="22"/>
                <w:szCs w:val="22"/>
              </w:rPr>
            </w:pPr>
            <w:r w:rsidRPr="00E10A98">
              <w:rPr>
                <w:color w:val="0070C0"/>
                <w:sz w:val="22"/>
                <w:szCs w:val="22"/>
              </w:rPr>
              <w:t>Through the carefully timetable</w:t>
            </w:r>
            <w:r w:rsidR="000644DC">
              <w:rPr>
                <w:color w:val="0070C0"/>
                <w:sz w:val="22"/>
                <w:szCs w:val="22"/>
              </w:rPr>
              <w:t>d</w:t>
            </w:r>
            <w:r w:rsidRPr="00E10A98">
              <w:rPr>
                <w:color w:val="0070C0"/>
                <w:sz w:val="22"/>
                <w:szCs w:val="22"/>
              </w:rPr>
              <w:t xml:space="preserve"> social skills lessons</w:t>
            </w:r>
            <w:r w:rsidR="00E10A98" w:rsidRPr="00E10A98">
              <w:rPr>
                <w:color w:val="0070C0"/>
                <w:sz w:val="22"/>
                <w:szCs w:val="22"/>
              </w:rPr>
              <w:t xml:space="preserve"> and trips, visits and visitors linked to career opportunities, lunchtime clubs and externally sourced activities such as RDA, Forest School and Music lessons there was a broad range of experiences linked to </w:t>
            </w:r>
            <w:r w:rsidR="00BF0AA2">
              <w:rPr>
                <w:color w:val="0070C0"/>
                <w:sz w:val="22"/>
                <w:szCs w:val="22"/>
              </w:rPr>
              <w:t xml:space="preserve">the </w:t>
            </w:r>
            <w:r w:rsidR="00E10A98" w:rsidRPr="00E10A98">
              <w:rPr>
                <w:color w:val="0070C0"/>
                <w:sz w:val="22"/>
                <w:szCs w:val="22"/>
              </w:rPr>
              <w:t>student</w:t>
            </w:r>
            <w:r w:rsidR="00BF0AA2">
              <w:rPr>
                <w:color w:val="0070C0"/>
                <w:sz w:val="22"/>
                <w:szCs w:val="22"/>
              </w:rPr>
              <w:t>s’</w:t>
            </w:r>
            <w:r w:rsidR="00E10A98" w:rsidRPr="00E10A98">
              <w:rPr>
                <w:color w:val="0070C0"/>
                <w:sz w:val="22"/>
                <w:szCs w:val="22"/>
              </w:rPr>
              <w:t xml:space="preserve"> interests</w:t>
            </w:r>
            <w:r w:rsidR="00A42847">
              <w:rPr>
                <w:color w:val="0070C0"/>
                <w:sz w:val="22"/>
                <w:szCs w:val="22"/>
              </w:rPr>
              <w:t xml:space="preserve"> available and accessed</w:t>
            </w:r>
            <w:r w:rsidR="00BF0AA2">
              <w:rPr>
                <w:color w:val="0070C0"/>
                <w:sz w:val="22"/>
                <w:szCs w:val="22"/>
              </w:rPr>
              <w:t>.</w:t>
            </w:r>
          </w:p>
          <w:p w14:paraId="5023926C" w14:textId="5EB28A06" w:rsidR="00A848C9" w:rsidRPr="004C0B85" w:rsidRDefault="00A848C9" w:rsidP="004C0B85">
            <w:pPr>
              <w:pStyle w:val="NoSpacing"/>
              <w:rPr>
                <w:sz w:val="22"/>
                <w:szCs w:val="22"/>
              </w:rPr>
            </w:pPr>
          </w:p>
        </w:tc>
      </w:tr>
    </w:tbl>
    <w:p w14:paraId="5DB43CCA" w14:textId="227663EE" w:rsidR="001A6C0D" w:rsidRDefault="001A6C0D">
      <w:pPr>
        <w:suppressAutoHyphens w:val="0"/>
        <w:spacing w:after="0" w:line="240" w:lineRule="auto"/>
        <w:rPr>
          <w:b/>
          <w:color w:val="104F75"/>
          <w:sz w:val="32"/>
          <w:szCs w:val="32"/>
        </w:rPr>
      </w:pPr>
    </w:p>
    <w:p w14:paraId="2A7D5548" w14:textId="5B4769D7" w:rsidR="00E66558" w:rsidRDefault="006D6372" w:rsidP="00A82A98">
      <w:pPr>
        <w:pStyle w:val="Heading2"/>
      </w:pPr>
      <w:r>
        <w:lastRenderedPageBreak/>
        <w:t>E</w:t>
      </w:r>
      <w:r w:rsidR="009D71E8">
        <w:t xml:space="preserve">xternally provided </w:t>
      </w:r>
      <w:r w:rsidR="009D71E8" w:rsidRPr="00781713">
        <w:t>programmes</w:t>
      </w:r>
    </w:p>
    <w:p w14:paraId="2A7D5549" w14:textId="6982BE0C"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rsidP="00F54FCB">
            <w:pPr>
              <w:pStyle w:val="TableHeader"/>
              <w:ind w:left="0" w:right="0"/>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rsidP="00F54FCB">
            <w:pPr>
              <w:pStyle w:val="TableHeader"/>
              <w:ind w:left="0" w:right="0"/>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D" w14:textId="4071E408" w:rsidR="00E66558" w:rsidRDefault="00F43C80" w:rsidP="00F54FCB">
            <w:pPr>
              <w:pStyle w:val="TableRow"/>
              <w:ind w:left="0" w:right="0"/>
            </w:pPr>
            <w:r>
              <w:t>Thrive</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E" w14:textId="791F2105" w:rsidR="00E66558" w:rsidRDefault="008428F3" w:rsidP="00F54FCB">
            <w:pPr>
              <w:pStyle w:val="TableRowCentered"/>
              <w:ind w:left="0" w:right="0"/>
              <w:jc w:val="left"/>
            </w:pPr>
            <w:hyperlink r:id="rId15" w:history="1">
              <w:r w:rsidR="00F43C80" w:rsidRPr="0040457C">
                <w:rPr>
                  <w:rStyle w:val="Hyperlink"/>
                </w:rPr>
                <w:t>www.thriveapproach.com</w:t>
              </w:r>
            </w:hyperlink>
            <w:r w:rsidR="00F43C80">
              <w:t xml:space="preserve"> </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0" w14:textId="6BBC66BC" w:rsidR="00E66558" w:rsidRDefault="00F43C80" w:rsidP="00F54FCB">
            <w:pPr>
              <w:pStyle w:val="TableRow"/>
              <w:ind w:left="0" w:right="0"/>
            </w:pPr>
            <w:r>
              <w:t>Read Write Inc. Portal</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1" w14:textId="47D745F2" w:rsidR="00E66558" w:rsidRDefault="00F43C80" w:rsidP="00F54FCB">
            <w:pPr>
              <w:pStyle w:val="TableRowCentered"/>
              <w:ind w:left="0" w:right="0"/>
              <w:jc w:val="left"/>
            </w:pPr>
            <w:r>
              <w:t>Ruth Miskin and Read Write Inc.</w:t>
            </w:r>
          </w:p>
        </w:tc>
      </w:tr>
    </w:tbl>
    <w:p w14:paraId="2A7D555F" w14:textId="77777777" w:rsidR="00E66558" w:rsidRDefault="00E66558">
      <w:pPr>
        <w:spacing w:after="0" w:line="240" w:lineRule="auto"/>
      </w:pPr>
    </w:p>
    <w:bookmarkEnd w:id="14"/>
    <w:bookmarkEnd w:id="15"/>
    <w:bookmarkEnd w:id="16"/>
    <w:p w14:paraId="4065D0CC" w14:textId="77777777" w:rsidR="00C01A9A" w:rsidRDefault="00C01A9A">
      <w:pPr>
        <w:spacing w:after="0" w:line="240" w:lineRule="auto"/>
      </w:pPr>
    </w:p>
    <w:sectPr w:rsidR="00C01A9A">
      <w:headerReference w:type="default" r:id="rId16"/>
      <w:footerReference w:type="default" r:id="rId17"/>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AC73E" w14:textId="77777777" w:rsidR="00B558DA" w:rsidRDefault="00B558DA">
      <w:pPr>
        <w:spacing w:after="0" w:line="240" w:lineRule="auto"/>
      </w:pPr>
      <w:r>
        <w:separator/>
      </w:r>
    </w:p>
  </w:endnote>
  <w:endnote w:type="continuationSeparator" w:id="0">
    <w:p w14:paraId="0D584FA9" w14:textId="77777777" w:rsidR="00B558DA" w:rsidRDefault="00B558DA">
      <w:pPr>
        <w:spacing w:after="0" w:line="240" w:lineRule="auto"/>
      </w:pPr>
      <w:r>
        <w:continuationSeparator/>
      </w:r>
    </w:p>
  </w:endnote>
  <w:endnote w:type="continuationNotice" w:id="1">
    <w:p w14:paraId="399FBC4A" w14:textId="77777777" w:rsidR="00B558DA" w:rsidRDefault="00B558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5F5E9" w14:textId="77777777" w:rsidR="00B558DA" w:rsidRDefault="00B558DA">
      <w:pPr>
        <w:spacing w:after="0" w:line="240" w:lineRule="auto"/>
      </w:pPr>
      <w:r>
        <w:separator/>
      </w:r>
    </w:p>
  </w:footnote>
  <w:footnote w:type="continuationSeparator" w:id="0">
    <w:p w14:paraId="181D32CF" w14:textId="77777777" w:rsidR="00B558DA" w:rsidRDefault="00B558DA">
      <w:pPr>
        <w:spacing w:after="0" w:line="240" w:lineRule="auto"/>
      </w:pPr>
      <w:r>
        <w:continuationSeparator/>
      </w:r>
    </w:p>
  </w:footnote>
  <w:footnote w:type="continuationNotice" w:id="1">
    <w:p w14:paraId="41A4DEBA" w14:textId="77777777" w:rsidR="00B558DA" w:rsidRDefault="00B558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2"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4"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5"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7FF0732F"/>
    <w:multiLevelType w:val="hybridMultilevel"/>
    <w:tmpl w:val="5A70E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711259">
    <w:abstractNumId w:val="5"/>
  </w:num>
  <w:num w:numId="2" w16cid:durableId="1628730595">
    <w:abstractNumId w:val="3"/>
  </w:num>
  <w:num w:numId="3" w16cid:durableId="497188144">
    <w:abstractNumId w:val="6"/>
  </w:num>
  <w:num w:numId="4" w16cid:durableId="1138914232">
    <w:abstractNumId w:val="7"/>
  </w:num>
  <w:num w:numId="5" w16cid:durableId="857932188">
    <w:abstractNumId w:val="0"/>
  </w:num>
  <w:num w:numId="6" w16cid:durableId="798501009">
    <w:abstractNumId w:val="8"/>
  </w:num>
  <w:num w:numId="7" w16cid:durableId="1210847263">
    <w:abstractNumId w:val="12"/>
  </w:num>
  <w:num w:numId="8" w16cid:durableId="982348153">
    <w:abstractNumId w:val="16"/>
  </w:num>
  <w:num w:numId="9" w16cid:durableId="1529290868">
    <w:abstractNumId w:val="14"/>
  </w:num>
  <w:num w:numId="10" w16cid:durableId="1171066271">
    <w:abstractNumId w:val="13"/>
  </w:num>
  <w:num w:numId="11" w16cid:durableId="1453552857">
    <w:abstractNumId w:val="4"/>
  </w:num>
  <w:num w:numId="12" w16cid:durableId="1812097430">
    <w:abstractNumId w:val="15"/>
  </w:num>
  <w:num w:numId="13" w16cid:durableId="42288650">
    <w:abstractNumId w:val="11"/>
  </w:num>
  <w:num w:numId="14" w16cid:durableId="1721712531">
    <w:abstractNumId w:val="9"/>
  </w:num>
  <w:num w:numId="15" w16cid:durableId="1235432793">
    <w:abstractNumId w:val="2"/>
  </w:num>
  <w:num w:numId="16" w16cid:durableId="884678859">
    <w:abstractNumId w:val="1"/>
  </w:num>
  <w:num w:numId="17" w16cid:durableId="826165421">
    <w:abstractNumId w:val="10"/>
  </w:num>
  <w:num w:numId="18" w16cid:durableId="103831670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620"/>
    <w:rsid w:val="00003A45"/>
    <w:rsid w:val="0000537E"/>
    <w:rsid w:val="00007067"/>
    <w:rsid w:val="0001282D"/>
    <w:rsid w:val="00020512"/>
    <w:rsid w:val="00023729"/>
    <w:rsid w:val="000243B4"/>
    <w:rsid w:val="00024E13"/>
    <w:rsid w:val="0002530E"/>
    <w:rsid w:val="0002710D"/>
    <w:rsid w:val="00031EA0"/>
    <w:rsid w:val="00036678"/>
    <w:rsid w:val="000452EB"/>
    <w:rsid w:val="00045603"/>
    <w:rsid w:val="000463AE"/>
    <w:rsid w:val="000507A3"/>
    <w:rsid w:val="00052EC8"/>
    <w:rsid w:val="00060A62"/>
    <w:rsid w:val="00060BE7"/>
    <w:rsid w:val="000612E0"/>
    <w:rsid w:val="00064366"/>
    <w:rsid w:val="000644DC"/>
    <w:rsid w:val="00066B73"/>
    <w:rsid w:val="00071481"/>
    <w:rsid w:val="00071D77"/>
    <w:rsid w:val="000730F9"/>
    <w:rsid w:val="00073706"/>
    <w:rsid w:val="00075FAE"/>
    <w:rsid w:val="00082F38"/>
    <w:rsid w:val="000837DB"/>
    <w:rsid w:val="0008384B"/>
    <w:rsid w:val="00083A81"/>
    <w:rsid w:val="000929EC"/>
    <w:rsid w:val="00093CDE"/>
    <w:rsid w:val="000A5C58"/>
    <w:rsid w:val="000A6379"/>
    <w:rsid w:val="000A7B13"/>
    <w:rsid w:val="000B0D49"/>
    <w:rsid w:val="000B203E"/>
    <w:rsid w:val="000B671D"/>
    <w:rsid w:val="000C0B9C"/>
    <w:rsid w:val="000C40B4"/>
    <w:rsid w:val="000D22B0"/>
    <w:rsid w:val="000D318D"/>
    <w:rsid w:val="000D35C9"/>
    <w:rsid w:val="000D520C"/>
    <w:rsid w:val="000D6596"/>
    <w:rsid w:val="000D6779"/>
    <w:rsid w:val="000E65AF"/>
    <w:rsid w:val="000E6DF0"/>
    <w:rsid w:val="001025E5"/>
    <w:rsid w:val="001037CB"/>
    <w:rsid w:val="0010562C"/>
    <w:rsid w:val="0010629E"/>
    <w:rsid w:val="001116D2"/>
    <w:rsid w:val="00114288"/>
    <w:rsid w:val="00114DC7"/>
    <w:rsid w:val="00115538"/>
    <w:rsid w:val="001166FD"/>
    <w:rsid w:val="00116FA8"/>
    <w:rsid w:val="00120AB1"/>
    <w:rsid w:val="00123A7F"/>
    <w:rsid w:val="001278D0"/>
    <w:rsid w:val="00127F72"/>
    <w:rsid w:val="00140646"/>
    <w:rsid w:val="00141C2F"/>
    <w:rsid w:val="0014409B"/>
    <w:rsid w:val="00147A4B"/>
    <w:rsid w:val="00150602"/>
    <w:rsid w:val="0015160E"/>
    <w:rsid w:val="00152554"/>
    <w:rsid w:val="00155944"/>
    <w:rsid w:val="001559D7"/>
    <w:rsid w:val="0016523C"/>
    <w:rsid w:val="001671ED"/>
    <w:rsid w:val="00167C1B"/>
    <w:rsid w:val="00170714"/>
    <w:rsid w:val="001719C6"/>
    <w:rsid w:val="00171D79"/>
    <w:rsid w:val="0017264D"/>
    <w:rsid w:val="001727FA"/>
    <w:rsid w:val="00172B0F"/>
    <w:rsid w:val="00173D4C"/>
    <w:rsid w:val="001759B6"/>
    <w:rsid w:val="001761E3"/>
    <w:rsid w:val="001766E6"/>
    <w:rsid w:val="001775B2"/>
    <w:rsid w:val="00181A7E"/>
    <w:rsid w:val="00182FD8"/>
    <w:rsid w:val="00183218"/>
    <w:rsid w:val="00184079"/>
    <w:rsid w:val="00185988"/>
    <w:rsid w:val="00186666"/>
    <w:rsid w:val="001873B6"/>
    <w:rsid w:val="001901E6"/>
    <w:rsid w:val="00191305"/>
    <w:rsid w:val="00191BE2"/>
    <w:rsid w:val="001948FB"/>
    <w:rsid w:val="00195B55"/>
    <w:rsid w:val="001A24CA"/>
    <w:rsid w:val="001A2FE8"/>
    <w:rsid w:val="001A33AC"/>
    <w:rsid w:val="001A4AD5"/>
    <w:rsid w:val="001A6C0D"/>
    <w:rsid w:val="001C1C51"/>
    <w:rsid w:val="001D4FC9"/>
    <w:rsid w:val="001E072A"/>
    <w:rsid w:val="001E0ECA"/>
    <w:rsid w:val="001E206F"/>
    <w:rsid w:val="001E5750"/>
    <w:rsid w:val="001E66BA"/>
    <w:rsid w:val="001E7739"/>
    <w:rsid w:val="001F2C9A"/>
    <w:rsid w:val="001F3DB4"/>
    <w:rsid w:val="001F50B1"/>
    <w:rsid w:val="001F7564"/>
    <w:rsid w:val="001F7C06"/>
    <w:rsid w:val="0020315F"/>
    <w:rsid w:val="00203DB9"/>
    <w:rsid w:val="00204F40"/>
    <w:rsid w:val="00205DEF"/>
    <w:rsid w:val="00207824"/>
    <w:rsid w:val="002112C3"/>
    <w:rsid w:val="0021317A"/>
    <w:rsid w:val="002131E5"/>
    <w:rsid w:val="00216C8A"/>
    <w:rsid w:val="0022174A"/>
    <w:rsid w:val="00226317"/>
    <w:rsid w:val="00231539"/>
    <w:rsid w:val="00233A0B"/>
    <w:rsid w:val="002352E4"/>
    <w:rsid w:val="0024189B"/>
    <w:rsid w:val="00242093"/>
    <w:rsid w:val="00243F22"/>
    <w:rsid w:val="00245978"/>
    <w:rsid w:val="002523E3"/>
    <w:rsid w:val="00252AD6"/>
    <w:rsid w:val="002542CE"/>
    <w:rsid w:val="00257A4E"/>
    <w:rsid w:val="002624B0"/>
    <w:rsid w:val="0026374E"/>
    <w:rsid w:val="00266FA5"/>
    <w:rsid w:val="0026796D"/>
    <w:rsid w:val="00276FBA"/>
    <w:rsid w:val="00277665"/>
    <w:rsid w:val="00280E9E"/>
    <w:rsid w:val="0028374A"/>
    <w:rsid w:val="002837AE"/>
    <w:rsid w:val="00287CEC"/>
    <w:rsid w:val="00287FA8"/>
    <w:rsid w:val="002920F4"/>
    <w:rsid w:val="00293826"/>
    <w:rsid w:val="002940F3"/>
    <w:rsid w:val="0029519A"/>
    <w:rsid w:val="00295842"/>
    <w:rsid w:val="00297C09"/>
    <w:rsid w:val="002A5F6F"/>
    <w:rsid w:val="002B07D0"/>
    <w:rsid w:val="002B3574"/>
    <w:rsid w:val="002B6B74"/>
    <w:rsid w:val="002C6AE7"/>
    <w:rsid w:val="002D2D4B"/>
    <w:rsid w:val="002D3805"/>
    <w:rsid w:val="002D7292"/>
    <w:rsid w:val="002E66AE"/>
    <w:rsid w:val="002E7763"/>
    <w:rsid w:val="002F0E90"/>
    <w:rsid w:val="002F4C6F"/>
    <w:rsid w:val="002F5011"/>
    <w:rsid w:val="002F5842"/>
    <w:rsid w:val="002F7847"/>
    <w:rsid w:val="00301777"/>
    <w:rsid w:val="00306CB7"/>
    <w:rsid w:val="00307ABF"/>
    <w:rsid w:val="003103A8"/>
    <w:rsid w:val="003111F5"/>
    <w:rsid w:val="003122CD"/>
    <w:rsid w:val="003129BD"/>
    <w:rsid w:val="00317664"/>
    <w:rsid w:val="00327C8F"/>
    <w:rsid w:val="00335EFE"/>
    <w:rsid w:val="00336200"/>
    <w:rsid w:val="00337418"/>
    <w:rsid w:val="00351D83"/>
    <w:rsid w:val="00352197"/>
    <w:rsid w:val="00353E46"/>
    <w:rsid w:val="00356478"/>
    <w:rsid w:val="003576C4"/>
    <w:rsid w:val="00357CB5"/>
    <w:rsid w:val="0036277A"/>
    <w:rsid w:val="00366AB0"/>
    <w:rsid w:val="003700E8"/>
    <w:rsid w:val="00370B5C"/>
    <w:rsid w:val="0037105A"/>
    <w:rsid w:val="003716FF"/>
    <w:rsid w:val="0037437C"/>
    <w:rsid w:val="00381127"/>
    <w:rsid w:val="0038146B"/>
    <w:rsid w:val="0038340F"/>
    <w:rsid w:val="00384156"/>
    <w:rsid w:val="00384457"/>
    <w:rsid w:val="00384F24"/>
    <w:rsid w:val="003A32B2"/>
    <w:rsid w:val="003A47DD"/>
    <w:rsid w:val="003A5F67"/>
    <w:rsid w:val="003A634F"/>
    <w:rsid w:val="003B14C1"/>
    <w:rsid w:val="003B2884"/>
    <w:rsid w:val="003B588A"/>
    <w:rsid w:val="003B621D"/>
    <w:rsid w:val="003C4388"/>
    <w:rsid w:val="003C4C27"/>
    <w:rsid w:val="003C57BF"/>
    <w:rsid w:val="003C7F7B"/>
    <w:rsid w:val="003D0CD6"/>
    <w:rsid w:val="003D2EAA"/>
    <w:rsid w:val="003D4075"/>
    <w:rsid w:val="003D448C"/>
    <w:rsid w:val="003E054C"/>
    <w:rsid w:val="003E1EC5"/>
    <w:rsid w:val="003E27A0"/>
    <w:rsid w:val="003E3872"/>
    <w:rsid w:val="003E73F2"/>
    <w:rsid w:val="004044AA"/>
    <w:rsid w:val="004044C8"/>
    <w:rsid w:val="00404F3F"/>
    <w:rsid w:val="00407C66"/>
    <w:rsid w:val="00410B5D"/>
    <w:rsid w:val="00413BEC"/>
    <w:rsid w:val="00417E3C"/>
    <w:rsid w:val="00420DD2"/>
    <w:rsid w:val="00421851"/>
    <w:rsid w:val="0042265E"/>
    <w:rsid w:val="00422A55"/>
    <w:rsid w:val="00424ED7"/>
    <w:rsid w:val="00425258"/>
    <w:rsid w:val="00426217"/>
    <w:rsid w:val="00431A80"/>
    <w:rsid w:val="00433641"/>
    <w:rsid w:val="00435A89"/>
    <w:rsid w:val="00452267"/>
    <w:rsid w:val="00453307"/>
    <w:rsid w:val="00454EE1"/>
    <w:rsid w:val="00455A02"/>
    <w:rsid w:val="00456AE2"/>
    <w:rsid w:val="00457E36"/>
    <w:rsid w:val="00460BD3"/>
    <w:rsid w:val="00462287"/>
    <w:rsid w:val="00462F8F"/>
    <w:rsid w:val="00466624"/>
    <w:rsid w:val="004708F2"/>
    <w:rsid w:val="004724DE"/>
    <w:rsid w:val="004770FE"/>
    <w:rsid w:val="00477358"/>
    <w:rsid w:val="00477464"/>
    <w:rsid w:val="0048157F"/>
    <w:rsid w:val="00481D56"/>
    <w:rsid w:val="00485C9E"/>
    <w:rsid w:val="00490408"/>
    <w:rsid w:val="004957F4"/>
    <w:rsid w:val="004A4C45"/>
    <w:rsid w:val="004A55C4"/>
    <w:rsid w:val="004B0485"/>
    <w:rsid w:val="004B0ED7"/>
    <w:rsid w:val="004B1F58"/>
    <w:rsid w:val="004B428E"/>
    <w:rsid w:val="004B4D0A"/>
    <w:rsid w:val="004B4D37"/>
    <w:rsid w:val="004C0390"/>
    <w:rsid w:val="004C0B85"/>
    <w:rsid w:val="004C42F0"/>
    <w:rsid w:val="004C7817"/>
    <w:rsid w:val="004D50C8"/>
    <w:rsid w:val="004D6B72"/>
    <w:rsid w:val="004E1D73"/>
    <w:rsid w:val="004E336A"/>
    <w:rsid w:val="004E5450"/>
    <w:rsid w:val="004E57C3"/>
    <w:rsid w:val="004E72DD"/>
    <w:rsid w:val="004F1E3F"/>
    <w:rsid w:val="004F22CD"/>
    <w:rsid w:val="004F64A6"/>
    <w:rsid w:val="005025FB"/>
    <w:rsid w:val="00503462"/>
    <w:rsid w:val="0051286E"/>
    <w:rsid w:val="005143F8"/>
    <w:rsid w:val="00516021"/>
    <w:rsid w:val="00516457"/>
    <w:rsid w:val="00516641"/>
    <w:rsid w:val="0051729F"/>
    <w:rsid w:val="00517E2A"/>
    <w:rsid w:val="005201C6"/>
    <w:rsid w:val="00520A0C"/>
    <w:rsid w:val="00522C20"/>
    <w:rsid w:val="00530E37"/>
    <w:rsid w:val="00535946"/>
    <w:rsid w:val="00535E41"/>
    <w:rsid w:val="00542604"/>
    <w:rsid w:val="005452CF"/>
    <w:rsid w:val="005464A1"/>
    <w:rsid w:val="00546F12"/>
    <w:rsid w:val="0055167E"/>
    <w:rsid w:val="0055339C"/>
    <w:rsid w:val="005542CC"/>
    <w:rsid w:val="00560424"/>
    <w:rsid w:val="00562B3C"/>
    <w:rsid w:val="005646FA"/>
    <w:rsid w:val="00564E40"/>
    <w:rsid w:val="005702D2"/>
    <w:rsid w:val="0057287F"/>
    <w:rsid w:val="00573E1D"/>
    <w:rsid w:val="005749A7"/>
    <w:rsid w:val="005750E2"/>
    <w:rsid w:val="0058313F"/>
    <w:rsid w:val="00585859"/>
    <w:rsid w:val="00586FBC"/>
    <w:rsid w:val="005879C9"/>
    <w:rsid w:val="00593C79"/>
    <w:rsid w:val="00594CAD"/>
    <w:rsid w:val="005952F6"/>
    <w:rsid w:val="005A1D0B"/>
    <w:rsid w:val="005A3C6B"/>
    <w:rsid w:val="005B1EA5"/>
    <w:rsid w:val="005C0BBD"/>
    <w:rsid w:val="005C2CE3"/>
    <w:rsid w:val="005C54A0"/>
    <w:rsid w:val="005D05FA"/>
    <w:rsid w:val="005D0A27"/>
    <w:rsid w:val="005D0D15"/>
    <w:rsid w:val="005D7176"/>
    <w:rsid w:val="005E18CB"/>
    <w:rsid w:val="005E1F24"/>
    <w:rsid w:val="005E2855"/>
    <w:rsid w:val="005E3667"/>
    <w:rsid w:val="005E4843"/>
    <w:rsid w:val="005E6E46"/>
    <w:rsid w:val="005E7398"/>
    <w:rsid w:val="005E73F1"/>
    <w:rsid w:val="005F07EF"/>
    <w:rsid w:val="005F16B6"/>
    <w:rsid w:val="005F2600"/>
    <w:rsid w:val="005F5224"/>
    <w:rsid w:val="005F7AA1"/>
    <w:rsid w:val="005F7C9C"/>
    <w:rsid w:val="00600B2E"/>
    <w:rsid w:val="00601122"/>
    <w:rsid w:val="00606521"/>
    <w:rsid w:val="00607CEB"/>
    <w:rsid w:val="00610B47"/>
    <w:rsid w:val="00613299"/>
    <w:rsid w:val="00616B5C"/>
    <w:rsid w:val="0061762D"/>
    <w:rsid w:val="00627F65"/>
    <w:rsid w:val="00634238"/>
    <w:rsid w:val="00635FBC"/>
    <w:rsid w:val="00636EB5"/>
    <w:rsid w:val="00637728"/>
    <w:rsid w:val="0064113A"/>
    <w:rsid w:val="0064167B"/>
    <w:rsid w:val="00643F96"/>
    <w:rsid w:val="00644002"/>
    <w:rsid w:val="0064526B"/>
    <w:rsid w:val="006458B1"/>
    <w:rsid w:val="00650529"/>
    <w:rsid w:val="00650BAB"/>
    <w:rsid w:val="00651737"/>
    <w:rsid w:val="00654E31"/>
    <w:rsid w:val="00656A8F"/>
    <w:rsid w:val="00661FDB"/>
    <w:rsid w:val="006652DD"/>
    <w:rsid w:val="006671BF"/>
    <w:rsid w:val="00671AEB"/>
    <w:rsid w:val="00672A7D"/>
    <w:rsid w:val="0067369A"/>
    <w:rsid w:val="00681416"/>
    <w:rsid w:val="00697E82"/>
    <w:rsid w:val="006A0161"/>
    <w:rsid w:val="006A06F5"/>
    <w:rsid w:val="006A0ED2"/>
    <w:rsid w:val="006A3FA6"/>
    <w:rsid w:val="006B0A73"/>
    <w:rsid w:val="006B1C83"/>
    <w:rsid w:val="006B5A6B"/>
    <w:rsid w:val="006C0F82"/>
    <w:rsid w:val="006C25E8"/>
    <w:rsid w:val="006C32AA"/>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0048E"/>
    <w:rsid w:val="007011C1"/>
    <w:rsid w:val="007061DA"/>
    <w:rsid w:val="007109F6"/>
    <w:rsid w:val="00711BE3"/>
    <w:rsid w:val="00712243"/>
    <w:rsid w:val="00713B1C"/>
    <w:rsid w:val="0071450A"/>
    <w:rsid w:val="00720AEE"/>
    <w:rsid w:val="00721B51"/>
    <w:rsid w:val="00722CB3"/>
    <w:rsid w:val="00724594"/>
    <w:rsid w:val="00724FA7"/>
    <w:rsid w:val="00725415"/>
    <w:rsid w:val="007262CC"/>
    <w:rsid w:val="00727505"/>
    <w:rsid w:val="00731581"/>
    <w:rsid w:val="007328B1"/>
    <w:rsid w:val="00732B89"/>
    <w:rsid w:val="00733899"/>
    <w:rsid w:val="0073481D"/>
    <w:rsid w:val="007379C8"/>
    <w:rsid w:val="00741B9E"/>
    <w:rsid w:val="00743DAC"/>
    <w:rsid w:val="007455B3"/>
    <w:rsid w:val="007502CD"/>
    <w:rsid w:val="00752AE7"/>
    <w:rsid w:val="00752D3B"/>
    <w:rsid w:val="0075337B"/>
    <w:rsid w:val="00755CD4"/>
    <w:rsid w:val="00757F96"/>
    <w:rsid w:val="007610B5"/>
    <w:rsid w:val="007623CB"/>
    <w:rsid w:val="00762652"/>
    <w:rsid w:val="00764551"/>
    <w:rsid w:val="0076556F"/>
    <w:rsid w:val="007677B8"/>
    <w:rsid w:val="00767D18"/>
    <w:rsid w:val="00775E2A"/>
    <w:rsid w:val="00781713"/>
    <w:rsid w:val="00785285"/>
    <w:rsid w:val="0078529D"/>
    <w:rsid w:val="00785E77"/>
    <w:rsid w:val="0078720B"/>
    <w:rsid w:val="00787DC1"/>
    <w:rsid w:val="00787EE2"/>
    <w:rsid w:val="00794070"/>
    <w:rsid w:val="007972A4"/>
    <w:rsid w:val="007A1D11"/>
    <w:rsid w:val="007A4ECF"/>
    <w:rsid w:val="007A63CA"/>
    <w:rsid w:val="007A713B"/>
    <w:rsid w:val="007A7DA0"/>
    <w:rsid w:val="007B151B"/>
    <w:rsid w:val="007B30F6"/>
    <w:rsid w:val="007B64E5"/>
    <w:rsid w:val="007C17A3"/>
    <w:rsid w:val="007C2F04"/>
    <w:rsid w:val="007C37C5"/>
    <w:rsid w:val="007C560F"/>
    <w:rsid w:val="007C7D3B"/>
    <w:rsid w:val="007D2F81"/>
    <w:rsid w:val="007D6022"/>
    <w:rsid w:val="007D7835"/>
    <w:rsid w:val="007E2C4B"/>
    <w:rsid w:val="007E4B2E"/>
    <w:rsid w:val="007F06E5"/>
    <w:rsid w:val="007F3F2F"/>
    <w:rsid w:val="007F5B8B"/>
    <w:rsid w:val="00805BC0"/>
    <w:rsid w:val="0081037C"/>
    <w:rsid w:val="0081198D"/>
    <w:rsid w:val="00814FB9"/>
    <w:rsid w:val="00817E9A"/>
    <w:rsid w:val="00826275"/>
    <w:rsid w:val="00827096"/>
    <w:rsid w:val="00827786"/>
    <w:rsid w:val="00827BDA"/>
    <w:rsid w:val="00830D57"/>
    <w:rsid w:val="00831F00"/>
    <w:rsid w:val="008338EB"/>
    <w:rsid w:val="00834E6C"/>
    <w:rsid w:val="00842123"/>
    <w:rsid w:val="008428F3"/>
    <w:rsid w:val="00843F27"/>
    <w:rsid w:val="008505DC"/>
    <w:rsid w:val="00850CA0"/>
    <w:rsid w:val="00852A2F"/>
    <w:rsid w:val="00856F34"/>
    <w:rsid w:val="008608EE"/>
    <w:rsid w:val="00860B07"/>
    <w:rsid w:val="008616F6"/>
    <w:rsid w:val="0086259C"/>
    <w:rsid w:val="008674ED"/>
    <w:rsid w:val="0087074C"/>
    <w:rsid w:val="0087253D"/>
    <w:rsid w:val="00873055"/>
    <w:rsid w:val="00874913"/>
    <w:rsid w:val="008831AF"/>
    <w:rsid w:val="00883F24"/>
    <w:rsid w:val="0088742B"/>
    <w:rsid w:val="008876C9"/>
    <w:rsid w:val="008954A1"/>
    <w:rsid w:val="00897E1F"/>
    <w:rsid w:val="008A3E8E"/>
    <w:rsid w:val="008B2CB4"/>
    <w:rsid w:val="008B3D82"/>
    <w:rsid w:val="008B4DA2"/>
    <w:rsid w:val="008B5503"/>
    <w:rsid w:val="008B5A1F"/>
    <w:rsid w:val="008B6404"/>
    <w:rsid w:val="008C2C21"/>
    <w:rsid w:val="008C7DD3"/>
    <w:rsid w:val="008D054C"/>
    <w:rsid w:val="008D57AB"/>
    <w:rsid w:val="008E000B"/>
    <w:rsid w:val="008E1C3B"/>
    <w:rsid w:val="008E2334"/>
    <w:rsid w:val="008E2926"/>
    <w:rsid w:val="008E35C6"/>
    <w:rsid w:val="008E3F49"/>
    <w:rsid w:val="008E5827"/>
    <w:rsid w:val="008E7FBC"/>
    <w:rsid w:val="008F243B"/>
    <w:rsid w:val="008F4675"/>
    <w:rsid w:val="008F50FE"/>
    <w:rsid w:val="008F69CD"/>
    <w:rsid w:val="008F6E88"/>
    <w:rsid w:val="009017F5"/>
    <w:rsid w:val="00901E60"/>
    <w:rsid w:val="00904A66"/>
    <w:rsid w:val="00905029"/>
    <w:rsid w:val="00910E1E"/>
    <w:rsid w:val="009126A2"/>
    <w:rsid w:val="00913FB3"/>
    <w:rsid w:val="00921410"/>
    <w:rsid w:val="00921A3A"/>
    <w:rsid w:val="0092287F"/>
    <w:rsid w:val="0092495B"/>
    <w:rsid w:val="0092660E"/>
    <w:rsid w:val="00933EF2"/>
    <w:rsid w:val="009345A2"/>
    <w:rsid w:val="00936519"/>
    <w:rsid w:val="009413AA"/>
    <w:rsid w:val="00941DA3"/>
    <w:rsid w:val="00942C0C"/>
    <w:rsid w:val="009474E5"/>
    <w:rsid w:val="00951711"/>
    <w:rsid w:val="009539E3"/>
    <w:rsid w:val="00954083"/>
    <w:rsid w:val="0095449D"/>
    <w:rsid w:val="00954A5E"/>
    <w:rsid w:val="009551B2"/>
    <w:rsid w:val="009566E7"/>
    <w:rsid w:val="0096022C"/>
    <w:rsid w:val="009619B1"/>
    <w:rsid w:val="00964625"/>
    <w:rsid w:val="00965B57"/>
    <w:rsid w:val="00980937"/>
    <w:rsid w:val="00981C1D"/>
    <w:rsid w:val="0099109C"/>
    <w:rsid w:val="009936DB"/>
    <w:rsid w:val="00993CFC"/>
    <w:rsid w:val="00996590"/>
    <w:rsid w:val="009A1DC2"/>
    <w:rsid w:val="009A409E"/>
    <w:rsid w:val="009A5EEA"/>
    <w:rsid w:val="009B0906"/>
    <w:rsid w:val="009B38F2"/>
    <w:rsid w:val="009B6494"/>
    <w:rsid w:val="009B7433"/>
    <w:rsid w:val="009B793B"/>
    <w:rsid w:val="009C0914"/>
    <w:rsid w:val="009C27E5"/>
    <w:rsid w:val="009D24A1"/>
    <w:rsid w:val="009D3891"/>
    <w:rsid w:val="009D71E8"/>
    <w:rsid w:val="009E0CF5"/>
    <w:rsid w:val="009E104B"/>
    <w:rsid w:val="009E31E5"/>
    <w:rsid w:val="009E7DE4"/>
    <w:rsid w:val="009F3BBD"/>
    <w:rsid w:val="00A02026"/>
    <w:rsid w:val="00A022AB"/>
    <w:rsid w:val="00A063DD"/>
    <w:rsid w:val="00A112B5"/>
    <w:rsid w:val="00A14EEA"/>
    <w:rsid w:val="00A20B7E"/>
    <w:rsid w:val="00A24021"/>
    <w:rsid w:val="00A33636"/>
    <w:rsid w:val="00A37A2D"/>
    <w:rsid w:val="00A42011"/>
    <w:rsid w:val="00A42847"/>
    <w:rsid w:val="00A44FBB"/>
    <w:rsid w:val="00A47842"/>
    <w:rsid w:val="00A50104"/>
    <w:rsid w:val="00A522E0"/>
    <w:rsid w:val="00A52823"/>
    <w:rsid w:val="00A55290"/>
    <w:rsid w:val="00A60E28"/>
    <w:rsid w:val="00A63579"/>
    <w:rsid w:val="00A638AC"/>
    <w:rsid w:val="00A64475"/>
    <w:rsid w:val="00A727E5"/>
    <w:rsid w:val="00A748B5"/>
    <w:rsid w:val="00A7797A"/>
    <w:rsid w:val="00A80A32"/>
    <w:rsid w:val="00A81948"/>
    <w:rsid w:val="00A82A98"/>
    <w:rsid w:val="00A82D16"/>
    <w:rsid w:val="00A848C9"/>
    <w:rsid w:val="00A84C4E"/>
    <w:rsid w:val="00A852F2"/>
    <w:rsid w:val="00A8712A"/>
    <w:rsid w:val="00A95F75"/>
    <w:rsid w:val="00A968DA"/>
    <w:rsid w:val="00A96B83"/>
    <w:rsid w:val="00AA355B"/>
    <w:rsid w:val="00AA42E5"/>
    <w:rsid w:val="00AA649C"/>
    <w:rsid w:val="00AB24FA"/>
    <w:rsid w:val="00AB5161"/>
    <w:rsid w:val="00AC2795"/>
    <w:rsid w:val="00AD10C9"/>
    <w:rsid w:val="00AD1F2D"/>
    <w:rsid w:val="00AD7B5A"/>
    <w:rsid w:val="00AD7CB2"/>
    <w:rsid w:val="00AE229F"/>
    <w:rsid w:val="00AF0618"/>
    <w:rsid w:val="00AF52BF"/>
    <w:rsid w:val="00AF5E20"/>
    <w:rsid w:val="00AF7A0A"/>
    <w:rsid w:val="00B002FA"/>
    <w:rsid w:val="00B00327"/>
    <w:rsid w:val="00B024B3"/>
    <w:rsid w:val="00B07FA0"/>
    <w:rsid w:val="00B10E17"/>
    <w:rsid w:val="00B11DE8"/>
    <w:rsid w:val="00B12DCE"/>
    <w:rsid w:val="00B15EE7"/>
    <w:rsid w:val="00B179ED"/>
    <w:rsid w:val="00B20E18"/>
    <w:rsid w:val="00B331E1"/>
    <w:rsid w:val="00B34047"/>
    <w:rsid w:val="00B4532A"/>
    <w:rsid w:val="00B47C66"/>
    <w:rsid w:val="00B507F1"/>
    <w:rsid w:val="00B5527A"/>
    <w:rsid w:val="00B558DA"/>
    <w:rsid w:val="00B572C4"/>
    <w:rsid w:val="00B60858"/>
    <w:rsid w:val="00B60D69"/>
    <w:rsid w:val="00B6234E"/>
    <w:rsid w:val="00B632BC"/>
    <w:rsid w:val="00B71FC1"/>
    <w:rsid w:val="00B74D4E"/>
    <w:rsid w:val="00B80219"/>
    <w:rsid w:val="00B87184"/>
    <w:rsid w:val="00B871F3"/>
    <w:rsid w:val="00B91453"/>
    <w:rsid w:val="00BA19A5"/>
    <w:rsid w:val="00BA367A"/>
    <w:rsid w:val="00BB2907"/>
    <w:rsid w:val="00BB2B46"/>
    <w:rsid w:val="00BB6902"/>
    <w:rsid w:val="00BB7408"/>
    <w:rsid w:val="00BC078B"/>
    <w:rsid w:val="00BC3A7D"/>
    <w:rsid w:val="00BC52A0"/>
    <w:rsid w:val="00BC67F6"/>
    <w:rsid w:val="00BD2004"/>
    <w:rsid w:val="00BD4B12"/>
    <w:rsid w:val="00BD700D"/>
    <w:rsid w:val="00BD78AC"/>
    <w:rsid w:val="00BE0861"/>
    <w:rsid w:val="00BE18FD"/>
    <w:rsid w:val="00BE2F92"/>
    <w:rsid w:val="00BE44AC"/>
    <w:rsid w:val="00BF0AA2"/>
    <w:rsid w:val="00BF0D5F"/>
    <w:rsid w:val="00BF2142"/>
    <w:rsid w:val="00BF30FC"/>
    <w:rsid w:val="00BF59B3"/>
    <w:rsid w:val="00BF6F95"/>
    <w:rsid w:val="00BF73F8"/>
    <w:rsid w:val="00C01A9A"/>
    <w:rsid w:val="00C10BCF"/>
    <w:rsid w:val="00C11EB4"/>
    <w:rsid w:val="00C12746"/>
    <w:rsid w:val="00C23C11"/>
    <w:rsid w:val="00C23CA6"/>
    <w:rsid w:val="00C2441E"/>
    <w:rsid w:val="00C25827"/>
    <w:rsid w:val="00C31636"/>
    <w:rsid w:val="00C31BB8"/>
    <w:rsid w:val="00C373EA"/>
    <w:rsid w:val="00C43CA3"/>
    <w:rsid w:val="00C43D9D"/>
    <w:rsid w:val="00C43EA4"/>
    <w:rsid w:val="00C50040"/>
    <w:rsid w:val="00C51E42"/>
    <w:rsid w:val="00C5283C"/>
    <w:rsid w:val="00C52DFF"/>
    <w:rsid w:val="00C53F25"/>
    <w:rsid w:val="00C574E1"/>
    <w:rsid w:val="00C621C1"/>
    <w:rsid w:val="00C62989"/>
    <w:rsid w:val="00C65CBB"/>
    <w:rsid w:val="00C74684"/>
    <w:rsid w:val="00C77FEF"/>
    <w:rsid w:val="00C80F37"/>
    <w:rsid w:val="00C83659"/>
    <w:rsid w:val="00C839C1"/>
    <w:rsid w:val="00C90AF2"/>
    <w:rsid w:val="00C9127B"/>
    <w:rsid w:val="00C97A7F"/>
    <w:rsid w:val="00CA1FDF"/>
    <w:rsid w:val="00CA2048"/>
    <w:rsid w:val="00CA4421"/>
    <w:rsid w:val="00CA5363"/>
    <w:rsid w:val="00CA7D07"/>
    <w:rsid w:val="00CB0169"/>
    <w:rsid w:val="00CB24A4"/>
    <w:rsid w:val="00CB59B3"/>
    <w:rsid w:val="00CB5B17"/>
    <w:rsid w:val="00CB65F4"/>
    <w:rsid w:val="00CB6AA0"/>
    <w:rsid w:val="00CC4443"/>
    <w:rsid w:val="00CC5CAF"/>
    <w:rsid w:val="00CD46C5"/>
    <w:rsid w:val="00CD67A3"/>
    <w:rsid w:val="00CD6B7A"/>
    <w:rsid w:val="00CE7E1B"/>
    <w:rsid w:val="00CE7E2B"/>
    <w:rsid w:val="00D0128A"/>
    <w:rsid w:val="00D04F25"/>
    <w:rsid w:val="00D06874"/>
    <w:rsid w:val="00D07530"/>
    <w:rsid w:val="00D07FCB"/>
    <w:rsid w:val="00D11018"/>
    <w:rsid w:val="00D11424"/>
    <w:rsid w:val="00D129CC"/>
    <w:rsid w:val="00D155D1"/>
    <w:rsid w:val="00D17225"/>
    <w:rsid w:val="00D173F7"/>
    <w:rsid w:val="00D20203"/>
    <w:rsid w:val="00D204E0"/>
    <w:rsid w:val="00D21354"/>
    <w:rsid w:val="00D22400"/>
    <w:rsid w:val="00D23F4A"/>
    <w:rsid w:val="00D264E2"/>
    <w:rsid w:val="00D278BA"/>
    <w:rsid w:val="00D27D5D"/>
    <w:rsid w:val="00D33FE5"/>
    <w:rsid w:val="00D348C0"/>
    <w:rsid w:val="00D353D1"/>
    <w:rsid w:val="00D3578A"/>
    <w:rsid w:val="00D43A15"/>
    <w:rsid w:val="00D4463C"/>
    <w:rsid w:val="00D46182"/>
    <w:rsid w:val="00D46C7D"/>
    <w:rsid w:val="00D501EE"/>
    <w:rsid w:val="00D517DC"/>
    <w:rsid w:val="00D51A1A"/>
    <w:rsid w:val="00D5360D"/>
    <w:rsid w:val="00D54C19"/>
    <w:rsid w:val="00D5509F"/>
    <w:rsid w:val="00D5590D"/>
    <w:rsid w:val="00D618E4"/>
    <w:rsid w:val="00D61DA5"/>
    <w:rsid w:val="00D642A3"/>
    <w:rsid w:val="00D70168"/>
    <w:rsid w:val="00D71B8A"/>
    <w:rsid w:val="00D72C08"/>
    <w:rsid w:val="00D75247"/>
    <w:rsid w:val="00D81325"/>
    <w:rsid w:val="00D847CD"/>
    <w:rsid w:val="00D875ED"/>
    <w:rsid w:val="00D877D0"/>
    <w:rsid w:val="00D90013"/>
    <w:rsid w:val="00D91B9C"/>
    <w:rsid w:val="00D92C1B"/>
    <w:rsid w:val="00D94CC7"/>
    <w:rsid w:val="00D97901"/>
    <w:rsid w:val="00DA1AF4"/>
    <w:rsid w:val="00DB07B5"/>
    <w:rsid w:val="00DB0C60"/>
    <w:rsid w:val="00DC57E5"/>
    <w:rsid w:val="00DC641A"/>
    <w:rsid w:val="00DD21A1"/>
    <w:rsid w:val="00DD2265"/>
    <w:rsid w:val="00DD321D"/>
    <w:rsid w:val="00DD4ED8"/>
    <w:rsid w:val="00DD68FB"/>
    <w:rsid w:val="00DD6B7D"/>
    <w:rsid w:val="00DD6E14"/>
    <w:rsid w:val="00DE15AC"/>
    <w:rsid w:val="00DE79C3"/>
    <w:rsid w:val="00DF2015"/>
    <w:rsid w:val="00E061EC"/>
    <w:rsid w:val="00E0696B"/>
    <w:rsid w:val="00E075A9"/>
    <w:rsid w:val="00E07D0D"/>
    <w:rsid w:val="00E10A98"/>
    <w:rsid w:val="00E10E81"/>
    <w:rsid w:val="00E124F2"/>
    <w:rsid w:val="00E13E51"/>
    <w:rsid w:val="00E209EB"/>
    <w:rsid w:val="00E21F56"/>
    <w:rsid w:val="00E3014F"/>
    <w:rsid w:val="00E4286E"/>
    <w:rsid w:val="00E43EAD"/>
    <w:rsid w:val="00E45CD1"/>
    <w:rsid w:val="00E47C0A"/>
    <w:rsid w:val="00E57567"/>
    <w:rsid w:val="00E62DCB"/>
    <w:rsid w:val="00E651DD"/>
    <w:rsid w:val="00E66558"/>
    <w:rsid w:val="00E67C16"/>
    <w:rsid w:val="00E70D81"/>
    <w:rsid w:val="00E70F1E"/>
    <w:rsid w:val="00E726A6"/>
    <w:rsid w:val="00E73418"/>
    <w:rsid w:val="00E75865"/>
    <w:rsid w:val="00E8109E"/>
    <w:rsid w:val="00E85C23"/>
    <w:rsid w:val="00E86F05"/>
    <w:rsid w:val="00E90B8C"/>
    <w:rsid w:val="00E93963"/>
    <w:rsid w:val="00E94528"/>
    <w:rsid w:val="00E95947"/>
    <w:rsid w:val="00EA0CE3"/>
    <w:rsid w:val="00EA3A2A"/>
    <w:rsid w:val="00EA6B46"/>
    <w:rsid w:val="00EB4556"/>
    <w:rsid w:val="00EB4A11"/>
    <w:rsid w:val="00EB64C8"/>
    <w:rsid w:val="00EC1AD1"/>
    <w:rsid w:val="00ED1C14"/>
    <w:rsid w:val="00ED4136"/>
    <w:rsid w:val="00ED5108"/>
    <w:rsid w:val="00ED6AE8"/>
    <w:rsid w:val="00EE291B"/>
    <w:rsid w:val="00EE2CB2"/>
    <w:rsid w:val="00EE3189"/>
    <w:rsid w:val="00EF485B"/>
    <w:rsid w:val="00EF5A6B"/>
    <w:rsid w:val="00F012CA"/>
    <w:rsid w:val="00F01752"/>
    <w:rsid w:val="00F017D2"/>
    <w:rsid w:val="00F01C71"/>
    <w:rsid w:val="00F0355A"/>
    <w:rsid w:val="00F05AE9"/>
    <w:rsid w:val="00F05C44"/>
    <w:rsid w:val="00F15753"/>
    <w:rsid w:val="00F21A63"/>
    <w:rsid w:val="00F21F92"/>
    <w:rsid w:val="00F24A7E"/>
    <w:rsid w:val="00F2591B"/>
    <w:rsid w:val="00F318B8"/>
    <w:rsid w:val="00F32ABA"/>
    <w:rsid w:val="00F32F9F"/>
    <w:rsid w:val="00F33DC0"/>
    <w:rsid w:val="00F33F28"/>
    <w:rsid w:val="00F35A40"/>
    <w:rsid w:val="00F35FDE"/>
    <w:rsid w:val="00F40DE1"/>
    <w:rsid w:val="00F4142A"/>
    <w:rsid w:val="00F43C80"/>
    <w:rsid w:val="00F45190"/>
    <w:rsid w:val="00F54FCB"/>
    <w:rsid w:val="00F57AD0"/>
    <w:rsid w:val="00F62587"/>
    <w:rsid w:val="00F631A6"/>
    <w:rsid w:val="00F63E9E"/>
    <w:rsid w:val="00F63FEA"/>
    <w:rsid w:val="00F66AA7"/>
    <w:rsid w:val="00F70478"/>
    <w:rsid w:val="00F7085C"/>
    <w:rsid w:val="00F70AAD"/>
    <w:rsid w:val="00F75603"/>
    <w:rsid w:val="00F76843"/>
    <w:rsid w:val="00F76EED"/>
    <w:rsid w:val="00F776E1"/>
    <w:rsid w:val="00F77E8D"/>
    <w:rsid w:val="00F80E35"/>
    <w:rsid w:val="00F82162"/>
    <w:rsid w:val="00F85655"/>
    <w:rsid w:val="00F85DDA"/>
    <w:rsid w:val="00F925EB"/>
    <w:rsid w:val="00F97033"/>
    <w:rsid w:val="00FA05CB"/>
    <w:rsid w:val="00FA470E"/>
    <w:rsid w:val="00FA6DD0"/>
    <w:rsid w:val="00FB0611"/>
    <w:rsid w:val="00FC1453"/>
    <w:rsid w:val="00FC28DF"/>
    <w:rsid w:val="00FC2E6B"/>
    <w:rsid w:val="00FD1780"/>
    <w:rsid w:val="00FD2297"/>
    <w:rsid w:val="00FD406D"/>
    <w:rsid w:val="00FD6AC6"/>
    <w:rsid w:val="00FE3136"/>
    <w:rsid w:val="00FE50A3"/>
    <w:rsid w:val="00FE5204"/>
    <w:rsid w:val="00FE52ED"/>
    <w:rsid w:val="00FE604C"/>
    <w:rsid w:val="00FF2000"/>
    <w:rsid w:val="00FF32A4"/>
    <w:rsid w:val="00FF369D"/>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 w:type="paragraph" w:styleId="NoSpacing">
    <w:name w:val="No Spacing"/>
    <w:uiPriority w:val="1"/>
    <w:qFormat/>
    <w:rsid w:val="004C0B85"/>
    <w:pPr>
      <w:suppressAutoHyphens/>
    </w:pPr>
    <w:rPr>
      <w:color w:val="0D0D0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ducation-evidence/teaching-learning-toolkit/reading-comprehension-strategies" TargetMode="External"/><Relationship Id="rId13" Type="http://schemas.openxmlformats.org/officeDocument/2006/relationships/hyperlink" Target="https://educationendowmentfoundation.org.uk/education-evidence/teaching-learning-toolkit/social-and-emotional-learnin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ducationendowmentfoundation.org.uk/education-evidence/teaching-learning-toolkit/phonics" TargetMode="External"/><Relationship Id="rId12" Type="http://schemas.openxmlformats.org/officeDocument/2006/relationships/hyperlink" Target="https://educationendowmentfoundation.org.uk/education-evidence/teaching-learning-toolkit/social-and-emotional-learnin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education-evidence/teaching-learning-toolkit/social-and-emotional-learning" TargetMode="External"/><Relationship Id="rId5" Type="http://schemas.openxmlformats.org/officeDocument/2006/relationships/footnotes" Target="footnotes.xml"/><Relationship Id="rId15" Type="http://schemas.openxmlformats.org/officeDocument/2006/relationships/hyperlink" Target="http://www.thriveapproach.com" TargetMode="External"/><Relationship Id="rId10" Type="http://schemas.openxmlformats.org/officeDocument/2006/relationships/hyperlink" Target="https://educationendowmentfoundation.org.uk/education-evidence/teaching-learning-toolkit/small-group-tuitio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ducationendowmentfoundation.org.uk/education-evidence/teaching-learning-toolkit/one-to-one-tuition" TargetMode="External"/><Relationship Id="rId14" Type="http://schemas.openxmlformats.org/officeDocument/2006/relationships/hyperlink" Target="https://educationendowmentfoundation.org.uk/education-evidence/teaching-learning-toolkit/outdoor-adventure-lear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2624</Words>
  <Characters>14960</Characters>
  <Application>Microsoft Office Word</Application>
  <DocSecurity>0</DocSecurity>
  <Lines>124</Lines>
  <Paragraphs>35</Paragraphs>
  <ScaleCrop>false</ScaleCrop>
  <Company/>
  <LinksUpToDate>false</LinksUpToDate>
  <CharactersWithSpaces>17549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Adrian Crossland</cp:lastModifiedBy>
  <cp:revision>2</cp:revision>
  <cp:lastPrinted>2014-09-18T05:26:00Z</cp:lastPrinted>
  <dcterms:created xsi:type="dcterms:W3CDTF">2025-12-01T10:18:00Z</dcterms:created>
  <dcterms:modified xsi:type="dcterms:W3CDTF">2025-12-01T10:18:00Z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