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EE" w:rsidRPr="008267DA" w:rsidRDefault="00D844DB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KS5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English</w:t>
      </w:r>
      <w:r w:rsidR="00307006">
        <w:rPr>
          <w:rFonts w:ascii="Arial" w:hAnsi="Arial" w:cs="Arial"/>
          <w:b/>
          <w:sz w:val="24"/>
          <w:szCs w:val="24"/>
        </w:rPr>
        <w:t xml:space="preserve"> Language</w:t>
      </w:r>
      <w:r>
        <w:rPr>
          <w:rFonts w:ascii="Arial" w:hAnsi="Arial" w:cs="Arial"/>
          <w:b/>
          <w:sz w:val="24"/>
          <w:szCs w:val="24"/>
        </w:rPr>
        <w:t xml:space="preserve"> SOW Intent – GC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 English </w:t>
      </w:r>
      <w:r w:rsidR="00307006">
        <w:rPr>
          <w:rFonts w:ascii="Arial" w:hAnsi="Arial" w:cs="Arial"/>
          <w:b/>
          <w:sz w:val="24"/>
          <w:szCs w:val="24"/>
        </w:rPr>
        <w:t>Language</w:t>
      </w:r>
      <w:r w:rsidR="00C94CDE">
        <w:rPr>
          <w:rFonts w:ascii="Arial" w:hAnsi="Arial" w:cs="Arial"/>
          <w:b/>
          <w:sz w:val="24"/>
          <w:szCs w:val="24"/>
        </w:rPr>
        <w:t xml:space="preserve"> Paper One and Two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: </w:t>
      </w:r>
      <w:r w:rsidR="0059677E">
        <w:rPr>
          <w:rFonts w:ascii="Arial" w:hAnsi="Arial" w:cs="Arial"/>
          <w:b/>
          <w:sz w:val="24"/>
          <w:szCs w:val="24"/>
        </w:rPr>
        <w:t>Language, the individual and scoiety and Language Diversity and Change</w:t>
      </w: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C94CDE">
        <w:rPr>
          <w:rFonts w:ascii="Arial" w:hAnsi="Arial" w:cs="Arial"/>
          <w:b/>
          <w:sz w:val="24"/>
          <w:szCs w:val="24"/>
        </w:rPr>
        <w:t>13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C94CDE">
        <w:rPr>
          <w:rFonts w:ascii="Arial" w:hAnsi="Arial" w:cs="Arial"/>
          <w:b/>
          <w:sz w:val="24"/>
          <w:szCs w:val="24"/>
        </w:rPr>
        <w:t>1 and 2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1866"/>
      </w:tblGrid>
      <w:tr w:rsidR="00A83B49" w:rsidRPr="008267DA" w:rsidTr="00353160">
        <w:tc>
          <w:tcPr>
            <w:tcW w:w="1971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6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D844DB" w:rsidRPr="008267DA" w:rsidTr="00353160">
        <w:tc>
          <w:tcPr>
            <w:tcW w:w="1971" w:type="dxa"/>
          </w:tcPr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6" w:type="dxa"/>
          </w:tcPr>
          <w:p w:rsidR="00D844DB" w:rsidRPr="008267DA" w:rsidRDefault="00C94CDE" w:rsidP="00353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Early stages of CLA, theories and development</w:t>
            </w:r>
          </w:p>
        </w:tc>
      </w:tr>
      <w:tr w:rsidR="00D844DB" w:rsidRPr="008267DA" w:rsidTr="00353160">
        <w:tc>
          <w:tcPr>
            <w:tcW w:w="1971" w:type="dxa"/>
          </w:tcPr>
          <w:p w:rsidR="00D844DB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6" w:type="dxa"/>
          </w:tcPr>
          <w:p w:rsidR="006861FB" w:rsidRPr="006861FB" w:rsidRDefault="00DD1F96" w:rsidP="00686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change and factors affecting this</w:t>
            </w:r>
          </w:p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 per week</w:t>
            </w:r>
          </w:p>
        </w:tc>
        <w:tc>
          <w:tcPr>
            <w:tcW w:w="11866" w:type="dxa"/>
          </w:tcPr>
          <w:p w:rsidR="00302516" w:rsidRDefault="00C94CD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and further analysis of l</w:t>
            </w:r>
            <w:r w:rsidR="00E9515A">
              <w:rPr>
                <w:rFonts w:ascii="Arial" w:hAnsi="Arial" w:cs="Arial"/>
                <w:sz w:val="24"/>
                <w:szCs w:val="24"/>
              </w:rPr>
              <w:t>earning to read, phonemes and graphemes, learning to write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302516" w:rsidRDefault="00DD1F96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Theories around language change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302516" w:rsidRDefault="00C94CD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Further analysis of textual variations and representations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302516" w:rsidRDefault="00932C17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F96">
              <w:rPr>
                <w:rFonts w:ascii="Arial" w:hAnsi="Arial" w:cs="Arial"/>
                <w:sz w:val="24"/>
                <w:szCs w:val="24"/>
              </w:rPr>
              <w:t>World Englishes – including cultural influences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99E" w:rsidRPr="008267DA" w:rsidTr="00353160">
        <w:tc>
          <w:tcPr>
            <w:tcW w:w="1971" w:type="dxa"/>
          </w:tcPr>
          <w:p w:rsidR="0011499E" w:rsidRDefault="0011499E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</w:tc>
        <w:tc>
          <w:tcPr>
            <w:tcW w:w="11866" w:type="dxa"/>
          </w:tcPr>
          <w:p w:rsidR="0011499E" w:rsidRDefault="00A742D5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Grammatical terminology and further skills for Q1 on Paper 1, Language frameworks, auditing and Q3 practise.</w:t>
            </w:r>
          </w:p>
        </w:tc>
      </w:tr>
      <w:tr w:rsidR="00DD1F96" w:rsidRPr="008267DA" w:rsidTr="00353160">
        <w:tc>
          <w:tcPr>
            <w:tcW w:w="1971" w:type="dxa"/>
          </w:tcPr>
          <w:p w:rsidR="00DD1F96" w:rsidRDefault="00DD1F9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per week</w:t>
            </w:r>
          </w:p>
        </w:tc>
        <w:tc>
          <w:tcPr>
            <w:tcW w:w="11866" w:type="dxa"/>
          </w:tcPr>
          <w:p w:rsidR="00DD1F96" w:rsidRDefault="00DD1F96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World Englishes – revision of main ideas, opinions and theories. Analysis of differences.</w:t>
            </w:r>
            <w:bookmarkStart w:id="0" w:name="_GoBack"/>
            <w:bookmarkEnd w:id="0"/>
          </w:p>
        </w:tc>
      </w:tr>
      <w:tr w:rsidR="00D844DB" w:rsidRPr="008267DA" w:rsidTr="00353160">
        <w:tc>
          <w:tcPr>
            <w:tcW w:w="13837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302516" w:rsidRPr="008267DA" w:rsidTr="00353160">
        <w:tc>
          <w:tcPr>
            <w:tcW w:w="13837" w:type="dxa"/>
            <w:gridSpan w:val="2"/>
          </w:tcPr>
          <w:p w:rsidR="00302516" w:rsidRPr="008267DA" w:rsidRDefault="00302516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4DB" w:rsidRPr="008267DA" w:rsidTr="00353160">
        <w:tc>
          <w:tcPr>
            <w:tcW w:w="13837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D844DB" w:rsidRPr="008267DA" w:rsidRDefault="0008248E" w:rsidP="000251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skills required by students in order to be successful in examinations are hierarchical in terms of difficulty and detail. Topics</w:t>
            </w:r>
            <w:r w:rsidR="00025163">
              <w:rPr>
                <w:rFonts w:ascii="Arial" w:hAnsi="Arial" w:cs="Arial"/>
                <w:sz w:val="24"/>
                <w:szCs w:val="24"/>
              </w:rPr>
              <w:t>, therefore,</w:t>
            </w:r>
            <w:r>
              <w:rPr>
                <w:rFonts w:ascii="Arial" w:hAnsi="Arial" w:cs="Arial"/>
                <w:sz w:val="24"/>
                <w:szCs w:val="24"/>
              </w:rPr>
              <w:t xml:space="preserve"> are ordered in accordance with the exam paper </w:t>
            </w:r>
            <w:r w:rsidR="0011499E">
              <w:rPr>
                <w:rFonts w:ascii="Arial" w:hAnsi="Arial" w:cs="Arial"/>
                <w:sz w:val="24"/>
                <w:szCs w:val="24"/>
              </w:rPr>
              <w:t xml:space="preserve">studied </w:t>
            </w:r>
            <w:r>
              <w:rPr>
                <w:rFonts w:ascii="Arial" w:hAnsi="Arial" w:cs="Arial"/>
                <w:sz w:val="24"/>
                <w:szCs w:val="24"/>
              </w:rPr>
              <w:t>and level of difficulty. This allows students to learn, consolidate and practice new knowledge and skills in a progressive order</w:t>
            </w:r>
            <w:r w:rsidR="00025163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which promotes understanding and success in this subject.</w:t>
            </w:r>
            <w:r w:rsidR="00025163">
              <w:rPr>
                <w:rFonts w:ascii="Arial" w:hAnsi="Arial" w:cs="Arial"/>
                <w:sz w:val="24"/>
                <w:szCs w:val="24"/>
              </w:rPr>
              <w:t xml:space="preserve"> Students can then use their understanding of the more basic ideas to assist them in learning and writing about the more complex ones.</w:t>
            </w:r>
            <w:r w:rsidR="00D844DB" w:rsidRPr="008267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25163"/>
    <w:rsid w:val="00054DD4"/>
    <w:rsid w:val="0008248E"/>
    <w:rsid w:val="0008412F"/>
    <w:rsid w:val="000C00A3"/>
    <w:rsid w:val="000E7332"/>
    <w:rsid w:val="0011499E"/>
    <w:rsid w:val="00167D48"/>
    <w:rsid w:val="00244668"/>
    <w:rsid w:val="002A4E2B"/>
    <w:rsid w:val="00302516"/>
    <w:rsid w:val="00307006"/>
    <w:rsid w:val="00353160"/>
    <w:rsid w:val="00400CD8"/>
    <w:rsid w:val="00445DCB"/>
    <w:rsid w:val="00455EA9"/>
    <w:rsid w:val="004B3B81"/>
    <w:rsid w:val="004E43A3"/>
    <w:rsid w:val="00520CF6"/>
    <w:rsid w:val="0059677E"/>
    <w:rsid w:val="005E676C"/>
    <w:rsid w:val="006861FB"/>
    <w:rsid w:val="006F0D14"/>
    <w:rsid w:val="00751455"/>
    <w:rsid w:val="008267DA"/>
    <w:rsid w:val="00845483"/>
    <w:rsid w:val="008538CD"/>
    <w:rsid w:val="00877F61"/>
    <w:rsid w:val="008E7A07"/>
    <w:rsid w:val="00932C17"/>
    <w:rsid w:val="00A61C63"/>
    <w:rsid w:val="00A742D5"/>
    <w:rsid w:val="00A83B49"/>
    <w:rsid w:val="00AF1CE6"/>
    <w:rsid w:val="00B61B41"/>
    <w:rsid w:val="00BE2086"/>
    <w:rsid w:val="00C94CDE"/>
    <w:rsid w:val="00CF67EE"/>
    <w:rsid w:val="00D61B85"/>
    <w:rsid w:val="00D6429F"/>
    <w:rsid w:val="00D74190"/>
    <w:rsid w:val="00D844DB"/>
    <w:rsid w:val="00D937E4"/>
    <w:rsid w:val="00DB7941"/>
    <w:rsid w:val="00DD1F96"/>
    <w:rsid w:val="00E406BE"/>
    <w:rsid w:val="00E9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2C29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Wallis, Kate</cp:lastModifiedBy>
  <cp:revision>4</cp:revision>
  <dcterms:created xsi:type="dcterms:W3CDTF">2020-01-07T16:22:00Z</dcterms:created>
  <dcterms:modified xsi:type="dcterms:W3CDTF">2020-01-08T20:01:00Z</dcterms:modified>
</cp:coreProperties>
</file>