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59505D">
        <w:rPr>
          <w:rFonts w:ascii="Arial" w:hAnsi="Arial" w:cs="Arial"/>
          <w:b/>
          <w:sz w:val="24"/>
          <w:szCs w:val="24"/>
        </w:rPr>
        <w:t xml:space="preserve"> Paper One</w:t>
      </w:r>
      <w:r w:rsidR="00AC4886">
        <w:rPr>
          <w:rFonts w:ascii="Arial" w:hAnsi="Arial" w:cs="Arial"/>
          <w:b/>
          <w:sz w:val="24"/>
          <w:szCs w:val="24"/>
        </w:rPr>
        <w:t xml:space="preserve"> Revision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AC4886">
        <w:rPr>
          <w:rFonts w:ascii="Arial" w:hAnsi="Arial" w:cs="Arial"/>
          <w:b/>
          <w:sz w:val="24"/>
          <w:szCs w:val="24"/>
        </w:rPr>
        <w:tab/>
      </w:r>
      <w:r w:rsidR="00EF6B2D">
        <w:rPr>
          <w:rFonts w:ascii="Arial" w:hAnsi="Arial" w:cs="Arial"/>
          <w:b/>
          <w:sz w:val="24"/>
          <w:szCs w:val="24"/>
        </w:rPr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AC4886">
        <w:rPr>
          <w:rFonts w:ascii="Arial" w:hAnsi="Arial" w:cs="Arial"/>
          <w:b/>
          <w:sz w:val="24"/>
          <w:szCs w:val="24"/>
        </w:rPr>
        <w:tab/>
        <w:t>5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Pr="008267DA" w:rsidRDefault="00AC488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8" w:type="dxa"/>
          </w:tcPr>
          <w:p w:rsidR="00A83B49" w:rsidRDefault="0059505D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Romeo and Juliet: consolidation of subject knowledge of the play</w:t>
            </w:r>
          </w:p>
          <w:p w:rsidR="00BD58E7" w:rsidRPr="008267DA" w:rsidRDefault="00BD58E7" w:rsidP="00EF6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980" w:type="dxa"/>
          </w:tcPr>
          <w:p w:rsidR="00D74190" w:rsidRPr="008267DA" w:rsidRDefault="00AC4886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8" w:type="dxa"/>
          </w:tcPr>
          <w:p w:rsidR="00A83B49" w:rsidRDefault="0059505D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Jekyll and Hyde: consolidation of subject knowledge of the novel</w:t>
            </w:r>
          </w:p>
          <w:p w:rsidR="00BD58E7" w:rsidRPr="008267DA" w:rsidRDefault="00BD58E7" w:rsidP="00EF6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980" w:type="dxa"/>
          </w:tcPr>
          <w:p w:rsidR="00AF1CE6" w:rsidRPr="008267DA" w:rsidRDefault="00AC488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8" w:type="dxa"/>
          </w:tcPr>
          <w:p w:rsidR="00A83B49" w:rsidRDefault="0059505D" w:rsidP="00EF6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 practise: essay writing skills</w:t>
            </w:r>
          </w:p>
          <w:p w:rsidR="00BD58E7" w:rsidRPr="008267DA" w:rsidRDefault="00BD58E7" w:rsidP="00EF6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D14" w:rsidRPr="008267DA" w:rsidRDefault="00054DD4" w:rsidP="00421DBB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59505D">
              <w:rPr>
                <w:rFonts w:ascii="Arial" w:hAnsi="Arial" w:cs="Arial"/>
                <w:sz w:val="24"/>
                <w:szCs w:val="24"/>
              </w:rPr>
              <w:t xml:space="preserve"> Paper One </w:t>
            </w:r>
            <w:r w:rsidRPr="008267DA">
              <w:rPr>
                <w:rFonts w:ascii="Arial" w:hAnsi="Arial" w:cs="Arial"/>
                <w:sz w:val="24"/>
                <w:szCs w:val="24"/>
              </w:rPr>
              <w:t>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eir knowledge of the 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play and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21DBB">
              <w:rPr>
                <w:rFonts w:ascii="Arial" w:hAnsi="Arial" w:cs="Arial"/>
                <w:sz w:val="24"/>
                <w:szCs w:val="24"/>
              </w:rPr>
              <w:t>their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plot</w:t>
            </w:r>
            <w:r w:rsidR="00421DBB">
              <w:rPr>
                <w:rFonts w:ascii="Arial" w:hAnsi="Arial" w:cs="Arial"/>
                <w:sz w:val="24"/>
                <w:szCs w:val="24"/>
              </w:rPr>
              <w:t>s</w:t>
            </w:r>
            <w:r w:rsidR="00520CF6">
              <w:rPr>
                <w:rFonts w:ascii="Arial" w:hAnsi="Arial" w:cs="Arial"/>
                <w:sz w:val="24"/>
                <w:szCs w:val="24"/>
              </w:rPr>
              <w:t>, characters, themes and cont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exts </w:t>
            </w:r>
            <w:r w:rsidR="00BE2086">
              <w:rPr>
                <w:rFonts w:ascii="Arial" w:hAnsi="Arial" w:cs="Arial"/>
                <w:sz w:val="24"/>
                <w:szCs w:val="24"/>
              </w:rPr>
              <w:t>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 and write </w:t>
            </w:r>
            <w:r w:rsidR="00520CF6">
              <w:rPr>
                <w:rFonts w:ascii="Arial" w:hAnsi="Arial" w:cs="Arial"/>
                <w:sz w:val="24"/>
                <w:szCs w:val="24"/>
              </w:rPr>
              <w:t>r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esponses </w:t>
            </w:r>
            <w:r w:rsidR="00400CD8">
              <w:rPr>
                <w:rFonts w:ascii="Arial" w:hAnsi="Arial" w:cs="Arial"/>
                <w:sz w:val="24"/>
                <w:szCs w:val="24"/>
              </w:rPr>
              <w:t>to unseen extract</w:t>
            </w:r>
            <w:r w:rsidR="00421DBB">
              <w:rPr>
                <w:rFonts w:ascii="Arial" w:hAnsi="Arial" w:cs="Arial"/>
                <w:sz w:val="24"/>
                <w:szCs w:val="24"/>
              </w:rPr>
              <w:t>s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from the 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play and the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as well as from their knowledge of the whole </w:t>
            </w:r>
            <w:r w:rsidR="00421DBB">
              <w:rPr>
                <w:rFonts w:ascii="Arial" w:hAnsi="Arial" w:cs="Arial"/>
                <w:sz w:val="24"/>
                <w:szCs w:val="24"/>
              </w:rPr>
              <w:t xml:space="preserve">play and </w:t>
            </w:r>
            <w:r w:rsidR="008538CD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400CD8"/>
    <w:rsid w:val="00421DBB"/>
    <w:rsid w:val="00455EA9"/>
    <w:rsid w:val="004B3B81"/>
    <w:rsid w:val="004E43A3"/>
    <w:rsid w:val="00520CF6"/>
    <w:rsid w:val="0059505D"/>
    <w:rsid w:val="005E676C"/>
    <w:rsid w:val="006F0D14"/>
    <w:rsid w:val="00751455"/>
    <w:rsid w:val="008267DA"/>
    <w:rsid w:val="00845483"/>
    <w:rsid w:val="008538CD"/>
    <w:rsid w:val="008E7A07"/>
    <w:rsid w:val="00A61C63"/>
    <w:rsid w:val="00A83B49"/>
    <w:rsid w:val="00AC4886"/>
    <w:rsid w:val="00AF1CE6"/>
    <w:rsid w:val="00B61B41"/>
    <w:rsid w:val="00BD58E7"/>
    <w:rsid w:val="00BE2086"/>
    <w:rsid w:val="00CF67EE"/>
    <w:rsid w:val="00D74190"/>
    <w:rsid w:val="00DB7941"/>
    <w:rsid w:val="00E406BE"/>
    <w:rsid w:val="00E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06D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2020-01-05T17:36:00Z</dcterms:created>
  <dcterms:modified xsi:type="dcterms:W3CDTF">2021-11-05T17:54:00Z</dcterms:modified>
</cp:coreProperties>
</file>