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388"/>
        <w:gridCol w:w="4358"/>
        <w:gridCol w:w="2270"/>
      </w:tblGrid>
      <w:tr w:rsidR="00525BFB" w14:paraId="46020111" w14:textId="77777777" w:rsidTr="00525BFB">
        <w:tc>
          <w:tcPr>
            <w:tcW w:w="2485" w:type="dxa"/>
          </w:tcPr>
          <w:p w14:paraId="06EB808E" w14:textId="50E9F3E5" w:rsidR="00412BA3" w:rsidRPr="00412BA3" w:rsidRDefault="00412BA3">
            <w:pPr>
              <w:rPr>
                <w:b/>
                <w:bCs/>
              </w:rPr>
            </w:pPr>
            <w:r w:rsidRPr="00412BA3">
              <w:rPr>
                <w:b/>
                <w:bCs/>
              </w:rPr>
              <w:t>Name</w:t>
            </w:r>
          </w:p>
        </w:tc>
        <w:tc>
          <w:tcPr>
            <w:tcW w:w="4598" w:type="dxa"/>
          </w:tcPr>
          <w:p w14:paraId="13AF82DB" w14:textId="59AD4A0D" w:rsidR="00412BA3" w:rsidRDefault="00786FCC">
            <w:r>
              <w:t>Dr John Brennan</w:t>
            </w:r>
          </w:p>
        </w:tc>
        <w:tc>
          <w:tcPr>
            <w:tcW w:w="1933" w:type="dxa"/>
            <w:vMerge w:val="restart"/>
          </w:tcPr>
          <w:p w14:paraId="4F3BD909" w14:textId="53BEBE2D" w:rsidR="00412BA3" w:rsidRDefault="00525BFB">
            <w:r>
              <w:rPr>
                <w:noProof/>
              </w:rPr>
              <w:drawing>
                <wp:inline distT="0" distB="0" distL="0" distR="0" wp14:anchorId="0EFBB52E" wp14:editId="2AA9D911">
                  <wp:extent cx="1304290" cy="1520190"/>
                  <wp:effectExtent l="0" t="0" r="0" b="3810"/>
                  <wp:docPr id="9857137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04290" cy="1520190"/>
                          </a:xfrm>
                          <a:prstGeom prst="rect">
                            <a:avLst/>
                          </a:prstGeom>
                          <a:noFill/>
                          <a:ln>
                            <a:noFill/>
                          </a:ln>
                        </pic:spPr>
                      </pic:pic>
                    </a:graphicData>
                  </a:graphic>
                </wp:inline>
              </w:drawing>
            </w:r>
          </w:p>
        </w:tc>
      </w:tr>
      <w:tr w:rsidR="00525BFB" w14:paraId="5BB11CDF" w14:textId="77777777" w:rsidTr="00525BFB">
        <w:tc>
          <w:tcPr>
            <w:tcW w:w="2485" w:type="dxa"/>
          </w:tcPr>
          <w:p w14:paraId="55EFB800" w14:textId="65AB07D1" w:rsidR="00412BA3" w:rsidRPr="00412BA3" w:rsidRDefault="00412BA3">
            <w:pPr>
              <w:rPr>
                <w:b/>
                <w:bCs/>
              </w:rPr>
            </w:pPr>
            <w:r w:rsidRPr="00412BA3">
              <w:rPr>
                <w:b/>
                <w:bCs/>
              </w:rPr>
              <w:t>Governor Category</w:t>
            </w:r>
          </w:p>
        </w:tc>
        <w:tc>
          <w:tcPr>
            <w:tcW w:w="4598" w:type="dxa"/>
          </w:tcPr>
          <w:p w14:paraId="6872B522" w14:textId="3548F502" w:rsidR="00412BA3" w:rsidRDefault="00786FCC">
            <w:r>
              <w:t xml:space="preserve">Foundation </w:t>
            </w:r>
            <w:r w:rsidR="00412BA3">
              <w:t>Governor</w:t>
            </w:r>
          </w:p>
        </w:tc>
        <w:tc>
          <w:tcPr>
            <w:tcW w:w="1933" w:type="dxa"/>
            <w:vMerge/>
          </w:tcPr>
          <w:p w14:paraId="139BD117" w14:textId="77777777" w:rsidR="00412BA3" w:rsidRDefault="00412BA3"/>
        </w:tc>
      </w:tr>
      <w:tr w:rsidR="00525BFB" w14:paraId="6FC91D2F" w14:textId="77777777" w:rsidTr="00525BFB">
        <w:tc>
          <w:tcPr>
            <w:tcW w:w="2485" w:type="dxa"/>
          </w:tcPr>
          <w:p w14:paraId="34AD75B9" w14:textId="2B0D1B3C" w:rsidR="00412BA3" w:rsidRPr="00412BA3" w:rsidRDefault="00412BA3">
            <w:pPr>
              <w:rPr>
                <w:b/>
                <w:bCs/>
              </w:rPr>
            </w:pPr>
            <w:r w:rsidRPr="00412BA3">
              <w:rPr>
                <w:b/>
                <w:bCs/>
              </w:rPr>
              <w:t>Date Joining the Governing Body</w:t>
            </w:r>
          </w:p>
        </w:tc>
        <w:tc>
          <w:tcPr>
            <w:tcW w:w="4598" w:type="dxa"/>
          </w:tcPr>
          <w:p w14:paraId="7D8A0475" w14:textId="5D1B8A64" w:rsidR="00412BA3" w:rsidRDefault="00786FCC">
            <w:r>
              <w:t>23/07/2025</w:t>
            </w:r>
          </w:p>
        </w:tc>
        <w:tc>
          <w:tcPr>
            <w:tcW w:w="1933" w:type="dxa"/>
            <w:vMerge/>
          </w:tcPr>
          <w:p w14:paraId="32D9FCEF" w14:textId="77777777" w:rsidR="00412BA3" w:rsidRDefault="00412BA3"/>
        </w:tc>
      </w:tr>
      <w:tr w:rsidR="00525BFB" w14:paraId="01C71FD0" w14:textId="77777777" w:rsidTr="00525BFB">
        <w:tc>
          <w:tcPr>
            <w:tcW w:w="2485" w:type="dxa"/>
          </w:tcPr>
          <w:p w14:paraId="11719567" w14:textId="6A707F07" w:rsidR="00412BA3" w:rsidRPr="00412BA3" w:rsidRDefault="00412BA3">
            <w:pPr>
              <w:rPr>
                <w:b/>
                <w:bCs/>
              </w:rPr>
            </w:pPr>
            <w:r w:rsidRPr="00412BA3">
              <w:rPr>
                <w:b/>
                <w:bCs/>
              </w:rPr>
              <w:t>Current Term of Office</w:t>
            </w:r>
          </w:p>
        </w:tc>
        <w:tc>
          <w:tcPr>
            <w:tcW w:w="4598" w:type="dxa"/>
          </w:tcPr>
          <w:p w14:paraId="4D7D57AD" w14:textId="1B77FC49" w:rsidR="00412BA3" w:rsidRDefault="00786FCC">
            <w:r>
              <w:t>23/07/2025 – 23/07/2029</w:t>
            </w:r>
          </w:p>
        </w:tc>
        <w:tc>
          <w:tcPr>
            <w:tcW w:w="1933" w:type="dxa"/>
            <w:vMerge/>
          </w:tcPr>
          <w:p w14:paraId="5C9957B8" w14:textId="77777777" w:rsidR="00412BA3" w:rsidRDefault="00412BA3"/>
        </w:tc>
      </w:tr>
      <w:tr w:rsidR="00525BFB" w14:paraId="370A5AAF" w14:textId="77777777" w:rsidTr="00525BFB">
        <w:tc>
          <w:tcPr>
            <w:tcW w:w="2485" w:type="dxa"/>
          </w:tcPr>
          <w:p w14:paraId="4F1C2C9A" w14:textId="3B6813A3" w:rsidR="00412BA3" w:rsidRPr="00412BA3" w:rsidRDefault="00412BA3">
            <w:pPr>
              <w:rPr>
                <w:b/>
                <w:bCs/>
              </w:rPr>
            </w:pPr>
            <w:r w:rsidRPr="00412BA3">
              <w:rPr>
                <w:b/>
                <w:bCs/>
              </w:rPr>
              <w:t>Lead Monitoring Role</w:t>
            </w:r>
          </w:p>
        </w:tc>
        <w:tc>
          <w:tcPr>
            <w:tcW w:w="4598" w:type="dxa"/>
          </w:tcPr>
          <w:p w14:paraId="6A959D83" w14:textId="77777777" w:rsidR="00412BA3" w:rsidRDefault="00786FCC" w:rsidP="00786FCC">
            <w:pPr>
              <w:pStyle w:val="ListParagraph"/>
              <w:numPr>
                <w:ilvl w:val="0"/>
                <w:numId w:val="1"/>
              </w:numPr>
            </w:pPr>
            <w:r>
              <w:t>SEND and Inclusion</w:t>
            </w:r>
          </w:p>
          <w:p w14:paraId="06E7F913" w14:textId="34CB428D" w:rsidR="00786FCC" w:rsidRDefault="00786FCC" w:rsidP="00786FCC">
            <w:pPr>
              <w:pStyle w:val="ListParagraph"/>
              <w:numPr>
                <w:ilvl w:val="0"/>
                <w:numId w:val="1"/>
              </w:numPr>
            </w:pPr>
            <w:r>
              <w:t>Maths</w:t>
            </w:r>
          </w:p>
        </w:tc>
        <w:tc>
          <w:tcPr>
            <w:tcW w:w="1933" w:type="dxa"/>
            <w:vMerge/>
          </w:tcPr>
          <w:p w14:paraId="0C4B1251" w14:textId="77777777" w:rsidR="00412BA3" w:rsidRDefault="00412BA3"/>
        </w:tc>
      </w:tr>
      <w:tr w:rsidR="00525BFB" w14:paraId="4F0488A9" w14:textId="77777777" w:rsidTr="00525BFB">
        <w:tc>
          <w:tcPr>
            <w:tcW w:w="2485" w:type="dxa"/>
          </w:tcPr>
          <w:p w14:paraId="2345BA53" w14:textId="1D67D4FE" w:rsidR="00412BA3" w:rsidRPr="00412BA3" w:rsidRDefault="00412BA3">
            <w:pPr>
              <w:rPr>
                <w:b/>
                <w:bCs/>
              </w:rPr>
            </w:pPr>
            <w:r w:rsidRPr="00412BA3">
              <w:rPr>
                <w:b/>
                <w:bCs/>
              </w:rPr>
              <w:t>Interests</w:t>
            </w:r>
          </w:p>
        </w:tc>
        <w:tc>
          <w:tcPr>
            <w:tcW w:w="6531" w:type="dxa"/>
            <w:gridSpan w:val="2"/>
          </w:tcPr>
          <w:p w14:paraId="7E49CEED" w14:textId="77777777" w:rsidR="00EF2474" w:rsidRPr="00EF2474" w:rsidRDefault="00EF2474" w:rsidP="00EF2474">
            <w:r w:rsidRPr="00EF2474">
              <w:t>I enjoy hiking, biking and trying to stay fit! Also reading and maintaining my Chartered Engineer status through Continuing Professional Development.</w:t>
            </w:r>
          </w:p>
          <w:p w14:paraId="25BC9749" w14:textId="35898477" w:rsidR="00412BA3" w:rsidRDefault="00EF2474">
            <w:r w:rsidRPr="00EF2474">
              <w:t xml:space="preserve">Hiking is usually in the Lake District. I’m starting a new challenge to walk all 214 </w:t>
            </w:r>
            <w:proofErr w:type="gramStart"/>
            <w:r w:rsidRPr="00EF2474">
              <w:t>Wainwrights</w:t>
            </w:r>
            <w:proofErr w:type="gramEnd"/>
            <w:r w:rsidRPr="00EF2474">
              <w:t xml:space="preserve"> and this summer </w:t>
            </w:r>
            <w:r>
              <w:t xml:space="preserve">(2025) </w:t>
            </w:r>
            <w:r w:rsidRPr="00EF2474">
              <w:t xml:space="preserve">spent two days walking and camping with my youngest child. Biking involves using local cycle routes to complete at least 20 miles a week for long distance virtual challenges. I have completed Route 66 in the US and </w:t>
            </w:r>
            <w:proofErr w:type="spellStart"/>
            <w:r w:rsidRPr="00EF2474">
              <w:t>Lands</w:t>
            </w:r>
            <w:proofErr w:type="spellEnd"/>
            <w:r w:rsidRPr="00EF2474">
              <w:t xml:space="preserve"> End to John O’Groats in the UK. Reading is for pleasure but also to keep up to date on Governor skills and knowledge. I’m also keen to maintain my Engineering knowledge and membership of the Institution of Engineering and Technology.</w:t>
            </w:r>
          </w:p>
        </w:tc>
      </w:tr>
      <w:tr w:rsidR="00525BFB" w14:paraId="51076DBC" w14:textId="77777777" w:rsidTr="00525BFB">
        <w:tc>
          <w:tcPr>
            <w:tcW w:w="2485" w:type="dxa"/>
          </w:tcPr>
          <w:p w14:paraId="45F89BF9" w14:textId="35542847" w:rsidR="00412BA3" w:rsidRPr="00412BA3" w:rsidRDefault="00412BA3">
            <w:pPr>
              <w:rPr>
                <w:b/>
                <w:bCs/>
              </w:rPr>
            </w:pPr>
            <w:r w:rsidRPr="00412BA3">
              <w:rPr>
                <w:b/>
                <w:bCs/>
              </w:rPr>
              <w:t>Personal Statement</w:t>
            </w:r>
          </w:p>
        </w:tc>
        <w:tc>
          <w:tcPr>
            <w:tcW w:w="6531" w:type="dxa"/>
            <w:gridSpan w:val="2"/>
          </w:tcPr>
          <w:p w14:paraId="0F9B39DC" w14:textId="09104B7C" w:rsidR="00412BA3" w:rsidRDefault="00EF2474">
            <w:r w:rsidRPr="00EF2474">
              <w:t xml:space="preserve">As a Foundation Governor at St Augustine’s, I am looking forward to supporting our school in helping every child to achieve their full potential. Throughout my professional career, and during school, college and university, I have benefited greatly from the experience and guidance of others who have provided good support and advice when it was required. As a Governor at St Augustine’s, I am eager to repay some of that kindness by adding my experience to the Governing Board and hopefully in supporting our school. I have over 12 </w:t>
            </w:r>
            <w:proofErr w:type="spellStart"/>
            <w:r w:rsidRPr="00EF2474">
              <w:t>years experience</w:t>
            </w:r>
            <w:proofErr w:type="spellEnd"/>
            <w:r w:rsidRPr="00EF2474">
              <w:t xml:space="preserve"> as a school Governor, including 7 years as Chair and 2 as Vice-Chair. With more than 30 years engineering experience in industry, I have also served as a STEM Ambassador and volunteered as a Professional Review Assessor for the Institution of Engineering and Technology (IET). Having moved to Penwortham over 20 years ago, I have seen my daughters benefit from the superb Catholic schooling that exists within our Parish and from attending Cardinal Newman College. I believe that each child should have the opportunity for the best start at the beginning of their school journey.</w:t>
            </w:r>
          </w:p>
        </w:tc>
      </w:tr>
    </w:tbl>
    <w:p w14:paraId="4523E08D" w14:textId="77777777" w:rsidR="00210208" w:rsidRDefault="00210208"/>
    <w:sectPr w:rsidR="002102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987F37"/>
    <w:multiLevelType w:val="hybridMultilevel"/>
    <w:tmpl w:val="6E2AD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2677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BA3"/>
    <w:rsid w:val="001920CB"/>
    <w:rsid w:val="00210208"/>
    <w:rsid w:val="00412BA3"/>
    <w:rsid w:val="00525BFB"/>
    <w:rsid w:val="00786FCC"/>
    <w:rsid w:val="00911F91"/>
    <w:rsid w:val="00B53203"/>
    <w:rsid w:val="00C62C07"/>
    <w:rsid w:val="00D73332"/>
    <w:rsid w:val="00EF2474"/>
    <w:rsid w:val="00F771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C6CD3DE"/>
  <w15:chartTrackingRefBased/>
  <w15:docId w15:val="{5B040E39-56E4-4C12-AEEE-BA0FF23F3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2B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2B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2B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2B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2B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2B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2B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2B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2B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2B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2B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2B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2B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2B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2B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2B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2B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2BA3"/>
    <w:rPr>
      <w:rFonts w:eastAsiaTheme="majorEastAsia" w:cstheme="majorBidi"/>
      <w:color w:val="272727" w:themeColor="text1" w:themeTint="D8"/>
    </w:rPr>
  </w:style>
  <w:style w:type="paragraph" w:styleId="Title">
    <w:name w:val="Title"/>
    <w:basedOn w:val="Normal"/>
    <w:next w:val="Normal"/>
    <w:link w:val="TitleChar"/>
    <w:uiPriority w:val="10"/>
    <w:qFormat/>
    <w:rsid w:val="00412B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2B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2B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2B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2BA3"/>
    <w:pPr>
      <w:spacing w:before="160"/>
      <w:jc w:val="center"/>
    </w:pPr>
    <w:rPr>
      <w:i/>
      <w:iCs/>
      <w:color w:val="404040" w:themeColor="text1" w:themeTint="BF"/>
    </w:rPr>
  </w:style>
  <w:style w:type="character" w:customStyle="1" w:styleId="QuoteChar">
    <w:name w:val="Quote Char"/>
    <w:basedOn w:val="DefaultParagraphFont"/>
    <w:link w:val="Quote"/>
    <w:uiPriority w:val="29"/>
    <w:rsid w:val="00412BA3"/>
    <w:rPr>
      <w:i/>
      <w:iCs/>
      <w:color w:val="404040" w:themeColor="text1" w:themeTint="BF"/>
    </w:rPr>
  </w:style>
  <w:style w:type="paragraph" w:styleId="ListParagraph">
    <w:name w:val="List Paragraph"/>
    <w:basedOn w:val="Normal"/>
    <w:uiPriority w:val="34"/>
    <w:qFormat/>
    <w:rsid w:val="00412BA3"/>
    <w:pPr>
      <w:ind w:left="720"/>
      <w:contextualSpacing/>
    </w:pPr>
  </w:style>
  <w:style w:type="character" w:styleId="IntenseEmphasis">
    <w:name w:val="Intense Emphasis"/>
    <w:basedOn w:val="DefaultParagraphFont"/>
    <w:uiPriority w:val="21"/>
    <w:qFormat/>
    <w:rsid w:val="00412BA3"/>
    <w:rPr>
      <w:i/>
      <w:iCs/>
      <w:color w:val="0F4761" w:themeColor="accent1" w:themeShade="BF"/>
    </w:rPr>
  </w:style>
  <w:style w:type="paragraph" w:styleId="IntenseQuote">
    <w:name w:val="Intense Quote"/>
    <w:basedOn w:val="Normal"/>
    <w:next w:val="Normal"/>
    <w:link w:val="IntenseQuoteChar"/>
    <w:uiPriority w:val="30"/>
    <w:qFormat/>
    <w:rsid w:val="00412B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2BA3"/>
    <w:rPr>
      <w:i/>
      <w:iCs/>
      <w:color w:val="0F4761" w:themeColor="accent1" w:themeShade="BF"/>
    </w:rPr>
  </w:style>
  <w:style w:type="character" w:styleId="IntenseReference">
    <w:name w:val="Intense Reference"/>
    <w:basedOn w:val="DefaultParagraphFont"/>
    <w:uiPriority w:val="32"/>
    <w:qFormat/>
    <w:rsid w:val="00412BA3"/>
    <w:rPr>
      <w:b/>
      <w:bCs/>
      <w:smallCaps/>
      <w:color w:val="0F4761" w:themeColor="accent1" w:themeShade="BF"/>
      <w:spacing w:val="5"/>
    </w:rPr>
  </w:style>
  <w:style w:type="table" w:styleId="TableGrid">
    <w:name w:val="Table Grid"/>
    <w:basedOn w:val="TableNormal"/>
    <w:uiPriority w:val="39"/>
    <w:rsid w:val="00412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312</Words>
  <Characters>1781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S Bennett</dc:creator>
  <cp:keywords/>
  <dc:description/>
  <cp:lastModifiedBy>Mrs S Bennett</cp:lastModifiedBy>
  <cp:revision>4</cp:revision>
  <dcterms:created xsi:type="dcterms:W3CDTF">2025-11-24T10:47:00Z</dcterms:created>
  <dcterms:modified xsi:type="dcterms:W3CDTF">2025-12-15T13:08:00Z</dcterms:modified>
</cp:coreProperties>
</file>