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0" w:rsidRDefault="00A829D0" w:rsidP="003918E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eastAsia="Times New Roman" w:cstheme="minorHAnsi"/>
          <w:color w:val="333333"/>
          <w:sz w:val="36"/>
          <w:lang w:eastAsia="en-GB"/>
        </w:rPr>
      </w:pPr>
      <w:r w:rsidRPr="00A829D0">
        <w:rPr>
          <w:rFonts w:eastAsia="Times New Roman" w:cstheme="minorHAnsi"/>
          <w:noProof/>
          <w:color w:val="333333"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95250</wp:posOffset>
            </wp:positionV>
            <wp:extent cx="819150" cy="800100"/>
            <wp:effectExtent l="133350" t="76200" r="76200" b="133350"/>
            <wp:wrapTight wrapText="bothSides">
              <wp:wrapPolygon edited="0">
                <wp:start x="0" y="-2057"/>
                <wp:lineTo x="-3516" y="-1029"/>
                <wp:lineTo x="-3516" y="21086"/>
                <wp:lineTo x="0" y="23657"/>
                <wp:lineTo x="0" y="24686"/>
                <wp:lineTo x="19591" y="24686"/>
                <wp:lineTo x="19591" y="23657"/>
                <wp:lineTo x="23107" y="15943"/>
                <wp:lineTo x="23107" y="7200"/>
                <wp:lineTo x="19591" y="-514"/>
                <wp:lineTo x="19591" y="-2057"/>
                <wp:lineTo x="0" y="-2057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333333"/>
          <w:sz w:val="36"/>
          <w:lang w:eastAsia="en-GB"/>
        </w:rPr>
        <w:t>St Barnabas Church of England Primary Academy</w:t>
      </w:r>
    </w:p>
    <w:p w:rsidR="003918EC" w:rsidRPr="003918EC" w:rsidRDefault="003918EC" w:rsidP="003918E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eastAsia="Times New Roman" w:cstheme="minorHAnsi"/>
          <w:b/>
          <w:color w:val="333333"/>
          <w:sz w:val="36"/>
          <w:lang w:eastAsia="en-GB"/>
        </w:rPr>
      </w:pPr>
      <w:r w:rsidRPr="003918EC">
        <w:rPr>
          <w:rFonts w:eastAsia="Times New Roman" w:cstheme="minorHAnsi"/>
          <w:b/>
          <w:color w:val="333333"/>
          <w:sz w:val="36"/>
          <w:lang w:eastAsia="en-GB"/>
        </w:rPr>
        <w:t>Pu</w:t>
      </w:r>
      <w:r w:rsidRPr="00A829D0">
        <w:rPr>
          <w:rFonts w:eastAsia="Times New Roman" w:cstheme="minorHAnsi"/>
          <w:b/>
          <w:color w:val="333333"/>
          <w:sz w:val="36"/>
          <w:lang w:eastAsia="en-GB"/>
        </w:rPr>
        <w:t>pil Premium Statement</w:t>
      </w:r>
      <w:r w:rsidRPr="00A829D0">
        <w:rPr>
          <w:rFonts w:eastAsia="Times New Roman" w:cstheme="minorHAnsi"/>
          <w:b/>
          <w:color w:val="333333"/>
          <w:sz w:val="36"/>
          <w:lang w:eastAsia="en-GB"/>
        </w:rPr>
        <w:br/>
        <w:t>2019/20</w:t>
      </w:r>
      <w:r w:rsidRPr="003918EC">
        <w:rPr>
          <w:rFonts w:eastAsia="Times New Roman" w:cstheme="minorHAnsi"/>
          <w:b/>
          <w:color w:val="333333"/>
          <w:sz w:val="36"/>
          <w:lang w:eastAsia="en-GB"/>
        </w:rPr>
        <w:t xml:space="preserve"> Academic Year</w:t>
      </w:r>
    </w:p>
    <w:p w:rsidR="003918EC" w:rsidRP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36"/>
          <w:lang w:eastAsia="en-GB"/>
        </w:rPr>
      </w:pPr>
      <w:r w:rsidRPr="003918EC">
        <w:rPr>
          <w:rFonts w:eastAsia="Times New Roman" w:cstheme="minorHAnsi"/>
          <w:color w:val="666666"/>
          <w:sz w:val="36"/>
          <w:lang w:eastAsia="en-GB"/>
        </w:rPr>
        <w:t> </w:t>
      </w:r>
    </w:p>
    <w:p w:rsid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 w:rsidRPr="003918EC">
        <w:rPr>
          <w:rFonts w:eastAsia="Times New Roman" w:cstheme="minorHAnsi"/>
          <w:color w:val="666666"/>
          <w:lang w:eastAsia="en-GB"/>
        </w:rPr>
        <w:t>Pupi</w:t>
      </w:r>
      <w:r w:rsidRPr="006A762D">
        <w:rPr>
          <w:rFonts w:eastAsia="Times New Roman" w:cstheme="minorHAnsi"/>
          <w:color w:val="666666"/>
          <w:lang w:eastAsia="en-GB"/>
        </w:rPr>
        <w:t>l Premium is an additional funding</w:t>
      </w:r>
      <w:r w:rsidRPr="003918EC">
        <w:rPr>
          <w:rFonts w:eastAsia="Times New Roman" w:cstheme="minorHAnsi"/>
          <w:color w:val="666666"/>
          <w:lang w:eastAsia="en-GB"/>
        </w:rPr>
        <w:t xml:space="preserve"> </w:t>
      </w:r>
      <w:r w:rsidRPr="006A762D">
        <w:rPr>
          <w:rFonts w:eastAsia="Times New Roman" w:cstheme="minorHAnsi"/>
          <w:color w:val="666666"/>
          <w:lang w:eastAsia="en-GB"/>
        </w:rPr>
        <w:t xml:space="preserve">allocation </w:t>
      </w:r>
      <w:r w:rsidRPr="003918EC">
        <w:rPr>
          <w:rFonts w:eastAsia="Times New Roman" w:cstheme="minorHAnsi"/>
          <w:color w:val="666666"/>
          <w:lang w:eastAsia="en-GB"/>
        </w:rPr>
        <w:t xml:space="preserve">given to schools annually, based on the number of pupils registered as either Looked After or </w:t>
      </w:r>
      <w:r w:rsidRPr="006A762D">
        <w:rPr>
          <w:rFonts w:eastAsia="Times New Roman" w:cstheme="minorHAnsi"/>
          <w:color w:val="666666"/>
          <w:lang w:eastAsia="en-GB"/>
        </w:rPr>
        <w:t xml:space="preserve">who have been </w:t>
      </w:r>
      <w:r w:rsidRPr="003918EC">
        <w:rPr>
          <w:rFonts w:eastAsia="Times New Roman" w:cstheme="minorHAnsi"/>
          <w:color w:val="666666"/>
          <w:lang w:eastAsia="en-GB"/>
        </w:rPr>
        <w:t>entitled to Free School Meals</w:t>
      </w:r>
      <w:r w:rsidRPr="006A762D">
        <w:rPr>
          <w:rFonts w:eastAsia="Times New Roman" w:cstheme="minorHAnsi"/>
          <w:color w:val="666666"/>
          <w:lang w:eastAsia="en-GB"/>
        </w:rPr>
        <w:t xml:space="preserve"> at any time within the past 6 years</w:t>
      </w:r>
      <w:r w:rsidRPr="003918EC">
        <w:rPr>
          <w:rFonts w:eastAsia="Times New Roman" w:cstheme="minorHAnsi"/>
          <w:color w:val="666666"/>
          <w:lang w:eastAsia="en-GB"/>
        </w:rPr>
        <w:t xml:space="preserve">. It is intended that schools use this to </w:t>
      </w:r>
      <w:r w:rsidRPr="006A762D">
        <w:rPr>
          <w:rFonts w:eastAsia="Times New Roman" w:cstheme="minorHAnsi"/>
          <w:color w:val="666666"/>
          <w:lang w:eastAsia="en-GB"/>
        </w:rPr>
        <w:t xml:space="preserve">improve the attainment and </w:t>
      </w:r>
      <w:r w:rsidRPr="003918EC">
        <w:rPr>
          <w:rFonts w:eastAsia="Times New Roman" w:cstheme="minorHAnsi"/>
          <w:color w:val="666666"/>
          <w:lang w:eastAsia="en-GB"/>
        </w:rPr>
        <w:t>narrow the attainment gaps of vulnerable groups of children.</w:t>
      </w:r>
    </w:p>
    <w:p w:rsidR="006A762D" w:rsidRPr="006A762D" w:rsidRDefault="006A762D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</w:p>
    <w:p w:rsidR="003918EC" w:rsidRPr="006A762D" w:rsidRDefault="003918EC" w:rsidP="003918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 w:rsidRPr="006A762D">
        <w:rPr>
          <w:rFonts w:eastAsia="Times New Roman" w:cstheme="minorHAnsi"/>
          <w:color w:val="666666"/>
          <w:lang w:eastAsia="en-GB"/>
        </w:rPr>
        <w:t>supporting training and continuous development to improve the quality of all teaching</w:t>
      </w:r>
    </w:p>
    <w:p w:rsidR="003918EC" w:rsidRPr="006A762D" w:rsidRDefault="003918EC" w:rsidP="003918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 w:rsidRPr="006A762D">
        <w:rPr>
          <w:rFonts w:eastAsia="Times New Roman" w:cstheme="minorHAnsi"/>
          <w:color w:val="666666"/>
          <w:lang w:eastAsia="en-GB"/>
        </w:rPr>
        <w:t>targeting support for disadvantaged pupils through evidence-based interventions</w:t>
      </w:r>
    </w:p>
    <w:p w:rsidR="003918EC" w:rsidRPr="006A762D" w:rsidRDefault="003918EC" w:rsidP="003918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 w:rsidRPr="006A762D">
        <w:rPr>
          <w:rFonts w:eastAsia="Times New Roman" w:cstheme="minorHAnsi"/>
          <w:color w:val="666666"/>
          <w:lang w:eastAsia="en-GB"/>
        </w:rPr>
        <w:t>supporting whole-school strategies to improve attendance, behaviour and readiness to learn</w:t>
      </w:r>
    </w:p>
    <w:p w:rsidR="003918EC" w:rsidRP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</w:p>
    <w:p w:rsidR="003918EC" w:rsidRP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 w:rsidRPr="003918EC">
        <w:rPr>
          <w:rFonts w:eastAsia="Times New Roman" w:cstheme="minorHAnsi"/>
          <w:color w:val="666666"/>
          <w:lang w:eastAsia="en-GB"/>
        </w:rPr>
        <w:t>The anticipated allocation of Pupil Premium</w:t>
      </w:r>
      <w:r w:rsidRPr="006A762D">
        <w:rPr>
          <w:rFonts w:eastAsia="Times New Roman" w:cstheme="minorHAnsi"/>
          <w:color w:val="666666"/>
          <w:lang w:eastAsia="en-GB"/>
        </w:rPr>
        <w:t xml:space="preserve"> Funds in the Academic Year 2019-20</w:t>
      </w:r>
      <w:r w:rsidRPr="003918EC">
        <w:rPr>
          <w:rFonts w:eastAsia="Times New Roman" w:cstheme="minorHAnsi"/>
          <w:color w:val="666666"/>
          <w:lang w:eastAsia="en-GB"/>
        </w:rPr>
        <w:t xml:space="preserve"> is £</w:t>
      </w:r>
      <w:r w:rsidRPr="006A762D">
        <w:rPr>
          <w:rFonts w:eastAsia="Times New Roman" w:cstheme="minorHAnsi"/>
          <w:color w:val="666666"/>
          <w:lang w:eastAsia="en-GB"/>
        </w:rPr>
        <w:t>39,440</w:t>
      </w:r>
    </w:p>
    <w:p w:rsidR="003918EC" w:rsidRPr="006A762D" w:rsidRDefault="006A762D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  <w:r>
        <w:rPr>
          <w:rFonts w:eastAsia="Times New Roman" w:cstheme="minorHAnsi"/>
          <w:color w:val="666666"/>
          <w:lang w:eastAsia="en-GB"/>
        </w:rPr>
        <w:t>This is how the school</w:t>
      </w:r>
      <w:r w:rsidR="003918EC" w:rsidRPr="003918EC">
        <w:rPr>
          <w:rFonts w:eastAsia="Times New Roman" w:cstheme="minorHAnsi"/>
          <w:color w:val="666666"/>
          <w:lang w:eastAsia="en-GB"/>
        </w:rPr>
        <w:t xml:space="preserve"> intends to use the grant:</w:t>
      </w:r>
    </w:p>
    <w:p w:rsidR="003918EC" w:rsidRPr="006A762D" w:rsidRDefault="003918EC" w:rsidP="0039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en-GB"/>
        </w:rPr>
      </w:pP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8"/>
        <w:gridCol w:w="1447"/>
      </w:tblGrid>
      <w:tr w:rsidR="003918EC" w:rsidRPr="003918EC" w:rsidTr="00F70392">
        <w:trPr>
          <w:trHeight w:val="886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6A762D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6A762D">
              <w:rPr>
                <w:rFonts w:eastAsia="Times New Roman" w:cstheme="minorHAnsi"/>
                <w:color w:val="666666"/>
                <w:lang w:eastAsia="en-GB"/>
              </w:rPr>
              <w:t>Early Language support (ELKLAN trained staff members)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>£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4,000</w:t>
            </w:r>
          </w:p>
        </w:tc>
      </w:tr>
      <w:tr w:rsidR="003918EC" w:rsidRPr="003918EC" w:rsidTr="00F70392">
        <w:trPr>
          <w:trHeight w:val="421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6A762D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6A762D">
              <w:rPr>
                <w:rFonts w:eastAsia="Times New Roman" w:cstheme="minorHAnsi"/>
                <w:color w:val="666666"/>
                <w:lang w:eastAsia="en-GB"/>
              </w:rPr>
              <w:t>Talk Boost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>£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1,000</w:t>
            </w:r>
          </w:p>
        </w:tc>
      </w:tr>
      <w:tr w:rsidR="003918EC" w:rsidRPr="003918EC" w:rsidTr="00F70392">
        <w:trPr>
          <w:trHeight w:val="662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6A762D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6A762D">
              <w:rPr>
                <w:rFonts w:eastAsia="Times New Roman" w:cstheme="minorHAnsi"/>
                <w:color w:val="666666"/>
                <w:lang w:eastAsia="en-GB"/>
              </w:rPr>
              <w:t>Emotional Literacy Support Assistant x 2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>£</w:t>
            </w:r>
            <w:r w:rsidR="00F70392">
              <w:rPr>
                <w:rFonts w:eastAsia="Times New Roman" w:cstheme="minorHAnsi"/>
                <w:color w:val="666666"/>
                <w:lang w:eastAsia="en-GB"/>
              </w:rPr>
              <w:t>12,94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0</w:t>
            </w:r>
          </w:p>
        </w:tc>
      </w:tr>
      <w:tr w:rsidR="003918EC" w:rsidRPr="003918EC" w:rsidTr="00F70392">
        <w:trPr>
          <w:trHeight w:val="421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F70392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>Additional swimming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>£</w:t>
            </w:r>
            <w:r w:rsidR="00F70392">
              <w:rPr>
                <w:rFonts w:eastAsia="Times New Roman" w:cstheme="minorHAnsi"/>
                <w:color w:val="666666"/>
                <w:lang w:eastAsia="en-GB"/>
              </w:rPr>
              <w:t>2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,000</w:t>
            </w:r>
          </w:p>
        </w:tc>
      </w:tr>
      <w:tr w:rsidR="006A762D" w:rsidRPr="006A762D" w:rsidTr="00F70392">
        <w:trPr>
          <w:trHeight w:val="886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A762D" w:rsidRPr="006A762D" w:rsidRDefault="00F70392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 xml:space="preserve">Pre-teaching vocabulary and 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 xml:space="preserve">Reading comprehension groups 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A762D" w:rsidRPr="006A762D" w:rsidRDefault="00F70392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>£8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,000</w:t>
            </w:r>
          </w:p>
        </w:tc>
      </w:tr>
      <w:tr w:rsidR="00A829D0" w:rsidRPr="006A762D" w:rsidTr="00F70392">
        <w:trPr>
          <w:trHeight w:val="421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829D0" w:rsidRPr="006A762D" w:rsidRDefault="00A829D0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>1: 1 feedback sessions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829D0" w:rsidRPr="006A762D" w:rsidRDefault="00A829D0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>£8,000</w:t>
            </w:r>
          </w:p>
        </w:tc>
      </w:tr>
      <w:tr w:rsidR="003918EC" w:rsidRPr="003918EC" w:rsidTr="00F70392">
        <w:trPr>
          <w:trHeight w:val="430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>Educational Visits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6A762D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6A762D">
              <w:rPr>
                <w:rFonts w:eastAsia="Times New Roman" w:cstheme="minorHAnsi"/>
                <w:color w:val="666666"/>
                <w:lang w:eastAsia="en-GB"/>
              </w:rPr>
              <w:t>£1,000</w:t>
            </w:r>
          </w:p>
        </w:tc>
      </w:tr>
      <w:tr w:rsidR="003918EC" w:rsidRPr="003918EC" w:rsidTr="00F70392">
        <w:trPr>
          <w:trHeight w:val="654"/>
        </w:trPr>
        <w:tc>
          <w:tcPr>
            <w:tcW w:w="877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3918EC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3918EC">
              <w:rPr>
                <w:rFonts w:eastAsia="Times New Roman" w:cstheme="minorHAnsi"/>
                <w:color w:val="666666"/>
                <w:lang w:eastAsia="en-GB"/>
              </w:rPr>
              <w:t xml:space="preserve">Attendance </w:t>
            </w:r>
            <w:r w:rsidR="006A762D" w:rsidRPr="006A762D">
              <w:rPr>
                <w:rFonts w:eastAsia="Times New Roman" w:cstheme="minorHAnsi"/>
                <w:color w:val="666666"/>
                <w:lang w:eastAsia="en-GB"/>
              </w:rPr>
              <w:t>and punctuality support</w:t>
            </w:r>
          </w:p>
        </w:tc>
        <w:tc>
          <w:tcPr>
            <w:tcW w:w="1447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918EC" w:rsidRPr="003918EC" w:rsidRDefault="006A762D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 w:rsidRPr="006A762D">
              <w:rPr>
                <w:rFonts w:eastAsia="Times New Roman" w:cstheme="minorHAnsi"/>
                <w:color w:val="666666"/>
                <w:lang w:eastAsia="en-GB"/>
              </w:rPr>
              <w:t>£2,5</w:t>
            </w:r>
            <w:r w:rsidR="003918EC" w:rsidRPr="003918EC">
              <w:rPr>
                <w:rFonts w:eastAsia="Times New Roman" w:cstheme="minorHAnsi"/>
                <w:color w:val="666666"/>
                <w:lang w:eastAsia="en-GB"/>
              </w:rPr>
              <w:t>00</w:t>
            </w:r>
          </w:p>
        </w:tc>
      </w:tr>
      <w:tr w:rsidR="00A829D0" w:rsidRPr="003918EC" w:rsidTr="00F70392">
        <w:trPr>
          <w:trHeight w:val="421"/>
        </w:trPr>
        <w:tc>
          <w:tcPr>
            <w:tcW w:w="8778" w:type="dxa"/>
            <w:shd w:val="clear" w:color="auto" w:fill="DEEAF6" w:themeFill="accent1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829D0" w:rsidRPr="003918EC" w:rsidRDefault="00A829D0" w:rsidP="006A762D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 xml:space="preserve">Total </w:t>
            </w:r>
          </w:p>
        </w:tc>
        <w:tc>
          <w:tcPr>
            <w:tcW w:w="1447" w:type="dxa"/>
            <w:shd w:val="clear" w:color="auto" w:fill="DEEAF6" w:themeFill="accent1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829D0" w:rsidRPr="006A762D" w:rsidRDefault="00F70392" w:rsidP="003918EC">
            <w:pPr>
              <w:spacing w:after="225" w:line="240" w:lineRule="auto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color w:val="666666"/>
                <w:lang w:eastAsia="en-GB"/>
              </w:rPr>
              <w:t>£39,440</w:t>
            </w:r>
          </w:p>
        </w:tc>
      </w:tr>
    </w:tbl>
    <w:p w:rsid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3918EC" w:rsidRPr="003918EC" w:rsidRDefault="003918EC" w:rsidP="003918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F70392" w:rsidRDefault="00F70392"/>
    <w:p w:rsidR="00F70392" w:rsidRDefault="00F70392"/>
    <w:p w:rsidR="00F70392" w:rsidRDefault="00F70392"/>
    <w:p w:rsidR="00A51E96" w:rsidRPr="009D1AC9" w:rsidRDefault="00A51E96" w:rsidP="00A51E96">
      <w:pPr>
        <w:rPr>
          <w:b/>
          <w:u w:val="single"/>
        </w:rPr>
      </w:pPr>
      <w:r w:rsidRPr="009D1AC9">
        <w:rPr>
          <w:b/>
          <w:u w:val="single"/>
        </w:rPr>
        <w:lastRenderedPageBreak/>
        <w:t>Review of 2018-19 expenditure</w:t>
      </w:r>
      <w:bookmarkStart w:id="0" w:name="_GoBack"/>
      <w:bookmarkEnd w:id="0"/>
    </w:p>
    <w:p w:rsidR="00B03D74" w:rsidRDefault="00B03D74" w:rsidP="00A51E96">
      <w:r w:rsidRPr="00B03D74">
        <w:rPr>
          <w:b/>
          <w:u w:val="single"/>
        </w:rPr>
        <w:t>Early Years Foundation Stage:</w:t>
      </w:r>
      <w:r>
        <w:t xml:space="preserve"> </w:t>
      </w:r>
    </w:p>
    <w:p w:rsidR="00A51E96" w:rsidRDefault="00681BEE" w:rsidP="00A51E96">
      <w:r>
        <w:t xml:space="preserve">In the Foundation Stage 83% </w:t>
      </w:r>
      <w:r w:rsidR="00B03D74">
        <w:t xml:space="preserve">disadvantaged children </w:t>
      </w:r>
      <w:r>
        <w:t>achieved a Good Level of Development</w:t>
      </w:r>
    </w:p>
    <w:p w:rsidR="00627824" w:rsidRPr="00B03D74" w:rsidRDefault="00627824" w:rsidP="00A51E96">
      <w:pPr>
        <w:rPr>
          <w:b/>
          <w:u w:val="single"/>
        </w:rPr>
      </w:pPr>
      <w:r w:rsidRPr="00B03D74">
        <w:rPr>
          <w:b/>
          <w:u w:val="single"/>
        </w:rPr>
        <w:t>Key Stage 1</w:t>
      </w:r>
      <w:r w:rsidR="00B03D74" w:rsidRPr="00B03D74">
        <w:rPr>
          <w:b/>
          <w:u w:val="single"/>
        </w:rPr>
        <w:t xml:space="preserve"> progress and attainment</w:t>
      </w:r>
      <w:r w:rsidRPr="00B03D74">
        <w:rPr>
          <w:b/>
          <w:u w:val="single"/>
        </w:rPr>
        <w:t>:</w:t>
      </w:r>
    </w:p>
    <w:p w:rsidR="00627824" w:rsidRDefault="00627824" w:rsidP="00A51E96">
      <w:r>
        <w:t xml:space="preserve">100% disadvantaged children achieved the Y1 Phonics Screening which is 29% higher than all pupils nationally </w:t>
      </w:r>
    </w:p>
    <w:p w:rsidR="00627824" w:rsidRDefault="00627824" w:rsidP="00A51E96">
      <w:r>
        <w:t>50</w:t>
      </w:r>
      <w:r w:rsidR="00A51E96">
        <w:t xml:space="preserve">% of disadvantaged children made the expected </w:t>
      </w:r>
      <w:r>
        <w:t xml:space="preserve">standard in reading, </w:t>
      </w:r>
      <w:r w:rsidR="00B03D74">
        <w:t xml:space="preserve">writing and maths </w:t>
      </w:r>
      <w:r>
        <w:t>which is in line with di</w:t>
      </w:r>
      <w:r w:rsidR="00B03D74">
        <w:t>sadvantaged children nationally.</w:t>
      </w:r>
    </w:p>
    <w:p w:rsidR="00A51E96" w:rsidRDefault="00B03D74" w:rsidP="00A51E96">
      <w:r>
        <w:t xml:space="preserve">Reading and Maths added value progress was +8.3% with +13.9% in reading and +2.7 in maths </w:t>
      </w:r>
    </w:p>
    <w:p w:rsidR="00A51E96" w:rsidRDefault="00A51E96" w:rsidP="00A51E96">
      <w:pPr>
        <w:rPr>
          <w:b/>
          <w:u w:val="single"/>
        </w:rPr>
      </w:pPr>
      <w:r w:rsidRPr="00B03D74">
        <w:rPr>
          <w:b/>
          <w:u w:val="single"/>
        </w:rPr>
        <w:t>Year 6 progress and attainment</w:t>
      </w:r>
    </w:p>
    <w:p w:rsidR="009D1AC9" w:rsidRDefault="001E4A45" w:rsidP="00A51E96">
      <w:r>
        <w:t xml:space="preserve">The </w:t>
      </w:r>
      <w:r w:rsidR="00A51E96">
        <w:t xml:space="preserve">Average scale score in reading for Pupil Premium children at the Academy was </w:t>
      </w:r>
      <w:r>
        <w:t>95.7 for reading; 95 for writing and 99.3 for maths</w:t>
      </w:r>
      <w:r w:rsidR="009D1AC9">
        <w:t>. This showed a value added progress score of +0.2 in reading; +0.7 in writing and +2.6 in maths.</w:t>
      </w:r>
    </w:p>
    <w:p w:rsidR="00A51E96" w:rsidRDefault="009D1AC9" w:rsidP="00A51E96">
      <w:r>
        <w:t>33.3</w:t>
      </w:r>
      <w:r w:rsidR="00A51E96">
        <w:t xml:space="preserve">% of pupils eligible for Pupil Premium achieved the national standard in reading, writing and maths, </w:t>
      </w:r>
      <w:r>
        <w:t>which is below the national average for</w:t>
      </w:r>
      <w:r w:rsidR="00A51E96">
        <w:t xml:space="preserve"> disadvantaged pupils.</w:t>
      </w:r>
    </w:p>
    <w:p w:rsidR="00A51E96" w:rsidRPr="009D1AC9" w:rsidRDefault="00A51E96" w:rsidP="00A51E96">
      <w:pPr>
        <w:rPr>
          <w:b/>
          <w:u w:val="single"/>
        </w:rPr>
      </w:pPr>
      <w:r w:rsidRPr="009D1AC9">
        <w:rPr>
          <w:b/>
          <w:u w:val="single"/>
        </w:rPr>
        <w:t>Wider learning</w:t>
      </w:r>
    </w:p>
    <w:p w:rsidR="009D1AC9" w:rsidRDefault="00A51E96" w:rsidP="00A51E96">
      <w:r>
        <w:t xml:space="preserve">Children across the school </w:t>
      </w:r>
      <w:r w:rsidR="009D1AC9">
        <w:t>have been given additional swimming lessons to ensure that every child is a confident swimmer. 100% of disadvantaged children have achieved their 25m.</w:t>
      </w:r>
    </w:p>
    <w:p w:rsidR="00A51E96" w:rsidRDefault="009D1AC9" w:rsidP="00A51E96">
      <w:r>
        <w:t>Our children conti</w:t>
      </w:r>
      <w:r w:rsidR="00A51E96">
        <w:t xml:space="preserve">nue to have had access to </w:t>
      </w:r>
      <w:r>
        <w:t>a wide range of extra-curricular</w:t>
      </w:r>
      <w:r w:rsidR="00A51E96">
        <w:t xml:space="preserve"> </w:t>
      </w:r>
      <w:r>
        <w:t xml:space="preserve">enrichment </w:t>
      </w:r>
      <w:r w:rsidR="00A51E96">
        <w:t>clubs to broaden th</w:t>
      </w:r>
      <w:r>
        <w:t>eir wider learning experiences and children eligible for Pupil Premium funding have been provided with additional musical instrument tuition</w:t>
      </w:r>
    </w:p>
    <w:sectPr w:rsidR="00A51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E52"/>
    <w:multiLevelType w:val="hybridMultilevel"/>
    <w:tmpl w:val="3B48C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6E5C"/>
    <w:multiLevelType w:val="multilevel"/>
    <w:tmpl w:val="1DF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C"/>
    <w:rsid w:val="000D4B3C"/>
    <w:rsid w:val="001E4A45"/>
    <w:rsid w:val="003918EC"/>
    <w:rsid w:val="00627824"/>
    <w:rsid w:val="00681BEE"/>
    <w:rsid w:val="006A762D"/>
    <w:rsid w:val="008704D2"/>
    <w:rsid w:val="009D1AC9"/>
    <w:rsid w:val="00A51E96"/>
    <w:rsid w:val="00A829D0"/>
    <w:rsid w:val="00B03D74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4FFE"/>
  <w15:chartTrackingRefBased/>
  <w15:docId w15:val="{4D4C68C7-6343-4647-BE26-5050455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8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Helen Thomas</cp:lastModifiedBy>
  <cp:revision>2</cp:revision>
  <dcterms:created xsi:type="dcterms:W3CDTF">2019-10-16T15:05:00Z</dcterms:created>
  <dcterms:modified xsi:type="dcterms:W3CDTF">2019-10-16T15:05:00Z</dcterms:modified>
</cp:coreProperties>
</file>