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36777B" w:rsidRPr="00821BFF" w14:paraId="706EC139" w14:textId="77777777" w:rsidTr="001A3A27">
        <w:trPr>
          <w:trHeight w:val="517"/>
        </w:trPr>
        <w:tc>
          <w:tcPr>
            <w:tcW w:w="10768" w:type="dxa"/>
          </w:tcPr>
          <w:p w14:paraId="706EC137" w14:textId="77777777" w:rsidR="0036777B" w:rsidRPr="00821BFF" w:rsidRDefault="0036777B" w:rsidP="0036777B">
            <w:pPr>
              <w:jc w:val="center"/>
              <w:rPr>
                <w:b/>
                <w:sz w:val="30"/>
                <w:szCs w:val="20"/>
              </w:rPr>
            </w:pPr>
            <w:bookmarkStart w:id="0" w:name="_GoBack"/>
            <w:bookmarkEnd w:id="0"/>
            <w:r w:rsidRPr="00821BFF">
              <w:rPr>
                <w:b/>
                <w:noProof/>
                <w:sz w:val="30"/>
                <w:szCs w:val="2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706EC195" wp14:editId="7436F648">
                  <wp:simplePos x="0" y="0"/>
                  <wp:positionH relativeFrom="column">
                    <wp:posOffset>9954</wp:posOffset>
                  </wp:positionH>
                  <wp:positionV relativeFrom="paragraph">
                    <wp:posOffset>20581</wp:posOffset>
                  </wp:positionV>
                  <wp:extent cx="723900" cy="426720"/>
                  <wp:effectExtent l="0" t="0" r="0" b="0"/>
                  <wp:wrapTight wrapText="bothSides">
                    <wp:wrapPolygon edited="0">
                      <wp:start x="0" y="0"/>
                      <wp:lineTo x="0" y="20250"/>
                      <wp:lineTo x="21032" y="20250"/>
                      <wp:lineTo x="21032" y="0"/>
                      <wp:lineTo x="0" y="0"/>
                    </wp:wrapPolygon>
                  </wp:wrapTight>
                  <wp:docPr id="1" name="Picture 1" descr="T:\School Logo\St Bede's Catholic Academ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School Logo\St Bede's Catholic Academ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1BFF">
              <w:rPr>
                <w:b/>
                <w:sz w:val="30"/>
                <w:szCs w:val="20"/>
              </w:rPr>
              <w:t xml:space="preserve">St Bede’s Catholic Academy </w:t>
            </w:r>
          </w:p>
          <w:p w14:paraId="706EC138" w14:textId="58131CAD" w:rsidR="0036777B" w:rsidRPr="00821BFF" w:rsidRDefault="00C72D95" w:rsidP="00C72D95">
            <w:pPr>
              <w:jc w:val="center"/>
              <w:rPr>
                <w:b/>
                <w:sz w:val="20"/>
                <w:szCs w:val="20"/>
              </w:rPr>
            </w:pPr>
            <w:r w:rsidRPr="00821BFF">
              <w:rPr>
                <w:b/>
                <w:sz w:val="26"/>
                <w:szCs w:val="20"/>
              </w:rPr>
              <w:t xml:space="preserve">Ensuring </w:t>
            </w:r>
            <w:r w:rsidR="00AB48E1" w:rsidRPr="00821BFF">
              <w:rPr>
                <w:b/>
                <w:sz w:val="26"/>
                <w:szCs w:val="20"/>
              </w:rPr>
              <w:t>disadvantaged</w:t>
            </w:r>
            <w:r w:rsidRPr="00821BFF">
              <w:rPr>
                <w:b/>
                <w:sz w:val="26"/>
                <w:szCs w:val="20"/>
              </w:rPr>
              <w:t xml:space="preserve"> children a</w:t>
            </w:r>
            <w:r w:rsidR="001464D8" w:rsidRPr="00821BFF">
              <w:rPr>
                <w:b/>
                <w:sz w:val="26"/>
                <w:szCs w:val="20"/>
              </w:rPr>
              <w:t>ccess the full curriculum offer</w:t>
            </w:r>
            <w:r w:rsidRPr="00821BFF">
              <w:rPr>
                <w:b/>
                <w:sz w:val="26"/>
                <w:szCs w:val="20"/>
              </w:rPr>
              <w:t xml:space="preserve"> </w:t>
            </w:r>
          </w:p>
        </w:tc>
      </w:tr>
      <w:tr w:rsidR="0036777B" w:rsidRPr="00821BFF" w14:paraId="706EC13B" w14:textId="77777777" w:rsidTr="001A3A27">
        <w:trPr>
          <w:trHeight w:val="266"/>
        </w:trPr>
        <w:tc>
          <w:tcPr>
            <w:tcW w:w="10768" w:type="dxa"/>
          </w:tcPr>
          <w:p w14:paraId="706EC13A" w14:textId="5106CC57" w:rsidR="0036777B" w:rsidRPr="00821BFF" w:rsidRDefault="0036777B">
            <w:p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Every teacher is a teacher of </w:t>
            </w:r>
            <w:r w:rsidR="00AB48E1" w:rsidRPr="00821BFF">
              <w:rPr>
                <w:rFonts w:cstheme="minorHAnsi"/>
                <w:color w:val="000000" w:themeColor="text1"/>
              </w:rPr>
              <w:t xml:space="preserve">disadvantaged and </w:t>
            </w:r>
            <w:r w:rsidRPr="00821BFF">
              <w:rPr>
                <w:rFonts w:cstheme="minorHAnsi"/>
                <w:color w:val="000000" w:themeColor="text1"/>
              </w:rPr>
              <w:t>SEND and every child has to be able to access the curriculum to allow them to succeed.</w:t>
            </w:r>
            <w:r w:rsidR="0072074D" w:rsidRPr="00821BFF">
              <w:rPr>
                <w:rFonts w:cstheme="minorHAnsi"/>
                <w:color w:val="000000" w:themeColor="text1"/>
              </w:rPr>
              <w:t xml:space="preserve"> Ensure you see the lesson through the eyes of the child.</w:t>
            </w:r>
          </w:p>
        </w:tc>
      </w:tr>
      <w:tr w:rsidR="0036777B" w:rsidRPr="00821BFF" w14:paraId="706EC149" w14:textId="77777777" w:rsidTr="001A3A27">
        <w:trPr>
          <w:trHeight w:val="266"/>
        </w:trPr>
        <w:tc>
          <w:tcPr>
            <w:tcW w:w="10768" w:type="dxa"/>
          </w:tcPr>
          <w:p w14:paraId="706EC13C" w14:textId="77777777" w:rsidR="0036777B" w:rsidRPr="00821BFF" w:rsidRDefault="0036777B" w:rsidP="00227D57">
            <w:pPr>
              <w:rPr>
                <w:rFonts w:cstheme="minorHAnsi"/>
                <w:b/>
                <w:color w:val="000000" w:themeColor="text1"/>
              </w:rPr>
            </w:pPr>
            <w:r w:rsidRPr="00821BFF">
              <w:rPr>
                <w:rFonts w:cstheme="minorHAnsi"/>
                <w:b/>
                <w:color w:val="000000" w:themeColor="text1"/>
              </w:rPr>
              <w:t>High Quality Teaching</w:t>
            </w:r>
            <w:r w:rsidR="003C3AE4" w:rsidRPr="00821BFF">
              <w:rPr>
                <w:rFonts w:cstheme="minorHAnsi"/>
                <w:b/>
                <w:color w:val="000000" w:themeColor="text1"/>
              </w:rPr>
              <w:t xml:space="preserve"> in </w:t>
            </w:r>
            <w:r w:rsidR="003C3AE4" w:rsidRPr="00821BFF">
              <w:rPr>
                <w:rFonts w:cstheme="minorHAnsi"/>
                <w:b/>
                <w:color w:val="000000" w:themeColor="text1"/>
                <w:u w:val="single"/>
              </w:rPr>
              <w:t>all</w:t>
            </w:r>
            <w:r w:rsidR="003C3AE4" w:rsidRPr="00821BFF">
              <w:rPr>
                <w:rFonts w:cstheme="minorHAnsi"/>
                <w:b/>
                <w:color w:val="000000" w:themeColor="text1"/>
              </w:rPr>
              <w:t xml:space="preserve"> subjects</w:t>
            </w:r>
            <w:r w:rsidRPr="00821BFF">
              <w:rPr>
                <w:rFonts w:cstheme="minorHAnsi"/>
                <w:b/>
                <w:color w:val="000000" w:themeColor="text1"/>
              </w:rPr>
              <w:t>:</w:t>
            </w:r>
          </w:p>
          <w:p w14:paraId="706EC13D" w14:textId="77777777" w:rsidR="0036777B" w:rsidRPr="00821BFF" w:rsidRDefault="00ED7C92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06EC197" wp14:editId="5016CB16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71755</wp:posOffset>
                  </wp:positionV>
                  <wp:extent cx="3334385" cy="2325370"/>
                  <wp:effectExtent l="0" t="0" r="0" b="0"/>
                  <wp:wrapThrough wrapText="bothSides">
                    <wp:wrapPolygon edited="0">
                      <wp:start x="0" y="0"/>
                      <wp:lineTo x="0" y="21411"/>
                      <wp:lineTo x="21472" y="21411"/>
                      <wp:lineTo x="21472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780EAA8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85" cy="2325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77B" w:rsidRPr="00821BFF">
              <w:rPr>
                <w:rFonts w:eastAsia="Times New Roman" w:cstheme="minorHAnsi"/>
                <w:color w:val="000000" w:themeColor="text1"/>
                <w:lang w:eastAsia="en-GB"/>
              </w:rPr>
              <w:t>flexible grouping</w:t>
            </w:r>
          </w:p>
          <w:p w14:paraId="706EC13E" w14:textId="271E2DAD" w:rsidR="0036777B" w:rsidRPr="00821BFF" w:rsidRDefault="00186811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Pedological</w:t>
            </w:r>
            <w:r w:rsidR="00AB48E1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cohesion</w:t>
            </w:r>
            <w:r w:rsidR="00AB48E1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of quality first teaching</w:t>
            </w:r>
            <w:r w:rsidR="0072074D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  <w:p w14:paraId="706EC13F" w14:textId="77777777" w:rsidR="0036777B" w:rsidRPr="00821BFF" w:rsidRDefault="0036777B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explicit instruction</w:t>
            </w:r>
            <w:r w:rsidR="0072074D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(chunked into small steps)</w:t>
            </w:r>
          </w:p>
          <w:p w14:paraId="706EC140" w14:textId="77777777" w:rsidR="0036777B" w:rsidRPr="00821BFF" w:rsidRDefault="0036777B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using technology</w:t>
            </w:r>
            <w:r w:rsidR="00ED7C92" w:rsidRPr="00821BFF">
              <w:rPr>
                <w:rFonts w:eastAsia="Times New Roman" w:cstheme="minorHAnsi"/>
                <w:color w:val="000000" w:themeColor="text1"/>
                <w:lang w:eastAsia="en-GB"/>
              </w:rPr>
              <w:t>/manipulatives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 </w:t>
            </w:r>
          </w:p>
          <w:p w14:paraId="706EC141" w14:textId="77777777" w:rsidR="0036777B" w:rsidRPr="00821BFF" w:rsidRDefault="0036777B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scaffolding</w:t>
            </w:r>
          </w:p>
          <w:p w14:paraId="706EC142" w14:textId="77777777" w:rsidR="00ED7C92" w:rsidRPr="00821BFF" w:rsidRDefault="00ED7C92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teacher modelling</w:t>
            </w:r>
          </w:p>
          <w:p w14:paraId="706EC143" w14:textId="77777777" w:rsidR="00ED7C92" w:rsidRPr="00821BFF" w:rsidRDefault="00ED7C92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effective/adapted questions</w:t>
            </w:r>
          </w:p>
          <w:p w14:paraId="706EC144" w14:textId="77777777" w:rsidR="00ED7C92" w:rsidRPr="00821BFF" w:rsidRDefault="00ED7C92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retrieval and recap</w:t>
            </w:r>
          </w:p>
          <w:p w14:paraId="706EC145" w14:textId="77777777" w:rsidR="00ED7C92" w:rsidRPr="00821BFF" w:rsidRDefault="00ED7C92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building on prior knowledge</w:t>
            </w:r>
          </w:p>
          <w:p w14:paraId="706EC146" w14:textId="77777777" w:rsidR="00ED7C92" w:rsidRPr="00821BFF" w:rsidRDefault="00ED7C92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challenge </w:t>
            </w:r>
          </w:p>
          <w:p w14:paraId="706EC147" w14:textId="77777777" w:rsidR="00ED7C92" w:rsidRPr="00821BFF" w:rsidRDefault="00ED7C92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making links to other learning. </w:t>
            </w:r>
          </w:p>
          <w:p w14:paraId="4A5D76AE" w14:textId="497286E7" w:rsidR="00186811" w:rsidRPr="00821BFF" w:rsidRDefault="00C4104F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Cohesive</w:t>
            </w:r>
            <w:r w:rsidR="00186811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0FC1833" w:rsidRPr="00821BFF">
              <w:rPr>
                <w:rFonts w:eastAsia="Times New Roman" w:cstheme="minorHAnsi"/>
                <w:color w:val="000000" w:themeColor="text1"/>
                <w:lang w:eastAsia="en-GB"/>
              </w:rPr>
              <w:t>high-quality</w:t>
            </w:r>
            <w:r w:rsidR="00186811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curriculum </w:t>
            </w:r>
            <w:proofErr w:type="gramStart"/>
            <w:r w:rsidR="00186811" w:rsidRPr="00821BFF">
              <w:rPr>
                <w:rFonts w:eastAsia="Times New Roman" w:cstheme="minorHAnsi"/>
                <w:color w:val="000000" w:themeColor="text1"/>
                <w:lang w:eastAsia="en-GB"/>
              </w:rPr>
              <w:t>offer</w:t>
            </w:r>
            <w:proofErr w:type="gramEnd"/>
            <w:r w:rsidR="00186811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  <w:p w14:paraId="2A92B2BE" w14:textId="5016AEF9" w:rsidR="00C4104F" w:rsidRPr="00821BFF" w:rsidRDefault="00FC1833" w:rsidP="00227D57">
            <w:pPr>
              <w:numPr>
                <w:ilvl w:val="0"/>
                <w:numId w:val="6"/>
              </w:numPr>
              <w:shd w:val="clear" w:color="auto" w:fill="FFFFFF"/>
              <w:ind w:left="300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Assessment based on core knowledge.  </w:t>
            </w:r>
          </w:p>
          <w:p w14:paraId="706EC148" w14:textId="77777777" w:rsidR="003B7ADE" w:rsidRPr="00821BFF" w:rsidRDefault="003B7ADE" w:rsidP="003B7ADE">
            <w:pPr>
              <w:shd w:val="clear" w:color="auto" w:fill="FFFFFF"/>
              <w:ind w:left="-60"/>
              <w:rPr>
                <w:rFonts w:eastAsia="Times New Roman" w:cstheme="minorHAnsi"/>
                <w:color w:val="000000" w:themeColor="text1"/>
                <w:lang w:eastAsia="en-GB"/>
              </w:rPr>
            </w:pPr>
          </w:p>
        </w:tc>
      </w:tr>
      <w:tr w:rsidR="0036777B" w:rsidRPr="00821BFF" w14:paraId="706EC15A" w14:textId="77777777" w:rsidTr="001A3A27">
        <w:trPr>
          <w:trHeight w:val="266"/>
        </w:trPr>
        <w:tc>
          <w:tcPr>
            <w:tcW w:w="10768" w:type="dxa"/>
          </w:tcPr>
          <w:p w14:paraId="706EC14A" w14:textId="77777777" w:rsidR="0036777B" w:rsidRPr="00821BFF" w:rsidRDefault="0036777B">
            <w:pPr>
              <w:rPr>
                <w:rFonts w:cstheme="minorHAnsi"/>
                <w:b/>
                <w:color w:val="000000" w:themeColor="text1"/>
              </w:rPr>
            </w:pPr>
            <w:r w:rsidRPr="00821BFF">
              <w:rPr>
                <w:rFonts w:cstheme="minorHAnsi"/>
                <w:b/>
                <w:color w:val="000000" w:themeColor="text1"/>
              </w:rPr>
              <w:t>Adapting the environment:</w:t>
            </w:r>
          </w:p>
          <w:p w14:paraId="706EC14B" w14:textId="77777777" w:rsidR="0072074D" w:rsidRPr="00821BFF" w:rsidRDefault="0036777B" w:rsidP="00227D5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Change where the student sits in the classroom</w:t>
            </w:r>
            <w:r w:rsidR="003B7ADE" w:rsidRPr="00821BFF">
              <w:rPr>
                <w:rFonts w:cstheme="minorHAnsi"/>
                <w:color w:val="000000" w:themeColor="text1"/>
              </w:rPr>
              <w:t xml:space="preserve"> in response to recommendations from S&amp;L/EP/</w:t>
            </w:r>
            <w:proofErr w:type="spellStart"/>
            <w:r w:rsidR="003B7ADE" w:rsidRPr="00821BFF">
              <w:rPr>
                <w:rFonts w:cstheme="minorHAnsi"/>
                <w:color w:val="000000" w:themeColor="text1"/>
              </w:rPr>
              <w:t>SENDco</w:t>
            </w:r>
            <w:proofErr w:type="spellEnd"/>
            <w:r w:rsidRPr="00821BFF">
              <w:rPr>
                <w:rFonts w:cstheme="minorHAnsi"/>
                <w:color w:val="000000" w:themeColor="text1"/>
              </w:rPr>
              <w:t xml:space="preserve"> </w:t>
            </w:r>
          </w:p>
          <w:p w14:paraId="706EC14C" w14:textId="218E9C27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Make use of cooperative grouping</w:t>
            </w:r>
            <w:r w:rsidR="00AC3CD5" w:rsidRPr="00821BFF">
              <w:rPr>
                <w:rFonts w:cstheme="minorHAnsi"/>
                <w:color w:val="000000" w:themeColor="text1"/>
              </w:rPr>
              <w:t>/jigsaw teaching</w:t>
            </w:r>
            <w:r w:rsidR="00227D57" w:rsidRPr="00821BFF">
              <w:rPr>
                <w:rFonts w:cstheme="minorHAnsi"/>
                <w:color w:val="000000" w:themeColor="text1"/>
              </w:rPr>
              <w:t>.</w:t>
            </w:r>
          </w:p>
          <w:p w14:paraId="706EC14D" w14:textId="0D58A4F4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Limiting classroom decoration or displays</w:t>
            </w:r>
            <w:r w:rsidR="00824A6C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in intervention rooms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(this can help prevent children with ASD or sensory issues from being visually overloaded).</w:t>
            </w:r>
          </w:p>
          <w:p w14:paraId="706EC14E" w14:textId="77777777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Avoiding black on white presentation and varying the background colours (dyslexia</w:t>
            </w:r>
            <w:r w:rsidR="0072074D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  <w:r w:rsidR="00227D57" w:rsidRPr="00821BFF">
              <w:rPr>
                <w:rFonts w:eastAsia="Times New Roman" w:cstheme="minorHAnsi"/>
                <w:color w:val="000000" w:themeColor="text1"/>
                <w:lang w:eastAsia="en-GB"/>
              </w:rPr>
              <w:t>friendly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).</w:t>
            </w:r>
          </w:p>
          <w:p w14:paraId="706EC14F" w14:textId="77777777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Using a visual timetable throughout the day (ASD).</w:t>
            </w:r>
          </w:p>
          <w:p w14:paraId="706EC150" w14:textId="77777777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Using visuals for classroom organisation (this will help scaffold spoken instructions, benefiting children with S</w:t>
            </w:r>
            <w:r w:rsidR="0072074D" w:rsidRPr="00821BFF">
              <w:rPr>
                <w:rFonts w:eastAsia="Times New Roman" w:cstheme="minorHAnsi"/>
                <w:color w:val="000000" w:themeColor="text1"/>
                <w:lang w:eastAsia="en-GB"/>
              </w:rPr>
              <w:t>&amp;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L and ASD, whilst also providing support to younger learners and EAL learners).</w:t>
            </w:r>
          </w:p>
          <w:p w14:paraId="706EC151" w14:textId="54D7C4A1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Making a </w:t>
            </w:r>
            <w:r w:rsidR="00AC3946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quiet </w:t>
            </w:r>
            <w:r w:rsidR="00497092" w:rsidRPr="00821BFF">
              <w:rPr>
                <w:rFonts w:eastAsia="Times New Roman" w:cstheme="minorHAnsi"/>
                <w:color w:val="000000" w:themeColor="text1"/>
                <w:lang w:eastAsia="en-GB"/>
              </w:rPr>
              <w:t>workstation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available for learners to use </w:t>
            </w:r>
            <w:r w:rsidRPr="00821BFF">
              <w:rPr>
                <w:rFonts w:eastAsia="Times New Roman" w:cstheme="minorHAnsi"/>
                <w:b/>
                <w:bCs/>
                <w:color w:val="000000" w:themeColor="text1"/>
                <w:lang w:eastAsia="en-GB"/>
              </w:rPr>
              <w:t>when they need it 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(this can help support learners with ADHD, ODD, and ASD).</w:t>
            </w:r>
          </w:p>
          <w:p w14:paraId="706EC152" w14:textId="77777777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Promote positive relationships: focus on developing or re-establishing relationships between pupils, their peers and adults. Plan to support pupils who may find social communication difficult or who have difficulty trusting others.</w:t>
            </w:r>
          </w:p>
          <w:p w14:paraId="706EC153" w14:textId="77777777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Promote active engagement: plan how you will support pupils who struggle to come back to school. Encourage </w:t>
            </w:r>
            <w:hyperlink r:id="rId10" w:history="1">
              <w:r w:rsidRPr="00821BFF">
                <w:rPr>
                  <w:rFonts w:eastAsia="Times New Roman" w:cstheme="minorHAnsi"/>
                  <w:color w:val="000000" w:themeColor="text1"/>
                  <w:u w:val="single"/>
                  <w:lang w:eastAsia="en-GB"/>
                </w:rPr>
                <w:t>metacognition</w:t>
              </w:r>
            </w:hyperlink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 and self-regulated learning so pupils become less reliant on others.</w:t>
            </w:r>
          </w:p>
          <w:p w14:paraId="706EC154" w14:textId="77777777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Promote </w:t>
            </w:r>
            <w:hyperlink r:id="rId11" w:history="1">
              <w:r w:rsidRPr="00821BFF">
                <w:rPr>
                  <w:rFonts w:eastAsia="Times New Roman" w:cstheme="minorHAnsi"/>
                  <w:color w:val="000000" w:themeColor="text1"/>
                  <w:u w:val="single"/>
                  <w:lang w:eastAsia="en-GB"/>
                </w:rPr>
                <w:t>positive behaviour for learning</w:t>
              </w:r>
            </w:hyperlink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: don’t assume pupils will automatically understand or be able to follow new rules and routines. Teach them explicitly and support their understanding with the use of visuals or social stories.</w:t>
            </w:r>
          </w:p>
          <w:p w14:paraId="706EC155" w14:textId="77777777" w:rsidR="0036777B" w:rsidRPr="00821BFF" w:rsidRDefault="0036777B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Promote positive wellbeing: consider how you will prioritise positive wellbeing through a whole school approach and provide specific support for any pupils who return with increased levels of anxiety or emotional stress.</w:t>
            </w:r>
          </w:p>
          <w:p w14:paraId="706EC156" w14:textId="5411F0F6" w:rsidR="00444E62" w:rsidRPr="00821BFF" w:rsidRDefault="00444E62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Use writing slopes</w:t>
            </w:r>
            <w:r w:rsidR="00514D0A" w:rsidRPr="00821BFF">
              <w:rPr>
                <w:rFonts w:eastAsia="Times New Roman" w:cstheme="minorHAnsi"/>
                <w:color w:val="000000" w:themeColor="text1"/>
                <w:lang w:eastAsia="en-GB"/>
              </w:rPr>
              <w:t>/</w:t>
            </w:r>
            <w:r w:rsidR="006C6A3F" w:rsidRPr="00821BFF">
              <w:rPr>
                <w:rFonts w:eastAsia="Times New Roman" w:cstheme="minorHAnsi"/>
                <w:color w:val="000000" w:themeColor="text1"/>
                <w:lang w:eastAsia="en-GB"/>
              </w:rPr>
              <w:t>iPad/dyslexia pens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(dyslexic learners and those with motor skills difficulties can be helped by these).</w:t>
            </w:r>
          </w:p>
          <w:p w14:paraId="706EC157" w14:textId="77777777" w:rsidR="00444E62" w:rsidRPr="00821BFF" w:rsidRDefault="00444E62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Specialised pencil grips.</w:t>
            </w:r>
          </w:p>
          <w:p w14:paraId="706EC158" w14:textId="77777777" w:rsidR="00444E62" w:rsidRPr="00821BFF" w:rsidRDefault="00444E62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Ear defenders (children with sensory issues including those with ASD can benefit from these, as can children with ADHD or ADD, helping to block out some of the background noise).</w:t>
            </w:r>
          </w:p>
          <w:p w14:paraId="706EC159" w14:textId="77777777" w:rsidR="0036777B" w:rsidRPr="00821BFF" w:rsidRDefault="00444E62" w:rsidP="00227D57">
            <w:pPr>
              <w:pStyle w:val="ListParagraph"/>
              <w:numPr>
                <w:ilvl w:val="0"/>
                <w:numId w:val="1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Wobble cushions (these can help ‘ground’ learners).</w:t>
            </w:r>
          </w:p>
        </w:tc>
      </w:tr>
      <w:tr w:rsidR="0036777B" w:rsidRPr="00821BFF" w14:paraId="706EC16A" w14:textId="77777777" w:rsidTr="001A3A27">
        <w:trPr>
          <w:trHeight w:val="251"/>
        </w:trPr>
        <w:tc>
          <w:tcPr>
            <w:tcW w:w="10768" w:type="dxa"/>
          </w:tcPr>
          <w:p w14:paraId="706EC15B" w14:textId="77777777" w:rsidR="0036777B" w:rsidRPr="00821BFF" w:rsidRDefault="0036777B" w:rsidP="00AC3946">
            <w:pPr>
              <w:rPr>
                <w:rFonts w:cstheme="minorHAnsi"/>
                <w:b/>
                <w:color w:val="000000" w:themeColor="text1"/>
              </w:rPr>
            </w:pPr>
            <w:r w:rsidRPr="00821BFF">
              <w:rPr>
                <w:rFonts w:cstheme="minorHAnsi"/>
                <w:b/>
                <w:color w:val="000000" w:themeColor="text1"/>
              </w:rPr>
              <w:t>Adapting the input:</w:t>
            </w:r>
          </w:p>
          <w:p w14:paraId="706EC15C" w14:textId="77777777" w:rsidR="00AC3946" w:rsidRPr="00821BFF" w:rsidRDefault="00AC3946" w:rsidP="00227D57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cstheme="minorHAnsi"/>
                <w:color w:val="000000" w:themeColor="text1"/>
              </w:rPr>
              <w:t>M</w:t>
            </w:r>
            <w:r w:rsidR="0036777B" w:rsidRPr="00821BFF">
              <w:rPr>
                <w:rFonts w:cstheme="minorHAnsi"/>
                <w:color w:val="000000" w:themeColor="text1"/>
              </w:rPr>
              <w:t>odel new concepts.</w:t>
            </w: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</w:t>
            </w:r>
          </w:p>
          <w:p w14:paraId="706EC15D" w14:textId="77777777" w:rsidR="006B343A" w:rsidRPr="00821BFF" w:rsidRDefault="006B343A" w:rsidP="00227D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Verbalise your thought process whilst modelling activities, including strategies to remember what you need to do.</w:t>
            </w:r>
          </w:p>
          <w:p w14:paraId="706EC15E" w14:textId="67FAFE4D" w:rsidR="00AC3946" w:rsidRPr="00821BFF" w:rsidRDefault="00AC3946" w:rsidP="00227D5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Use technology where appropriate to scaffold the learner. This may include equipment, apps, or specialist software which can effectively support SEN. </w:t>
            </w:r>
          </w:p>
          <w:p w14:paraId="706EC15F" w14:textId="77777777" w:rsidR="00AC3946" w:rsidRPr="00821BFF" w:rsidRDefault="00AC3946" w:rsidP="00227D5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Provide students with advance organizers of key scientific concepts – Learn it! Link it!</w:t>
            </w:r>
          </w:p>
          <w:p w14:paraId="706EC160" w14:textId="77777777" w:rsidR="00AC3946" w:rsidRPr="00821BFF" w:rsidRDefault="00AC3946" w:rsidP="00227D57">
            <w:pPr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Deploy other adults in the classroom to effectively facilitate learning.</w:t>
            </w:r>
          </w:p>
          <w:p w14:paraId="706EC161" w14:textId="19B1044C" w:rsidR="00AC3946" w:rsidRPr="00821BFF" w:rsidRDefault="00AC3946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lastRenderedPageBreak/>
              <w:t xml:space="preserve">Plan in the use of talk partners – this gives children with SEN access to peer support and the ability to rehearse their responses. </w:t>
            </w:r>
            <w:r w:rsidR="006C6A3F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  Make sure the children </w:t>
            </w:r>
            <w:r w:rsidR="00084361"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know how to use talk partners </w:t>
            </w:r>
            <w:proofErr w:type="spellStart"/>
            <w:r w:rsidR="00084361" w:rsidRPr="00821BFF">
              <w:rPr>
                <w:rFonts w:eastAsia="Times New Roman" w:cstheme="minorHAnsi"/>
                <w:color w:val="000000" w:themeColor="text1"/>
                <w:lang w:eastAsia="en-GB"/>
              </w:rPr>
              <w:t>appriopriately</w:t>
            </w:r>
            <w:proofErr w:type="spellEnd"/>
          </w:p>
          <w:p w14:paraId="706EC162" w14:textId="7B5DB701" w:rsidR="0036777B" w:rsidRPr="00821BFF" w:rsidRDefault="00AC3946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 xml:space="preserve">Incorporate flexible grouping </w:t>
            </w:r>
          </w:p>
          <w:p w14:paraId="706EC163" w14:textId="77777777" w:rsidR="006B343A" w:rsidRPr="00821BFF" w:rsidRDefault="006B343A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Keep instructions clear and concise.</w:t>
            </w:r>
          </w:p>
          <w:p w14:paraId="706EC164" w14:textId="77777777" w:rsidR="006B343A" w:rsidRPr="00821BFF" w:rsidRDefault="006B343A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Deliver instructions facing the children.</w:t>
            </w:r>
          </w:p>
          <w:p w14:paraId="706EC165" w14:textId="77777777" w:rsidR="006B343A" w:rsidRPr="00821BFF" w:rsidRDefault="006B343A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Do not issue multiple instructions at once.</w:t>
            </w:r>
          </w:p>
          <w:p w14:paraId="706EC166" w14:textId="77777777" w:rsidR="006B343A" w:rsidRPr="00821BFF" w:rsidRDefault="006B343A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Give children an opportunity to repeat instructions back to you.</w:t>
            </w:r>
          </w:p>
          <w:p w14:paraId="706EC167" w14:textId="77777777" w:rsidR="006B343A" w:rsidRPr="00821BFF" w:rsidRDefault="006B343A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Accompany verbal instructions with visual aids (these can be symbols, images etc).</w:t>
            </w:r>
          </w:p>
          <w:p w14:paraId="706EC168" w14:textId="77777777" w:rsidR="00227D57" w:rsidRPr="00821BFF" w:rsidRDefault="00227D57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Where appropriate, allocate other adults to re-word and re-frame instructions and information.</w:t>
            </w:r>
          </w:p>
          <w:p w14:paraId="706EC169" w14:textId="77777777" w:rsidR="006B343A" w:rsidRPr="00821BFF" w:rsidRDefault="00227D57" w:rsidP="00227D57">
            <w:pPr>
              <w:numPr>
                <w:ilvl w:val="0"/>
                <w:numId w:val="1"/>
              </w:numPr>
              <w:shd w:val="clear" w:color="auto" w:fill="FFFFFF"/>
              <w:ind w:left="714" w:hanging="357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Avoid idiomatic language – phrases such as ‘pull your socks up’ or ‘reach for the stars’.</w:t>
            </w:r>
          </w:p>
        </w:tc>
      </w:tr>
      <w:tr w:rsidR="0036777B" w:rsidRPr="00821BFF" w14:paraId="706EC178" w14:textId="77777777" w:rsidTr="001A3A27">
        <w:trPr>
          <w:trHeight w:val="266"/>
        </w:trPr>
        <w:tc>
          <w:tcPr>
            <w:tcW w:w="10768" w:type="dxa"/>
          </w:tcPr>
          <w:p w14:paraId="706EC16B" w14:textId="77777777" w:rsidR="0036777B" w:rsidRPr="00821BFF" w:rsidRDefault="0036777B" w:rsidP="007623CA">
            <w:pPr>
              <w:rPr>
                <w:rFonts w:cstheme="minorHAnsi"/>
                <w:b/>
                <w:color w:val="000000" w:themeColor="text1"/>
              </w:rPr>
            </w:pPr>
            <w:r w:rsidRPr="00821BFF">
              <w:rPr>
                <w:rFonts w:cstheme="minorHAnsi"/>
                <w:b/>
                <w:color w:val="000000" w:themeColor="text1"/>
              </w:rPr>
              <w:lastRenderedPageBreak/>
              <w:t>Adapting the resource:</w:t>
            </w:r>
          </w:p>
          <w:p w14:paraId="706EC16C" w14:textId="77777777" w:rsidR="00444E62" w:rsidRPr="00821BFF" w:rsidRDefault="00444E62" w:rsidP="007623CA">
            <w:p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By adapting the resource, this can allow children to achieve the same goal</w:t>
            </w:r>
          </w:p>
          <w:p w14:paraId="706EC16D" w14:textId="77777777" w:rsidR="00444E62" w:rsidRPr="00821BFF" w:rsidRDefault="007623CA" w:rsidP="00444E6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Use pictures instead of chunks of text</w:t>
            </w:r>
            <w:r w:rsidR="0036777B" w:rsidRPr="00821BFF">
              <w:rPr>
                <w:rFonts w:cstheme="minorHAnsi"/>
                <w:color w:val="000000" w:themeColor="text1"/>
              </w:rPr>
              <w:t xml:space="preserve"> </w:t>
            </w:r>
          </w:p>
          <w:p w14:paraId="706EC16E" w14:textId="77777777" w:rsidR="007623CA" w:rsidRPr="00821BFF" w:rsidRDefault="00444E62" w:rsidP="00444E6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Put less information on a page </w:t>
            </w:r>
          </w:p>
          <w:p w14:paraId="706EC16F" w14:textId="77777777" w:rsidR="007623CA" w:rsidRPr="00821BFF" w:rsidRDefault="0036777B" w:rsidP="007623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Use overlays/acetate on text pages </w:t>
            </w:r>
          </w:p>
          <w:p w14:paraId="706EC170" w14:textId="77777777" w:rsidR="007623CA" w:rsidRPr="00821BFF" w:rsidRDefault="0036777B" w:rsidP="007623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Use manipulatives</w:t>
            </w:r>
          </w:p>
          <w:p w14:paraId="706EC171" w14:textId="77777777" w:rsidR="007623CA" w:rsidRPr="00821BFF" w:rsidRDefault="0036777B" w:rsidP="007623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Use large print activity sheets. </w:t>
            </w:r>
          </w:p>
          <w:p w14:paraId="706EC172" w14:textId="24BFA930" w:rsidR="007623CA" w:rsidRPr="00821BFF" w:rsidRDefault="0036777B" w:rsidP="007623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Use overlays </w:t>
            </w:r>
            <w:r w:rsidR="001464D8" w:rsidRPr="00821BFF">
              <w:rPr>
                <w:rFonts w:cstheme="minorHAnsi"/>
                <w:color w:val="000000" w:themeColor="text1"/>
              </w:rPr>
              <w:t xml:space="preserve">or windows </w:t>
            </w:r>
            <w:r w:rsidRPr="00821BFF">
              <w:rPr>
                <w:rFonts w:cstheme="minorHAnsi"/>
                <w:color w:val="000000" w:themeColor="text1"/>
              </w:rPr>
              <w:t>on text pages to reduce the quantity of print that is visible</w:t>
            </w:r>
            <w:r w:rsidR="007623CA" w:rsidRPr="00821BFF">
              <w:rPr>
                <w:rFonts w:cstheme="minorHAnsi"/>
                <w:color w:val="000000" w:themeColor="text1"/>
              </w:rPr>
              <w:t xml:space="preserve"> </w:t>
            </w:r>
          </w:p>
          <w:p w14:paraId="706EC173" w14:textId="77777777" w:rsidR="007623CA" w:rsidRPr="00821BFF" w:rsidRDefault="0036777B" w:rsidP="007623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Highlight key points on the activity sheet. </w:t>
            </w:r>
          </w:p>
          <w:p w14:paraId="706EC174" w14:textId="77777777" w:rsidR="007623CA" w:rsidRPr="00821BFF" w:rsidRDefault="007623CA" w:rsidP="007623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Use ‘focused’ Learn it! Link it!</w:t>
            </w:r>
          </w:p>
          <w:p w14:paraId="706EC175" w14:textId="77777777" w:rsidR="007623CA" w:rsidRPr="00821BFF" w:rsidRDefault="0036777B" w:rsidP="007623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Line indicators</w:t>
            </w:r>
            <w:r w:rsidR="00444E62" w:rsidRPr="00821BFF">
              <w:rPr>
                <w:rFonts w:cstheme="minorHAnsi"/>
                <w:color w:val="000000" w:themeColor="text1"/>
              </w:rPr>
              <w:t xml:space="preserve"> and highlighted margins</w:t>
            </w:r>
            <w:r w:rsidRPr="00821BFF">
              <w:rPr>
                <w:rFonts w:cstheme="minorHAnsi"/>
                <w:color w:val="000000" w:themeColor="text1"/>
              </w:rPr>
              <w:t xml:space="preserve"> </w:t>
            </w:r>
          </w:p>
          <w:p w14:paraId="706EC176" w14:textId="77777777" w:rsidR="007623CA" w:rsidRPr="00821BFF" w:rsidRDefault="0036777B" w:rsidP="007623C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Provide more space to put answers </w:t>
            </w:r>
          </w:p>
          <w:p w14:paraId="706EC177" w14:textId="77777777" w:rsidR="0036777B" w:rsidRPr="00821BFF" w:rsidRDefault="0036777B" w:rsidP="00444E6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Highlight or colo</w:t>
            </w:r>
            <w:r w:rsidR="00444E62" w:rsidRPr="00821BFF">
              <w:rPr>
                <w:rFonts w:cstheme="minorHAnsi"/>
                <w:color w:val="000000" w:themeColor="text1"/>
              </w:rPr>
              <w:t>u</w:t>
            </w:r>
            <w:r w:rsidRPr="00821BFF">
              <w:rPr>
                <w:rFonts w:cstheme="minorHAnsi"/>
                <w:color w:val="000000" w:themeColor="text1"/>
              </w:rPr>
              <w:t xml:space="preserve">r code (directions, key words, topic sentences) </w:t>
            </w:r>
          </w:p>
        </w:tc>
      </w:tr>
      <w:tr w:rsidR="0036777B" w:rsidRPr="00821BFF" w14:paraId="706EC184" w14:textId="77777777" w:rsidTr="001A3A27">
        <w:trPr>
          <w:trHeight w:val="251"/>
        </w:trPr>
        <w:tc>
          <w:tcPr>
            <w:tcW w:w="10768" w:type="dxa"/>
          </w:tcPr>
          <w:p w14:paraId="706EC179" w14:textId="77777777" w:rsidR="0036777B" w:rsidRPr="00821BFF" w:rsidRDefault="0036777B" w:rsidP="003D2898">
            <w:pPr>
              <w:rPr>
                <w:rFonts w:cstheme="minorHAnsi"/>
                <w:b/>
                <w:color w:val="000000" w:themeColor="text1"/>
              </w:rPr>
            </w:pPr>
            <w:r w:rsidRPr="00821BFF">
              <w:rPr>
                <w:rFonts w:cstheme="minorHAnsi"/>
                <w:b/>
                <w:color w:val="000000" w:themeColor="text1"/>
              </w:rPr>
              <w:t>Adapting the task</w:t>
            </w:r>
            <w:r w:rsidR="006B343A" w:rsidRPr="00821BFF">
              <w:rPr>
                <w:rFonts w:cstheme="minorHAnsi"/>
                <w:b/>
                <w:color w:val="000000" w:themeColor="text1"/>
              </w:rPr>
              <w:t>/outcome</w:t>
            </w:r>
            <w:r w:rsidRPr="00821BFF">
              <w:rPr>
                <w:rFonts w:cstheme="minorHAnsi"/>
                <w:b/>
                <w:color w:val="000000" w:themeColor="text1"/>
              </w:rPr>
              <w:t>:</w:t>
            </w:r>
          </w:p>
          <w:p w14:paraId="706EC17A" w14:textId="77777777" w:rsidR="006B343A" w:rsidRPr="00821BFF" w:rsidRDefault="006B343A" w:rsidP="006B343A">
            <w:pPr>
              <w:numPr>
                <w:ilvl w:val="0"/>
                <w:numId w:val="9"/>
              </w:numPr>
              <w:shd w:val="clear" w:color="auto" w:fill="FFFFFF"/>
              <w:rPr>
                <w:rFonts w:eastAsia="Times New Roman" w:cstheme="minorHAnsi"/>
                <w:color w:val="000000" w:themeColor="text1"/>
                <w:lang w:eastAsia="en-GB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Ensure tasks are </w:t>
            </w:r>
            <w:hyperlink r:id="rId12" w:anchor="inclusion" w:tgtFrame="_blank" w:history="1">
              <w:r w:rsidRPr="00821BFF">
                <w:rPr>
                  <w:rFonts w:eastAsia="Times New Roman" w:cstheme="minorHAnsi"/>
                  <w:b/>
                  <w:bCs/>
                  <w:color w:val="000000" w:themeColor="text1"/>
                  <w:u w:val="single"/>
                  <w:lang w:eastAsia="en-GB"/>
                </w:rPr>
                <w:t>effectively differentiated and ambitious in their outcomes</w:t>
              </w:r>
            </w:hyperlink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 for all students.</w:t>
            </w:r>
          </w:p>
          <w:p w14:paraId="706EC17B" w14:textId="77777777" w:rsidR="0012766D" w:rsidRPr="00821BFF" w:rsidRDefault="006B343A" w:rsidP="006B34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eastAsia="Times New Roman" w:cstheme="minorHAnsi"/>
                <w:color w:val="000000" w:themeColor="text1"/>
                <w:lang w:eastAsia="en-GB"/>
              </w:rPr>
              <w:t>Organise work for learners with SEN in smaller chunks with plenty of opportunities for revisiting and over learning, where appropriate. This might involve smaller follow-up tasks.</w:t>
            </w:r>
          </w:p>
          <w:p w14:paraId="706EC17C" w14:textId="77777777" w:rsidR="003D2898" w:rsidRPr="00821BFF" w:rsidRDefault="0036777B" w:rsidP="006B34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Allow the student more time to complete </w:t>
            </w:r>
            <w:r w:rsidR="003D2898" w:rsidRPr="00821BFF">
              <w:rPr>
                <w:rFonts w:cstheme="minorHAnsi"/>
                <w:color w:val="000000" w:themeColor="text1"/>
              </w:rPr>
              <w:t>tasks</w:t>
            </w:r>
            <w:r w:rsidRPr="00821BFF">
              <w:rPr>
                <w:rFonts w:cstheme="minorHAnsi"/>
                <w:color w:val="000000" w:themeColor="text1"/>
              </w:rPr>
              <w:t xml:space="preserve"> </w:t>
            </w:r>
          </w:p>
          <w:p w14:paraId="706EC17D" w14:textId="77777777" w:rsidR="006B343A" w:rsidRPr="00821BFF" w:rsidRDefault="006B343A" w:rsidP="006B34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Require small amounts of work to be completed at a given time. </w:t>
            </w:r>
          </w:p>
          <w:p w14:paraId="706EC17E" w14:textId="77777777" w:rsidR="003D2898" w:rsidRPr="00821BFF" w:rsidRDefault="0036777B" w:rsidP="006B34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Provide shorter but more frequent </w:t>
            </w:r>
            <w:r w:rsidR="003D2898" w:rsidRPr="00821BFF">
              <w:rPr>
                <w:rFonts w:cstheme="minorHAnsi"/>
                <w:color w:val="000000" w:themeColor="text1"/>
              </w:rPr>
              <w:t>tasks</w:t>
            </w:r>
          </w:p>
          <w:p w14:paraId="706EC17F" w14:textId="77777777" w:rsidR="003D2898" w:rsidRPr="00821BFF" w:rsidRDefault="0036777B" w:rsidP="006B34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Allow various ways for students to demonstrate their understanding of concepts. </w:t>
            </w:r>
          </w:p>
          <w:p w14:paraId="706EC180" w14:textId="77777777" w:rsidR="003D2898" w:rsidRPr="00821BFF" w:rsidRDefault="0036777B" w:rsidP="006B34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Provide opportunities for extension and practice</w:t>
            </w:r>
            <w:r w:rsidR="006B343A" w:rsidRPr="00821BFF">
              <w:rPr>
                <w:rFonts w:cstheme="minorHAnsi"/>
                <w:color w:val="000000" w:themeColor="text1"/>
              </w:rPr>
              <w:t xml:space="preserve"> – pre and post teaching</w:t>
            </w:r>
            <w:r w:rsidRPr="00821BFF">
              <w:rPr>
                <w:rFonts w:cstheme="minorHAnsi"/>
                <w:color w:val="000000" w:themeColor="text1"/>
              </w:rPr>
              <w:t xml:space="preserve"> </w:t>
            </w:r>
          </w:p>
          <w:p w14:paraId="706EC181" w14:textId="77777777" w:rsidR="0036777B" w:rsidRPr="00821BFF" w:rsidRDefault="0036777B" w:rsidP="006B34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Simplify the way questions are worded</w:t>
            </w:r>
            <w:r w:rsidR="006B343A" w:rsidRPr="00821BFF">
              <w:rPr>
                <w:rFonts w:cstheme="minorHAnsi"/>
                <w:color w:val="000000" w:themeColor="text1"/>
              </w:rPr>
              <w:t>.</w:t>
            </w:r>
          </w:p>
          <w:p w14:paraId="706EC182" w14:textId="77777777" w:rsidR="007623CA" w:rsidRPr="00821BFF" w:rsidRDefault="007623CA" w:rsidP="006B343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Dictate/scribe </w:t>
            </w:r>
          </w:p>
          <w:p w14:paraId="706EC183" w14:textId="77777777" w:rsidR="00AC3946" w:rsidRPr="00821BFF" w:rsidRDefault="00444E62" w:rsidP="00227D5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Use </w:t>
            </w:r>
            <w:r w:rsidR="006B343A" w:rsidRPr="00821BFF">
              <w:rPr>
                <w:rFonts w:cstheme="minorHAnsi"/>
                <w:color w:val="000000" w:themeColor="text1"/>
              </w:rPr>
              <w:t>adults</w:t>
            </w:r>
            <w:r w:rsidRPr="00821BFF">
              <w:rPr>
                <w:rFonts w:cstheme="minorHAnsi"/>
                <w:color w:val="000000" w:themeColor="text1"/>
              </w:rPr>
              <w:t xml:space="preserve"> to work with small groups </w:t>
            </w:r>
          </w:p>
        </w:tc>
      </w:tr>
      <w:tr w:rsidR="0036777B" w:rsidRPr="00821BFF" w14:paraId="706EC18A" w14:textId="77777777" w:rsidTr="001A3A27">
        <w:trPr>
          <w:trHeight w:val="266"/>
        </w:trPr>
        <w:tc>
          <w:tcPr>
            <w:tcW w:w="10768" w:type="dxa"/>
          </w:tcPr>
          <w:p w14:paraId="706EC185" w14:textId="77777777" w:rsidR="0036777B" w:rsidRPr="00821BFF" w:rsidRDefault="00227D57" w:rsidP="00227D57">
            <w:pPr>
              <w:rPr>
                <w:rFonts w:cstheme="minorHAnsi"/>
                <w:b/>
                <w:color w:val="000000" w:themeColor="text1"/>
              </w:rPr>
            </w:pPr>
            <w:r w:rsidRPr="00821BFF">
              <w:rPr>
                <w:rFonts w:cstheme="minorHAnsi"/>
                <w:b/>
                <w:color w:val="000000" w:themeColor="text1"/>
              </w:rPr>
              <w:t>Further action</w:t>
            </w:r>
            <w:r w:rsidR="0036777B" w:rsidRPr="00821BFF">
              <w:rPr>
                <w:rFonts w:cstheme="minorHAnsi"/>
                <w:b/>
                <w:color w:val="000000" w:themeColor="text1"/>
              </w:rPr>
              <w:t>:</w:t>
            </w:r>
          </w:p>
          <w:p w14:paraId="706EC186" w14:textId="77777777" w:rsidR="0036777B" w:rsidRPr="00821BFF" w:rsidRDefault="00227D57" w:rsidP="00227D5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Pre and post teaching</w:t>
            </w:r>
          </w:p>
          <w:p w14:paraId="706EC187" w14:textId="77777777" w:rsidR="00227D57" w:rsidRPr="00821BFF" w:rsidRDefault="00227D57" w:rsidP="00227D5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Verbal feedback</w:t>
            </w:r>
          </w:p>
          <w:p w14:paraId="706EC188" w14:textId="77777777" w:rsidR="00227D57" w:rsidRPr="00821BFF" w:rsidRDefault="00227D57" w:rsidP="00227D5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Interventions</w:t>
            </w:r>
          </w:p>
          <w:p w14:paraId="4791F4E8" w14:textId="77777777" w:rsidR="00227D57" w:rsidRPr="00821BFF" w:rsidRDefault="001B2730" w:rsidP="00227D5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A</w:t>
            </w:r>
            <w:r w:rsidR="00227D57" w:rsidRPr="00821BFF">
              <w:rPr>
                <w:rFonts w:cstheme="minorHAnsi"/>
                <w:color w:val="000000" w:themeColor="text1"/>
              </w:rPr>
              <w:t>ssessment</w:t>
            </w:r>
          </w:p>
          <w:p w14:paraId="745A0860" w14:textId="77777777" w:rsidR="00BA3359" w:rsidRPr="00821BFF" w:rsidRDefault="00BA3359" w:rsidP="00227D5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>Close monitoring of teaching quality</w:t>
            </w:r>
          </w:p>
          <w:p w14:paraId="706EC189" w14:textId="684B2A77" w:rsidR="00BA3359" w:rsidRPr="00821BFF" w:rsidRDefault="00BA3359" w:rsidP="00227D57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  <w:color w:val="000000" w:themeColor="text1"/>
              </w:rPr>
            </w:pPr>
            <w:r w:rsidRPr="00821BFF">
              <w:rPr>
                <w:rFonts w:cstheme="minorHAnsi"/>
                <w:color w:val="000000" w:themeColor="text1"/>
              </w:rPr>
              <w:t xml:space="preserve">Access to high quality curriculum. </w:t>
            </w:r>
          </w:p>
        </w:tc>
      </w:tr>
      <w:tr w:rsidR="003C3AE4" w:rsidRPr="00821BFF" w14:paraId="706EC18C" w14:textId="77777777" w:rsidTr="001A3A27">
        <w:tc>
          <w:tcPr>
            <w:tcW w:w="10768" w:type="dxa"/>
            <w:shd w:val="clear" w:color="auto" w:fill="BFBFBF" w:themeFill="background1" w:themeFillShade="BF"/>
          </w:tcPr>
          <w:p w14:paraId="706EC18B" w14:textId="77777777" w:rsidR="003C3AE4" w:rsidRPr="00821BFF" w:rsidRDefault="003C3AE4" w:rsidP="003C3AE4">
            <w:pPr>
              <w:jc w:val="center"/>
              <w:rPr>
                <w:b/>
                <w:sz w:val="20"/>
                <w:szCs w:val="20"/>
              </w:rPr>
            </w:pPr>
            <w:r w:rsidRPr="00821BFF">
              <w:rPr>
                <w:b/>
                <w:sz w:val="20"/>
                <w:szCs w:val="20"/>
              </w:rPr>
              <w:t>IEP non-negotiables</w:t>
            </w:r>
          </w:p>
        </w:tc>
      </w:tr>
      <w:tr w:rsidR="003C3AE4" w:rsidRPr="00821BFF" w14:paraId="706EC193" w14:textId="77777777" w:rsidTr="001A3A27">
        <w:tc>
          <w:tcPr>
            <w:tcW w:w="10768" w:type="dxa"/>
          </w:tcPr>
          <w:p w14:paraId="706EC18D" w14:textId="77777777" w:rsidR="003C3AE4" w:rsidRPr="00821BFF" w:rsidRDefault="003C3AE4" w:rsidP="0036777B">
            <w:pPr>
              <w:rPr>
                <w:sz w:val="20"/>
                <w:szCs w:val="20"/>
              </w:rPr>
            </w:pPr>
            <w:r w:rsidRPr="00821BFF">
              <w:rPr>
                <w:sz w:val="20"/>
                <w:szCs w:val="20"/>
              </w:rPr>
              <w:t>Target books used as evidence record for IEP targets</w:t>
            </w:r>
          </w:p>
          <w:p w14:paraId="706EC18E" w14:textId="77777777" w:rsidR="003C3AE4" w:rsidRPr="00821BFF" w:rsidRDefault="003C3AE4" w:rsidP="0036777B">
            <w:pPr>
              <w:rPr>
                <w:sz w:val="20"/>
                <w:szCs w:val="20"/>
              </w:rPr>
            </w:pPr>
            <w:r w:rsidRPr="00821BFF">
              <w:rPr>
                <w:sz w:val="20"/>
                <w:szCs w:val="20"/>
              </w:rPr>
              <w:t>Feedback sheet termly from professional recommendations</w:t>
            </w:r>
          </w:p>
          <w:p w14:paraId="706EC18F" w14:textId="77777777" w:rsidR="003C3AE4" w:rsidRPr="00821BFF" w:rsidRDefault="003C3AE4" w:rsidP="003C3AE4">
            <w:pPr>
              <w:rPr>
                <w:sz w:val="20"/>
                <w:szCs w:val="20"/>
              </w:rPr>
            </w:pPr>
            <w:r w:rsidRPr="00821BFF">
              <w:rPr>
                <w:sz w:val="20"/>
                <w:szCs w:val="20"/>
              </w:rPr>
              <w:t>Every intervention to have a measurable entry and exit task</w:t>
            </w:r>
            <w:r w:rsidR="002C3EA1" w:rsidRPr="00821BFF">
              <w:rPr>
                <w:sz w:val="20"/>
                <w:szCs w:val="20"/>
              </w:rPr>
              <w:t xml:space="preserve"> reviewed termly.</w:t>
            </w:r>
          </w:p>
          <w:p w14:paraId="706EC190" w14:textId="77777777" w:rsidR="00844B53" w:rsidRPr="00821BFF" w:rsidRDefault="00844B53" w:rsidP="003C3AE4">
            <w:pPr>
              <w:rPr>
                <w:sz w:val="20"/>
                <w:szCs w:val="20"/>
              </w:rPr>
            </w:pPr>
            <w:r w:rsidRPr="00821BFF">
              <w:rPr>
                <w:sz w:val="20"/>
                <w:szCs w:val="20"/>
              </w:rPr>
              <w:t xml:space="preserve">No WB work. All work during an intervention is to be recorded in </w:t>
            </w:r>
            <w:r w:rsidR="001A3A27" w:rsidRPr="00821BFF">
              <w:rPr>
                <w:sz w:val="20"/>
                <w:szCs w:val="20"/>
              </w:rPr>
              <w:t>either Target book or an intervention book.</w:t>
            </w:r>
          </w:p>
          <w:p w14:paraId="706EC191" w14:textId="77777777" w:rsidR="003C3AE4" w:rsidRPr="00821BFF" w:rsidRDefault="003C3AE4" w:rsidP="003C3AE4">
            <w:pPr>
              <w:rPr>
                <w:sz w:val="20"/>
                <w:szCs w:val="20"/>
              </w:rPr>
            </w:pPr>
            <w:r w:rsidRPr="00821BFF">
              <w:rPr>
                <w:sz w:val="20"/>
                <w:szCs w:val="20"/>
              </w:rPr>
              <w:t>Daily ‘target time’</w:t>
            </w:r>
          </w:p>
          <w:p w14:paraId="706EC192" w14:textId="77777777" w:rsidR="003C3AE4" w:rsidRPr="00821BFF" w:rsidRDefault="003C3AE4" w:rsidP="003C3AE4">
            <w:pPr>
              <w:rPr>
                <w:sz w:val="20"/>
                <w:szCs w:val="20"/>
              </w:rPr>
            </w:pPr>
            <w:r w:rsidRPr="00821BFF">
              <w:rPr>
                <w:sz w:val="20"/>
                <w:szCs w:val="20"/>
              </w:rPr>
              <w:t>Staff must allow 5 minutes at the end of an intervention session to complete paperwork</w:t>
            </w:r>
            <w:r w:rsidR="002C3EA1" w:rsidRPr="00821BFF">
              <w:rPr>
                <w:sz w:val="20"/>
                <w:szCs w:val="20"/>
              </w:rPr>
              <w:t>/register at back of target book.</w:t>
            </w:r>
            <w:r w:rsidRPr="00821BFF">
              <w:rPr>
                <w:sz w:val="20"/>
                <w:szCs w:val="20"/>
              </w:rPr>
              <w:t xml:space="preserve"> </w:t>
            </w:r>
          </w:p>
        </w:tc>
      </w:tr>
    </w:tbl>
    <w:p w14:paraId="706EC194" w14:textId="77777777" w:rsidR="0036777B" w:rsidRPr="00821BFF" w:rsidRDefault="0036777B" w:rsidP="0036777B">
      <w:pPr>
        <w:tabs>
          <w:tab w:val="left" w:pos="1905"/>
        </w:tabs>
        <w:rPr>
          <w:sz w:val="20"/>
          <w:szCs w:val="20"/>
        </w:rPr>
      </w:pPr>
    </w:p>
    <w:sectPr w:rsidR="0036777B" w:rsidRPr="00821BFF" w:rsidSect="0036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437"/>
    <w:multiLevelType w:val="multilevel"/>
    <w:tmpl w:val="137A70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403E1D"/>
    <w:multiLevelType w:val="multilevel"/>
    <w:tmpl w:val="0E8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94D59"/>
    <w:multiLevelType w:val="hybridMultilevel"/>
    <w:tmpl w:val="6A98B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1B6"/>
    <w:multiLevelType w:val="multilevel"/>
    <w:tmpl w:val="0E8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E317A"/>
    <w:multiLevelType w:val="multilevel"/>
    <w:tmpl w:val="939C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D2033"/>
    <w:multiLevelType w:val="multilevel"/>
    <w:tmpl w:val="0E8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916FA"/>
    <w:multiLevelType w:val="multilevel"/>
    <w:tmpl w:val="0E8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710D3"/>
    <w:multiLevelType w:val="multilevel"/>
    <w:tmpl w:val="6080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37343"/>
    <w:multiLevelType w:val="multilevel"/>
    <w:tmpl w:val="425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D5FE1"/>
    <w:multiLevelType w:val="multilevel"/>
    <w:tmpl w:val="0E8A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B3207"/>
    <w:multiLevelType w:val="multilevel"/>
    <w:tmpl w:val="D300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7B"/>
    <w:rsid w:val="00084361"/>
    <w:rsid w:val="0012766D"/>
    <w:rsid w:val="001464D8"/>
    <w:rsid w:val="00186811"/>
    <w:rsid w:val="001A3A27"/>
    <w:rsid w:val="001B2730"/>
    <w:rsid w:val="00227D57"/>
    <w:rsid w:val="002C3EA1"/>
    <w:rsid w:val="0036777B"/>
    <w:rsid w:val="003B7ADE"/>
    <w:rsid w:val="003C3AE4"/>
    <w:rsid w:val="003D0085"/>
    <w:rsid w:val="003D2898"/>
    <w:rsid w:val="00406E38"/>
    <w:rsid w:val="00444E62"/>
    <w:rsid w:val="00497092"/>
    <w:rsid w:val="00514D0A"/>
    <w:rsid w:val="00546394"/>
    <w:rsid w:val="00616866"/>
    <w:rsid w:val="006B343A"/>
    <w:rsid w:val="006C6A3F"/>
    <w:rsid w:val="0072074D"/>
    <w:rsid w:val="007623CA"/>
    <w:rsid w:val="00821BFF"/>
    <w:rsid w:val="00824A6C"/>
    <w:rsid w:val="00844B53"/>
    <w:rsid w:val="00AB48E1"/>
    <w:rsid w:val="00AC3946"/>
    <w:rsid w:val="00AC3CD5"/>
    <w:rsid w:val="00BA3359"/>
    <w:rsid w:val="00C4104F"/>
    <w:rsid w:val="00C72D95"/>
    <w:rsid w:val="00E55340"/>
    <w:rsid w:val="00ED1DDC"/>
    <w:rsid w:val="00ED7C92"/>
    <w:rsid w:val="00F5118E"/>
    <w:rsid w:val="00F76479"/>
    <w:rsid w:val="00FC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EC137"/>
  <w15:chartTrackingRefBased/>
  <w15:docId w15:val="{CE44973E-BB53-4078-A3AF-BD1909CD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677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6777B"/>
    <w:rPr>
      <w:b/>
      <w:bCs/>
    </w:rPr>
  </w:style>
  <w:style w:type="paragraph" w:styleId="ListParagraph">
    <w:name w:val="List Paragraph"/>
    <w:basedOn w:val="Normal"/>
    <w:uiPriority w:val="34"/>
    <w:qFormat/>
    <w:rsid w:val="00720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9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national-curriculum-in-england-framework-for-key-stages-1-to-4/the-national-curriculum-in-england-framework-for-key-stages-1-to-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.optimus-education.com/node/20974" TargetMode="External"/><Relationship Id="rId5" Type="http://schemas.openxmlformats.org/officeDocument/2006/relationships/styles" Target="styles.xml"/><Relationship Id="rId10" Type="http://schemas.openxmlformats.org/officeDocument/2006/relationships/hyperlink" Target="https://my.optimus-education.com/node/12589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tm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e1c81f-6f61-4a19-a15a-b947890e84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4E870CAD61F4AA2E16B748BC8D8E8" ma:contentTypeVersion="18" ma:contentTypeDescription="Create a new document." ma:contentTypeScope="" ma:versionID="656f652178d662464ea9cccb02241f58">
  <xsd:schema xmlns:xsd="http://www.w3.org/2001/XMLSchema" xmlns:xs="http://www.w3.org/2001/XMLSchema" xmlns:p="http://schemas.microsoft.com/office/2006/metadata/properties" xmlns:ns3="b6e1c81f-6f61-4a19-a15a-b947890e8495" xmlns:ns4="ad50bdcc-0dd5-4507-8b60-4915e783e2d1" targetNamespace="http://schemas.microsoft.com/office/2006/metadata/properties" ma:root="true" ma:fieldsID="56246b89bc236d1a094b5de15e715763" ns3:_="" ns4:_="">
    <xsd:import namespace="b6e1c81f-6f61-4a19-a15a-b947890e8495"/>
    <xsd:import namespace="ad50bdcc-0dd5-4507-8b60-4915e783e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c81f-6f61-4a19-a15a-b947890e8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0bdcc-0dd5-4507-8b60-4915e783e2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BBB35-E48B-42D7-9FCE-9F3F90ED96A0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ad50bdcc-0dd5-4507-8b60-4915e783e2d1"/>
    <ds:schemaRef ds:uri="b6e1c81f-6f61-4a19-a15a-b947890e849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652D8C6-6625-4E2D-B4F1-7EB485DD78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9FD2F-5FEC-4873-A64F-B5B77D875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c81f-6f61-4a19-a15a-b947890e8495"/>
    <ds:schemaRef ds:uri="ad50bdcc-0dd5-4507-8b60-4915e783e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Duffield</dc:creator>
  <cp:keywords/>
  <dc:description/>
  <cp:lastModifiedBy>Katie Charlton</cp:lastModifiedBy>
  <cp:revision>2</cp:revision>
  <cp:lastPrinted>2022-07-18T09:27:00Z</cp:lastPrinted>
  <dcterms:created xsi:type="dcterms:W3CDTF">2025-03-25T16:55:00Z</dcterms:created>
  <dcterms:modified xsi:type="dcterms:W3CDTF">2025-03-25T16:55:00Z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0x010100C6D4E870CAD61F4AA2E16B748BC8D8E8</vt:lpwstr>
  </property>
  <property fmtid="{D5CDD505-2E9C-101B-9397-08002B2CF9AE}" pid="3" name="Order">
    <vt:r8>1400000</vt:r8>
  </property>
  <property fmtid="{D5CDD505-2E9C-101B-9397-08002B2CF9AE}" pid="4" name="MediaServiceImageTags">
    <vt:lpwstr/>
  </property>
</Properties>
</file>