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974"/>
        <w:gridCol w:w="6974"/>
      </w:tblGrid>
      <w:tr w:rsidR="00D2110F" w:rsidRPr="00D2110F" w14:paraId="5293C1D6" w14:textId="77777777" w:rsidTr="00AC4AC7">
        <w:tc>
          <w:tcPr>
            <w:tcW w:w="13948" w:type="dxa"/>
            <w:gridSpan w:val="2"/>
          </w:tcPr>
          <w:p w14:paraId="473DF450" w14:textId="77777777" w:rsidR="00D2110F" w:rsidRPr="00D2110F" w:rsidRDefault="00D2110F" w:rsidP="00D2110F">
            <w:pPr>
              <w:jc w:val="center"/>
              <w:rPr>
                <w:b/>
              </w:rPr>
            </w:pPr>
            <w:r w:rsidRPr="00D2110F">
              <w:rPr>
                <w:b/>
              </w:rPr>
              <w:t>Mathematics at St. Bede’s Primary School</w:t>
            </w:r>
          </w:p>
          <w:p w14:paraId="2ED283AB" w14:textId="77777777" w:rsidR="00D2110F" w:rsidRPr="00D2110F" w:rsidRDefault="00D2110F" w:rsidP="00D2110F">
            <w:pPr>
              <w:jc w:val="center"/>
              <w:rPr>
                <w:b/>
              </w:rPr>
            </w:pPr>
            <w:bookmarkStart w:id="0" w:name="_GoBack"/>
            <w:bookmarkEnd w:id="0"/>
            <w:r w:rsidRPr="00D2110F">
              <w:rPr>
                <w:b/>
                <w:noProof/>
              </w:rPr>
              <w:drawing>
                <wp:inline distT="0" distB="0" distL="0" distR="0" wp14:anchorId="07F4DC7C" wp14:editId="57BB326C">
                  <wp:extent cx="74993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731520"/>
                          </a:xfrm>
                          <a:prstGeom prst="rect">
                            <a:avLst/>
                          </a:prstGeom>
                          <a:noFill/>
                        </pic:spPr>
                      </pic:pic>
                    </a:graphicData>
                  </a:graphic>
                </wp:inline>
              </w:drawing>
            </w:r>
          </w:p>
          <w:p w14:paraId="5D121275" w14:textId="77777777" w:rsidR="00D2110F" w:rsidRPr="00D2110F" w:rsidRDefault="00D2110F" w:rsidP="00D2110F">
            <w:pPr>
              <w:jc w:val="center"/>
              <w:rPr>
                <w:b/>
              </w:rPr>
            </w:pPr>
            <w:r w:rsidRPr="00D2110F">
              <w:rPr>
                <w:b/>
              </w:rPr>
              <w:t>EYFS End Points</w:t>
            </w:r>
          </w:p>
          <w:p w14:paraId="195AFC75" w14:textId="77777777" w:rsidR="00D2110F" w:rsidRPr="00D2110F" w:rsidRDefault="00D2110F" w:rsidP="00D2110F">
            <w:pPr>
              <w:jc w:val="center"/>
            </w:pPr>
            <w:r w:rsidRPr="00D2110F">
              <w:rPr>
                <w:b/>
              </w:rPr>
              <w:t>Early Learning Goals:</w:t>
            </w:r>
          </w:p>
        </w:tc>
      </w:tr>
      <w:tr w:rsidR="00D2110F" w:rsidRPr="00D2110F" w14:paraId="70BB8ADF" w14:textId="77777777" w:rsidTr="00D2110F">
        <w:tc>
          <w:tcPr>
            <w:tcW w:w="6974" w:type="dxa"/>
            <w:shd w:val="clear" w:color="auto" w:fill="C00000"/>
          </w:tcPr>
          <w:p w14:paraId="09800477" w14:textId="77777777" w:rsidR="00D2110F" w:rsidRPr="00D2110F" w:rsidRDefault="00D2110F" w:rsidP="00D2110F">
            <w:pPr>
              <w:jc w:val="center"/>
              <w:rPr>
                <w:b/>
              </w:rPr>
            </w:pPr>
            <w:r w:rsidRPr="00D2110F">
              <w:rPr>
                <w:b/>
              </w:rPr>
              <w:t>Number</w:t>
            </w:r>
          </w:p>
        </w:tc>
        <w:tc>
          <w:tcPr>
            <w:tcW w:w="6974" w:type="dxa"/>
            <w:shd w:val="clear" w:color="auto" w:fill="C00000"/>
          </w:tcPr>
          <w:p w14:paraId="0F37F4EB" w14:textId="77777777" w:rsidR="00D2110F" w:rsidRPr="00D2110F" w:rsidRDefault="00D2110F" w:rsidP="00D2110F">
            <w:pPr>
              <w:jc w:val="center"/>
              <w:rPr>
                <w:b/>
              </w:rPr>
            </w:pPr>
            <w:r w:rsidRPr="00D2110F">
              <w:rPr>
                <w:b/>
              </w:rPr>
              <w:t>Numerical Patterns</w:t>
            </w:r>
          </w:p>
        </w:tc>
      </w:tr>
      <w:tr w:rsidR="00D2110F" w:rsidRPr="00D2110F" w14:paraId="0CBC5577" w14:textId="77777777" w:rsidTr="00D2110F">
        <w:tc>
          <w:tcPr>
            <w:tcW w:w="6974" w:type="dxa"/>
          </w:tcPr>
          <w:p w14:paraId="65CB935B" w14:textId="77777777" w:rsidR="00D2110F" w:rsidRPr="00D2110F" w:rsidRDefault="00D2110F" w:rsidP="00D2110F">
            <w:pPr>
              <w:jc w:val="center"/>
              <w:rPr>
                <w:b/>
              </w:rPr>
            </w:pPr>
            <w:r w:rsidRPr="00D2110F">
              <w:rPr>
                <w:b/>
              </w:rPr>
              <w:t>Children at the expected level of development will:</w:t>
            </w:r>
          </w:p>
          <w:p w14:paraId="4DE0FE1F" w14:textId="77777777" w:rsidR="00D2110F" w:rsidRPr="00D2110F" w:rsidRDefault="00D2110F"/>
          <w:p w14:paraId="4B81D2F6" w14:textId="77777777" w:rsidR="00D2110F" w:rsidRPr="00D2110F" w:rsidRDefault="00D2110F" w:rsidP="00D2110F">
            <w:pPr>
              <w:jc w:val="center"/>
            </w:pPr>
            <w:r w:rsidRPr="00D2110F">
              <w:t>- Have a deep understanding of number to 10, including the composition of each number;</w:t>
            </w:r>
          </w:p>
          <w:p w14:paraId="4E871031" w14:textId="77777777" w:rsidR="00D2110F" w:rsidRPr="00D2110F" w:rsidRDefault="00D2110F" w:rsidP="00D2110F">
            <w:pPr>
              <w:jc w:val="center"/>
            </w:pPr>
            <w:r w:rsidRPr="00D2110F">
              <w:t>- Subitise (recognise quantities without counting) up to 5;</w:t>
            </w:r>
          </w:p>
          <w:p w14:paraId="2E850610" w14:textId="77777777" w:rsidR="00D2110F" w:rsidRPr="00D2110F" w:rsidRDefault="00D2110F" w:rsidP="00D2110F">
            <w:pPr>
              <w:jc w:val="center"/>
            </w:pPr>
            <w:r w:rsidRPr="00D2110F">
              <w:t>- Automatically recall (without reference to rhymes, counting or other aids) number bonds up to 5 (including subtraction facts) and some number bonds to 10, including double facts.</w:t>
            </w:r>
          </w:p>
        </w:tc>
        <w:tc>
          <w:tcPr>
            <w:tcW w:w="6974" w:type="dxa"/>
          </w:tcPr>
          <w:p w14:paraId="40465A9F" w14:textId="77777777" w:rsidR="00D2110F" w:rsidRPr="00D2110F" w:rsidRDefault="00D2110F" w:rsidP="00D2110F">
            <w:pPr>
              <w:jc w:val="center"/>
              <w:rPr>
                <w:b/>
              </w:rPr>
            </w:pPr>
            <w:r w:rsidRPr="00D2110F">
              <w:rPr>
                <w:b/>
              </w:rPr>
              <w:t>Children at the expected level of development will:</w:t>
            </w:r>
          </w:p>
          <w:p w14:paraId="660F5230" w14:textId="77777777" w:rsidR="00D2110F" w:rsidRPr="00D2110F" w:rsidRDefault="00D2110F" w:rsidP="00D2110F">
            <w:pPr>
              <w:jc w:val="center"/>
            </w:pPr>
          </w:p>
          <w:p w14:paraId="74D0DFC3" w14:textId="77777777" w:rsidR="00D2110F" w:rsidRPr="00D2110F" w:rsidRDefault="00D2110F" w:rsidP="00D2110F">
            <w:pPr>
              <w:jc w:val="center"/>
            </w:pPr>
            <w:r w:rsidRPr="00D2110F">
              <w:t>- Verbally count beyond 20, recognising the pattern of the counting system; - Compare quantities up to 10 in different contexts, recognising when one quantity is greater than, less than or the same as the other quantity;</w:t>
            </w:r>
          </w:p>
          <w:p w14:paraId="0C25445D" w14:textId="77777777" w:rsidR="00D2110F" w:rsidRPr="00D2110F" w:rsidRDefault="00D2110F" w:rsidP="00D2110F">
            <w:pPr>
              <w:jc w:val="center"/>
            </w:pPr>
            <w:r w:rsidRPr="00D2110F">
              <w:t>- Explore and represent patterns within numbers up to 10, including evens and odds, double facts and how quantities can be distributed equally.</w:t>
            </w:r>
          </w:p>
        </w:tc>
      </w:tr>
      <w:tr w:rsidR="00D2110F" w:rsidRPr="00D2110F" w14:paraId="75849A1A" w14:textId="77777777" w:rsidTr="00D2110F">
        <w:tc>
          <w:tcPr>
            <w:tcW w:w="13948" w:type="dxa"/>
            <w:gridSpan w:val="2"/>
            <w:shd w:val="clear" w:color="auto" w:fill="C00000"/>
          </w:tcPr>
          <w:p w14:paraId="30277A1E" w14:textId="77777777" w:rsidR="00D2110F" w:rsidRPr="00D2110F" w:rsidRDefault="00D2110F" w:rsidP="00D2110F">
            <w:pPr>
              <w:jc w:val="center"/>
              <w:rPr>
                <w:b/>
              </w:rPr>
            </w:pPr>
            <w:r w:rsidRPr="00D2110F">
              <w:rPr>
                <w:b/>
              </w:rPr>
              <w:t>Notes and guidance:</w:t>
            </w:r>
          </w:p>
        </w:tc>
      </w:tr>
      <w:tr w:rsidR="00D2110F" w:rsidRPr="00D2110F" w14:paraId="7FFF508A" w14:textId="77777777" w:rsidTr="008A585F">
        <w:tc>
          <w:tcPr>
            <w:tcW w:w="13948" w:type="dxa"/>
            <w:gridSpan w:val="2"/>
          </w:tcPr>
          <w:p w14:paraId="7B18C30A" w14:textId="77777777" w:rsidR="00D2110F" w:rsidRPr="00D2110F" w:rsidRDefault="00D2110F" w:rsidP="00D2110F">
            <w:pPr>
              <w:jc w:val="both"/>
            </w:pPr>
            <w:r w:rsidRPr="00D2110F">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bl>
    <w:p w14:paraId="00C1AC5B" w14:textId="77777777" w:rsidR="003A2D7E" w:rsidRPr="00D2110F" w:rsidRDefault="00D2110F"/>
    <w:p w14:paraId="20FDDA08" w14:textId="77777777" w:rsidR="00D2110F" w:rsidRPr="00D2110F" w:rsidRDefault="00D2110F"/>
    <w:p w14:paraId="45A21683" w14:textId="77777777" w:rsidR="00D2110F" w:rsidRPr="00D2110F" w:rsidRDefault="00D2110F"/>
    <w:p w14:paraId="76466801" w14:textId="77777777" w:rsidR="00D2110F" w:rsidRPr="00D2110F" w:rsidRDefault="00D2110F"/>
    <w:p w14:paraId="0610F0BE" w14:textId="77777777" w:rsidR="00D2110F" w:rsidRPr="00D2110F" w:rsidRDefault="00D2110F"/>
    <w:p w14:paraId="52F05E99" w14:textId="77777777" w:rsidR="00D2110F" w:rsidRPr="00D2110F" w:rsidRDefault="00D2110F" w:rsidP="00D2110F">
      <w:pPr>
        <w:jc w:val="center"/>
        <w:rPr>
          <w:b/>
        </w:rPr>
      </w:pPr>
      <w:r w:rsidRPr="00D2110F">
        <w:rPr>
          <w:b/>
        </w:rPr>
        <w:lastRenderedPageBreak/>
        <w:t>Development Matters (Non-Statutory)</w:t>
      </w:r>
    </w:p>
    <w:p w14:paraId="6A69E88C" w14:textId="77777777" w:rsidR="00D2110F" w:rsidRPr="00D2110F" w:rsidRDefault="00D2110F" w:rsidP="00D2110F">
      <w:pPr>
        <w:jc w:val="center"/>
        <w:rPr>
          <w:b/>
        </w:rPr>
      </w:pPr>
    </w:p>
    <w:tbl>
      <w:tblPr>
        <w:tblStyle w:val="TableGrid"/>
        <w:tblW w:w="0" w:type="auto"/>
        <w:tblLook w:val="04A0" w:firstRow="1" w:lastRow="0" w:firstColumn="1" w:lastColumn="0" w:noHBand="0" w:noVBand="1"/>
      </w:tblPr>
      <w:tblGrid>
        <w:gridCol w:w="13948"/>
      </w:tblGrid>
      <w:tr w:rsidR="00D2110F" w:rsidRPr="00D2110F" w14:paraId="56FBCFC7" w14:textId="77777777" w:rsidTr="00D2110F">
        <w:tc>
          <w:tcPr>
            <w:tcW w:w="13948" w:type="dxa"/>
            <w:shd w:val="clear" w:color="auto" w:fill="C00000"/>
          </w:tcPr>
          <w:p w14:paraId="7C0B424F" w14:textId="77777777" w:rsidR="00D2110F" w:rsidRPr="00D2110F" w:rsidRDefault="00D2110F" w:rsidP="00D2110F">
            <w:pPr>
              <w:jc w:val="center"/>
              <w:rPr>
                <w:b/>
              </w:rPr>
            </w:pPr>
            <w:r w:rsidRPr="00D2110F">
              <w:rPr>
                <w:b/>
              </w:rPr>
              <w:t>Mathematical Area</w:t>
            </w:r>
          </w:p>
        </w:tc>
      </w:tr>
      <w:tr w:rsidR="00D2110F" w:rsidRPr="00D2110F" w14:paraId="2AC049C9" w14:textId="77777777" w:rsidTr="00D2110F">
        <w:tc>
          <w:tcPr>
            <w:tcW w:w="13948" w:type="dxa"/>
          </w:tcPr>
          <w:p w14:paraId="155EE188" w14:textId="77777777" w:rsidR="00D2110F" w:rsidRPr="00D2110F" w:rsidRDefault="00D2110F" w:rsidP="00D2110F">
            <w:pPr>
              <w:pStyle w:val="ListParagraph"/>
              <w:numPr>
                <w:ilvl w:val="0"/>
                <w:numId w:val="2"/>
              </w:numPr>
            </w:pPr>
            <w:r w:rsidRPr="00D2110F">
              <w:t xml:space="preserve">Count objects, actions and sounds </w:t>
            </w:r>
          </w:p>
          <w:p w14:paraId="73FEE8E2" w14:textId="77777777" w:rsidR="00D2110F" w:rsidRPr="00D2110F" w:rsidRDefault="00D2110F" w:rsidP="00D2110F">
            <w:pPr>
              <w:pStyle w:val="ListParagraph"/>
              <w:numPr>
                <w:ilvl w:val="0"/>
                <w:numId w:val="2"/>
              </w:numPr>
            </w:pPr>
            <w:r w:rsidRPr="00D2110F">
              <w:t xml:space="preserve">Subitise </w:t>
            </w:r>
          </w:p>
          <w:p w14:paraId="15391513" w14:textId="77777777" w:rsidR="00D2110F" w:rsidRPr="00D2110F" w:rsidRDefault="00D2110F" w:rsidP="00D2110F">
            <w:pPr>
              <w:pStyle w:val="ListParagraph"/>
              <w:numPr>
                <w:ilvl w:val="0"/>
                <w:numId w:val="2"/>
              </w:numPr>
            </w:pPr>
            <w:r w:rsidRPr="00D2110F">
              <w:t xml:space="preserve">Link the number symbol (numeral) with its cardinal number value </w:t>
            </w:r>
          </w:p>
          <w:p w14:paraId="49EA2DD4" w14:textId="77777777" w:rsidR="00D2110F" w:rsidRPr="00D2110F" w:rsidRDefault="00D2110F" w:rsidP="00D2110F">
            <w:pPr>
              <w:pStyle w:val="ListParagraph"/>
              <w:numPr>
                <w:ilvl w:val="0"/>
                <w:numId w:val="2"/>
              </w:numPr>
            </w:pPr>
            <w:r w:rsidRPr="00D2110F">
              <w:t xml:space="preserve">Count beyond ten </w:t>
            </w:r>
          </w:p>
          <w:p w14:paraId="37ECF323" w14:textId="77777777" w:rsidR="00D2110F" w:rsidRPr="00D2110F" w:rsidRDefault="00D2110F" w:rsidP="00D2110F">
            <w:pPr>
              <w:pStyle w:val="ListParagraph"/>
              <w:numPr>
                <w:ilvl w:val="0"/>
                <w:numId w:val="2"/>
              </w:numPr>
            </w:pPr>
            <w:r w:rsidRPr="00D2110F">
              <w:t xml:space="preserve">Compare numbers </w:t>
            </w:r>
          </w:p>
          <w:p w14:paraId="18384661" w14:textId="77777777" w:rsidR="00D2110F" w:rsidRPr="00D2110F" w:rsidRDefault="00D2110F" w:rsidP="00D2110F">
            <w:pPr>
              <w:pStyle w:val="ListParagraph"/>
              <w:numPr>
                <w:ilvl w:val="0"/>
                <w:numId w:val="2"/>
              </w:numPr>
            </w:pPr>
            <w:r w:rsidRPr="00D2110F">
              <w:t xml:space="preserve">Understand the ‘one more than/one less than’ relationship between consecutive numbers. </w:t>
            </w:r>
          </w:p>
          <w:p w14:paraId="41F0C7B6" w14:textId="77777777" w:rsidR="00D2110F" w:rsidRPr="00D2110F" w:rsidRDefault="00D2110F" w:rsidP="00D2110F">
            <w:pPr>
              <w:pStyle w:val="ListParagraph"/>
              <w:numPr>
                <w:ilvl w:val="0"/>
                <w:numId w:val="2"/>
              </w:numPr>
            </w:pPr>
            <w:r w:rsidRPr="00D2110F">
              <w:t xml:space="preserve">Explore the composition of numbers to 10 </w:t>
            </w:r>
          </w:p>
          <w:p w14:paraId="4D2A6E1A" w14:textId="77777777" w:rsidR="00D2110F" w:rsidRPr="00D2110F" w:rsidRDefault="00D2110F" w:rsidP="00D2110F">
            <w:pPr>
              <w:pStyle w:val="ListParagraph"/>
              <w:numPr>
                <w:ilvl w:val="0"/>
                <w:numId w:val="2"/>
              </w:numPr>
            </w:pPr>
            <w:r w:rsidRPr="00D2110F">
              <w:t xml:space="preserve">Automatically recall number bonds for numbers 0–5 and some to 10 </w:t>
            </w:r>
          </w:p>
          <w:p w14:paraId="6FCEC53E" w14:textId="77777777" w:rsidR="00D2110F" w:rsidRPr="00D2110F" w:rsidRDefault="00D2110F" w:rsidP="00D2110F">
            <w:pPr>
              <w:pStyle w:val="ListParagraph"/>
              <w:numPr>
                <w:ilvl w:val="0"/>
                <w:numId w:val="2"/>
              </w:numPr>
            </w:pPr>
            <w:r w:rsidRPr="00D2110F">
              <w:t>S</w:t>
            </w:r>
            <w:r w:rsidRPr="00D2110F">
              <w:t xml:space="preserve">elect, rotate and manipulate shapes to develop spatial reasoning skills </w:t>
            </w:r>
          </w:p>
          <w:p w14:paraId="6A71C7A5" w14:textId="77777777" w:rsidR="00D2110F" w:rsidRPr="00D2110F" w:rsidRDefault="00D2110F" w:rsidP="00D2110F">
            <w:pPr>
              <w:pStyle w:val="ListParagraph"/>
              <w:numPr>
                <w:ilvl w:val="0"/>
                <w:numId w:val="2"/>
              </w:numPr>
            </w:pPr>
            <w:r w:rsidRPr="00D2110F">
              <w:t xml:space="preserve">Compose and decompose shapes so that children recognise a shape can have other shapes within it, just as numbers can. </w:t>
            </w:r>
          </w:p>
          <w:p w14:paraId="2A04E2FA" w14:textId="77777777" w:rsidR="00D2110F" w:rsidRPr="00D2110F" w:rsidRDefault="00D2110F" w:rsidP="00D2110F">
            <w:pPr>
              <w:pStyle w:val="ListParagraph"/>
              <w:numPr>
                <w:ilvl w:val="0"/>
                <w:numId w:val="2"/>
              </w:numPr>
            </w:pPr>
            <w:r w:rsidRPr="00D2110F">
              <w:t xml:space="preserve">Continue, copy and create repeating patterns </w:t>
            </w:r>
          </w:p>
          <w:p w14:paraId="18846917" w14:textId="77777777" w:rsidR="00D2110F" w:rsidRPr="00D2110F" w:rsidRDefault="00D2110F" w:rsidP="00D2110F">
            <w:pPr>
              <w:pStyle w:val="ListParagraph"/>
              <w:numPr>
                <w:ilvl w:val="0"/>
                <w:numId w:val="2"/>
              </w:numPr>
            </w:pPr>
            <w:r w:rsidRPr="00D2110F">
              <w:t>Compare length, weight and capacity</w:t>
            </w:r>
          </w:p>
        </w:tc>
      </w:tr>
      <w:tr w:rsidR="00D2110F" w:rsidRPr="00D2110F" w14:paraId="541FC4A4" w14:textId="77777777" w:rsidTr="00D2110F">
        <w:tc>
          <w:tcPr>
            <w:tcW w:w="13948" w:type="dxa"/>
            <w:shd w:val="clear" w:color="auto" w:fill="C00000"/>
          </w:tcPr>
          <w:p w14:paraId="2DDB60DD" w14:textId="77777777" w:rsidR="00D2110F" w:rsidRPr="00D2110F" w:rsidRDefault="00D2110F" w:rsidP="00D2110F">
            <w:pPr>
              <w:jc w:val="center"/>
              <w:rPr>
                <w:b/>
              </w:rPr>
            </w:pPr>
            <w:r w:rsidRPr="00D2110F">
              <w:rPr>
                <w:b/>
              </w:rPr>
              <w:t>Notes and guidance:</w:t>
            </w:r>
          </w:p>
        </w:tc>
      </w:tr>
      <w:tr w:rsidR="00D2110F" w:rsidRPr="00D2110F" w14:paraId="45C1526D" w14:textId="77777777" w:rsidTr="00D2110F">
        <w:tc>
          <w:tcPr>
            <w:tcW w:w="13948" w:type="dxa"/>
          </w:tcPr>
          <w:p w14:paraId="61C7B6EB" w14:textId="77777777" w:rsidR="00D2110F" w:rsidRPr="00D2110F" w:rsidRDefault="00D2110F" w:rsidP="00D2110F">
            <w:pPr>
              <w:jc w:val="both"/>
              <w:rPr>
                <w:b/>
              </w:rPr>
            </w:pPr>
            <w:r w:rsidRPr="00D2110F">
              <w:t>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w:t>
            </w:r>
            <w:r w:rsidRPr="00D2110F">
              <w:t>s.</w:t>
            </w:r>
          </w:p>
        </w:tc>
      </w:tr>
    </w:tbl>
    <w:p w14:paraId="2483FF82" w14:textId="77777777" w:rsidR="00D2110F" w:rsidRPr="00D2110F" w:rsidRDefault="00D2110F" w:rsidP="00D2110F">
      <w:pPr>
        <w:jc w:val="center"/>
        <w:rPr>
          <w:b/>
        </w:rPr>
      </w:pPr>
    </w:p>
    <w:sectPr w:rsidR="00D2110F" w:rsidRPr="00D2110F" w:rsidSect="00D211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3F7D"/>
    <w:multiLevelType w:val="hybridMultilevel"/>
    <w:tmpl w:val="DA36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E2380"/>
    <w:multiLevelType w:val="hybridMultilevel"/>
    <w:tmpl w:val="2320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0F"/>
    <w:rsid w:val="0058349A"/>
    <w:rsid w:val="006C3C70"/>
    <w:rsid w:val="00D21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E2326"/>
  <w15:chartTrackingRefBased/>
  <w15:docId w15:val="{D555F2DB-BEC6-47E1-8705-C8545104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9F0F145E-9D12-4195-94C6-28944E07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3A7E1-ADA4-439F-9B8F-DD2E4A8A3424}">
  <ds:schemaRefs>
    <ds:schemaRef ds:uri="http://schemas.microsoft.com/sharepoint/v3/contenttype/forms"/>
  </ds:schemaRefs>
</ds:datastoreItem>
</file>

<file path=customXml/itemProps3.xml><?xml version="1.0" encoding="utf-8"?>
<ds:datastoreItem xmlns:ds="http://schemas.openxmlformats.org/officeDocument/2006/customXml" ds:itemID="{0BD75C5E-3CE4-4FAB-8B41-B81844A1518B}">
  <ds:schemaRefs>
    <ds:schemaRef ds:uri="http://purl.org/dc/dcmitype/"/>
    <ds:schemaRef ds:uri="http://purl.org/dc/elements/1.1/"/>
    <ds:schemaRef ds:uri="http://schemas.microsoft.com/office/2006/documentManagement/types"/>
    <ds:schemaRef ds:uri="http://schemas.microsoft.com/office/2006/metadata/properties"/>
    <ds:schemaRef ds:uri="6d598ea3-44ed-4723-b69e-fbc47b540408"/>
    <ds:schemaRef ds:uri="http://purl.org/dc/terms/"/>
    <ds:schemaRef ds:uri="http://schemas.openxmlformats.org/package/2006/metadata/core-properties"/>
    <ds:schemaRef ds:uri="http://schemas.microsoft.com/office/infopath/2007/PartnerControls"/>
    <ds:schemaRef ds:uri="910ca4e9-c860-4d8b-94a9-211a59dce5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1</cp:revision>
  <dcterms:created xsi:type="dcterms:W3CDTF">2024-06-07T12:44:00Z</dcterms:created>
  <dcterms:modified xsi:type="dcterms:W3CDTF">2024-06-07T12:52:00Z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