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592D2F4" w14:textId="77777777" w:rsidR="00AD43F0" w:rsidRDefault="008F4AE9">
      <w:pPr>
        <w:spacing w:before="322" w:after="322"/>
        <w:outlineLvl w:val="0"/>
      </w:pPr>
      <w:bookmarkStart w:id="0" w:name="_GoBack"/>
      <w:bookmarkEnd w:id="0"/>
      <w:r>
        <w:rPr>
          <w:b/>
          <w:bCs/>
          <w:color w:val="000000"/>
          <w:sz w:val="48"/>
          <w:szCs w:val="48"/>
        </w:rPr>
        <w:t>Inclusion Strategy – St Bridget's C E parton</w:t>
      </w:r>
    </w:p>
    <w:p w14:paraId="3CB39EAD" w14:textId="77777777" w:rsidR="00AD43F0" w:rsidRDefault="008F4AE9">
      <w:pPr>
        <w:spacing w:before="240" w:after="240"/>
      </w:pPr>
      <w:r>
        <w:rPr>
          <w:color w:val="000000"/>
          <w:sz w:val="24"/>
          <w:szCs w:val="24"/>
        </w:rPr>
        <w:t>“This statement details our school's approach to delivering inclusive practice for all children, including those with SEND, funded by our core school budget (including the notional SEN budget) and the inclusive mainstream fund (IMF).”</w:t>
      </w:r>
    </w:p>
    <w:p w14:paraId="51DB29FD" w14:textId="77777777" w:rsidR="00AD43F0" w:rsidRDefault="008F4AE9">
      <w:pPr>
        <w:spacing w:before="281" w:after="281"/>
        <w:outlineLvl w:val="2"/>
      </w:pPr>
      <w:r>
        <w:rPr>
          <w:b/>
          <w:bCs/>
          <w:color w:val="000000"/>
          <w:sz w:val="28"/>
          <w:szCs w:val="28"/>
        </w:rPr>
        <w:t>Statement of Intent</w:t>
      </w:r>
    </w:p>
    <w:p w14:paraId="5FE6B243" w14:textId="77777777" w:rsidR="00AD43F0" w:rsidRDefault="008F4AE9">
      <w:pPr>
        <w:spacing w:before="240" w:after="240"/>
      </w:pPr>
      <w:r>
        <w:rPr>
          <w:color w:val="000000"/>
          <w:sz w:val="24"/>
          <w:szCs w:val="24"/>
        </w:rPr>
        <w:t>A</w:t>
      </w:r>
      <w:r>
        <w:rPr>
          <w:color w:val="000000"/>
          <w:sz w:val="24"/>
          <w:szCs w:val="24"/>
        </w:rPr>
        <w:t>t St Bridget’s C of E Parton, every pupil is valued as a unique member of our school family. Our vision is that pupils are happy, caring, hard-working, achieving, responsible and resilient, becoming the very best that they were created to be. Through our m</w:t>
      </w:r>
      <w:r>
        <w:rPr>
          <w:color w:val="000000"/>
          <w:sz w:val="24"/>
          <w:szCs w:val="24"/>
        </w:rPr>
        <w:t xml:space="preserve">otto, </w:t>
      </w:r>
      <w:r>
        <w:rPr>
          <w:i/>
          <w:iCs/>
          <w:color w:val="000000"/>
          <w:sz w:val="24"/>
          <w:szCs w:val="24"/>
        </w:rPr>
        <w:t>Letting Our Lights Shine</w:t>
      </w:r>
      <w:r>
        <w:rPr>
          <w:color w:val="000000"/>
          <w:sz w:val="24"/>
          <w:szCs w:val="24"/>
        </w:rPr>
        <w:t>, we aim to ensure that every pupil, including those with SEND, who is disadvantaged, or who faces other barriers, can belong, participate, achieve and thrive.</w:t>
      </w:r>
    </w:p>
    <w:p w14:paraId="3051AF00" w14:textId="77777777" w:rsidR="00AD43F0" w:rsidRDefault="008F4AE9">
      <w:pPr>
        <w:spacing w:before="240" w:after="240"/>
      </w:pPr>
      <w:r>
        <w:rPr>
          <w:color w:val="000000"/>
          <w:sz w:val="24"/>
          <w:szCs w:val="24"/>
        </w:rPr>
        <w:t>Our ultimate objective is to remove avoidable barriers to learning</w:t>
      </w:r>
      <w:r>
        <w:rPr>
          <w:color w:val="000000"/>
          <w:sz w:val="24"/>
          <w:szCs w:val="24"/>
        </w:rPr>
        <w:t xml:space="preserve"> and participation while maintaining high expectations for all pupils. We want pupils to become increasingly independent and confident, develop strong oracy, reading, writing and mathematical foundations, attend regularly, enjoy a broad range of experience</w:t>
      </w:r>
      <w:r>
        <w:rPr>
          <w:color w:val="000000"/>
          <w:sz w:val="24"/>
          <w:szCs w:val="24"/>
        </w:rPr>
        <w:t>s, and feel safe, respected and successful. This supports our 2025–26 improvement priorities: developing oracy across the curriculum, closing gaps in mathematical knowledge, improving attendance and strengthening outcomes in writing.</w:t>
      </w:r>
    </w:p>
    <w:p w14:paraId="48B353BD" w14:textId="77777777" w:rsidR="00AD43F0" w:rsidRDefault="008F4AE9">
      <w:pPr>
        <w:spacing w:before="240" w:after="240"/>
      </w:pPr>
      <w:r>
        <w:rPr>
          <w:color w:val="000000"/>
          <w:sz w:val="24"/>
          <w:szCs w:val="24"/>
        </w:rPr>
        <w:t xml:space="preserve">This strategy focuses </w:t>
      </w:r>
      <w:r>
        <w:rPr>
          <w:color w:val="000000"/>
          <w:sz w:val="24"/>
          <w:szCs w:val="24"/>
        </w:rPr>
        <w:t>on a small number of activities that build on our existing inclusive practice and strengthen the universal offer. It combines high-quality adaptive teaching, early evidence-based support, accessible enrichment and carefully evaluated targeted provision. St</w:t>
      </w:r>
      <w:r>
        <w:rPr>
          <w:color w:val="000000"/>
          <w:sz w:val="24"/>
          <w:szCs w:val="24"/>
        </w:rPr>
        <w:t>aff will use assessment, pupil voice, family feedback and professional advice to identify needs quickly, implement support and review its impact. Specific targets for pupils with SEND will be made more precise so that staff can maintain a sharp focus on cl</w:t>
      </w:r>
      <w:r>
        <w:rPr>
          <w:color w:val="000000"/>
          <w:sz w:val="24"/>
          <w:szCs w:val="24"/>
        </w:rPr>
        <w:t>osing gaps in understanding.</w:t>
      </w:r>
    </w:p>
    <w:p w14:paraId="22A0511B" w14:textId="77777777" w:rsidR="00AD43F0" w:rsidRDefault="008F4AE9">
      <w:pPr>
        <w:spacing w:before="240" w:after="240"/>
      </w:pPr>
      <w:r>
        <w:rPr>
          <w:color w:val="000000"/>
          <w:sz w:val="24"/>
          <w:szCs w:val="24"/>
        </w:rPr>
        <w:t>The strategy addresses the DfE’s 7 principles of inclusion:</w:t>
      </w:r>
    </w:p>
    <w:p w14:paraId="7B542B4F" w14:textId="77777777" w:rsidR="00AD43F0" w:rsidRDefault="008F4AE9">
      <w:pPr>
        <w:numPr>
          <w:ilvl w:val="0"/>
          <w:numId w:val="10"/>
        </w:numPr>
        <w:rPr>
          <w:color w:val="000000"/>
          <w:sz w:val="24"/>
          <w:szCs w:val="24"/>
        </w:rPr>
      </w:pPr>
      <w:r>
        <w:rPr>
          <w:color w:val="000000"/>
          <w:sz w:val="24"/>
          <w:szCs w:val="24"/>
        </w:rPr>
        <w:t>ambitious leadership and governance that embeds inclusion</w:t>
      </w:r>
    </w:p>
    <w:p w14:paraId="670E5FDF" w14:textId="77777777" w:rsidR="00AD43F0" w:rsidRDefault="008F4AE9">
      <w:pPr>
        <w:numPr>
          <w:ilvl w:val="0"/>
          <w:numId w:val="10"/>
        </w:numPr>
        <w:rPr>
          <w:color w:val="000000"/>
          <w:sz w:val="24"/>
          <w:szCs w:val="24"/>
        </w:rPr>
      </w:pPr>
      <w:r>
        <w:rPr>
          <w:color w:val="000000"/>
          <w:sz w:val="24"/>
          <w:szCs w:val="24"/>
        </w:rPr>
        <w:t>evidence-based support prioritising early intervention</w:t>
      </w:r>
    </w:p>
    <w:p w14:paraId="2D80D6B0" w14:textId="77777777" w:rsidR="00AD43F0" w:rsidRDefault="008F4AE9">
      <w:pPr>
        <w:numPr>
          <w:ilvl w:val="0"/>
          <w:numId w:val="10"/>
        </w:numPr>
        <w:rPr>
          <w:color w:val="000000"/>
          <w:sz w:val="24"/>
          <w:szCs w:val="24"/>
        </w:rPr>
      </w:pPr>
      <w:r>
        <w:rPr>
          <w:color w:val="000000"/>
          <w:sz w:val="24"/>
          <w:szCs w:val="24"/>
        </w:rPr>
        <w:t>high quality adaptive teaching with curriculum designe</w:t>
      </w:r>
      <w:r>
        <w:rPr>
          <w:color w:val="000000"/>
          <w:sz w:val="24"/>
          <w:szCs w:val="24"/>
        </w:rPr>
        <w:t>d for all learners</w:t>
      </w:r>
    </w:p>
    <w:p w14:paraId="42B8EE43" w14:textId="77777777" w:rsidR="00AD43F0" w:rsidRDefault="008F4AE9">
      <w:pPr>
        <w:numPr>
          <w:ilvl w:val="0"/>
          <w:numId w:val="10"/>
        </w:numPr>
        <w:rPr>
          <w:color w:val="000000"/>
          <w:sz w:val="24"/>
          <w:szCs w:val="24"/>
        </w:rPr>
      </w:pPr>
      <w:r>
        <w:rPr>
          <w:color w:val="000000"/>
          <w:sz w:val="24"/>
          <w:szCs w:val="24"/>
        </w:rPr>
        <w:t>enriching provision beyond the classroom that all children can access</w:t>
      </w:r>
    </w:p>
    <w:p w14:paraId="4B994F64" w14:textId="77777777" w:rsidR="00AD43F0" w:rsidRDefault="008F4AE9">
      <w:pPr>
        <w:numPr>
          <w:ilvl w:val="0"/>
          <w:numId w:val="10"/>
        </w:numPr>
        <w:rPr>
          <w:color w:val="000000"/>
          <w:sz w:val="24"/>
          <w:szCs w:val="24"/>
        </w:rPr>
      </w:pPr>
      <w:r>
        <w:rPr>
          <w:color w:val="000000"/>
          <w:sz w:val="24"/>
          <w:szCs w:val="24"/>
        </w:rPr>
        <w:t>a safe and respectful culture fostering belonging, attendance, and participation in learning</w:t>
      </w:r>
    </w:p>
    <w:p w14:paraId="53877B01" w14:textId="77777777" w:rsidR="00AD43F0" w:rsidRDefault="008F4AE9">
      <w:pPr>
        <w:numPr>
          <w:ilvl w:val="0"/>
          <w:numId w:val="10"/>
        </w:numPr>
        <w:rPr>
          <w:color w:val="000000"/>
          <w:sz w:val="24"/>
          <w:szCs w:val="24"/>
        </w:rPr>
      </w:pPr>
      <w:r>
        <w:rPr>
          <w:color w:val="000000"/>
          <w:sz w:val="24"/>
          <w:szCs w:val="24"/>
        </w:rPr>
        <w:t>strong partnerships with families and wider services</w:t>
      </w:r>
    </w:p>
    <w:p w14:paraId="0F86C0BD" w14:textId="77777777" w:rsidR="00AD43F0" w:rsidRDefault="008F4AE9">
      <w:pPr>
        <w:numPr>
          <w:ilvl w:val="0"/>
          <w:numId w:val="10"/>
        </w:numPr>
        <w:rPr>
          <w:color w:val="000000"/>
          <w:sz w:val="24"/>
          <w:szCs w:val="24"/>
        </w:rPr>
      </w:pPr>
      <w:r>
        <w:rPr>
          <w:color w:val="000000"/>
          <w:sz w:val="24"/>
          <w:szCs w:val="24"/>
        </w:rPr>
        <w:t>inclusive environment</w:t>
      </w:r>
      <w:r>
        <w:rPr>
          <w:color w:val="000000"/>
          <w:sz w:val="24"/>
          <w:szCs w:val="24"/>
        </w:rPr>
        <w:t>s with continuous improvements to accessibility</w:t>
      </w:r>
    </w:p>
    <w:p w14:paraId="3F9CD14D" w14:textId="77777777" w:rsidR="00AD43F0" w:rsidRDefault="008F4AE9">
      <w:pPr>
        <w:spacing w:before="240" w:after="240"/>
      </w:pPr>
      <w:r>
        <w:rPr>
          <w:color w:val="000000"/>
          <w:sz w:val="24"/>
          <w:szCs w:val="24"/>
        </w:rPr>
        <w:lastRenderedPageBreak/>
        <w:t>We have developed this strategy from our knowledge of pupils and families, school improvement planning, assessment and attendance information, pupil voice, staff discussion and our latest inspection findings.</w:t>
      </w:r>
      <w:r>
        <w:rPr>
          <w:color w:val="000000"/>
          <w:sz w:val="24"/>
          <w:szCs w:val="24"/>
        </w:rPr>
        <w:t xml:space="preserve"> It reflects our village context and our links with St Bridget’s Church, the parish council, the village hall, local families and wider Cumbria. It also builds explicitly on current practice: whole-school oracy implementation; sticky questions and talk-at-</w:t>
      </w:r>
      <w:r>
        <w:rPr>
          <w:color w:val="000000"/>
          <w:sz w:val="24"/>
          <w:szCs w:val="24"/>
        </w:rPr>
        <w:t>home opportunities; cultural workshops and visits; subsidised trips and clubs; library and book-bus opportunities; targeted reading support; Study Bugs and individual attendance meetings; and collaboration with external specialists.</w:t>
      </w:r>
    </w:p>
    <w:p w14:paraId="7E164B1D" w14:textId="77777777" w:rsidR="00AD43F0" w:rsidRDefault="008F4AE9">
      <w:pPr>
        <w:spacing w:before="240" w:after="240"/>
      </w:pPr>
      <w:r>
        <w:rPr>
          <w:color w:val="000000"/>
          <w:sz w:val="24"/>
          <w:szCs w:val="24"/>
        </w:rPr>
        <w:t>Families and pupils hav</w:t>
      </w:r>
      <w:r>
        <w:rPr>
          <w:color w:val="000000"/>
          <w:sz w:val="24"/>
          <w:szCs w:val="24"/>
        </w:rPr>
        <w:t>e helped shape the experiences and values that matter at St Bridget’s. We will continue to listen to them through conversations, pupil voice, attendance meetings, reviews of SEND provision, feedback on trips and workshops, and consultation about belonging,</w:t>
      </w:r>
      <w:r>
        <w:rPr>
          <w:color w:val="000000"/>
          <w:sz w:val="24"/>
          <w:szCs w:val="24"/>
        </w:rPr>
        <w:t xml:space="preserve"> wellbeing and participation. Our inclusion strategy is therefore a shared commitment between pupils, families, staff, governors, the church, community partners and wider services.</w:t>
      </w:r>
    </w:p>
    <w:p w14:paraId="384C9710" w14:textId="77777777" w:rsidR="00AD43F0" w:rsidRDefault="008F4AE9">
      <w:pPr>
        <w:spacing w:before="299" w:after="299"/>
        <w:outlineLvl w:val="1"/>
      </w:pPr>
      <w:r>
        <w:rPr>
          <w:b/>
          <w:bCs/>
          <w:color w:val="000000"/>
          <w:sz w:val="36"/>
          <w:szCs w:val="36"/>
        </w:rPr>
        <w:t>2. Barriers to Learning and Participation</w:t>
      </w:r>
    </w:p>
    <w:p w14:paraId="6D4C20A5" w14:textId="77777777" w:rsidR="00AD43F0" w:rsidRDefault="008F4AE9">
      <w:pPr>
        <w:spacing w:before="240" w:after="240"/>
      </w:pPr>
      <w:r>
        <w:rPr>
          <w:color w:val="000000"/>
          <w:sz w:val="24"/>
          <w:szCs w:val="24"/>
        </w:rPr>
        <w:t>This details the key barriers to learning and participation that we have identified amongst our pupils, necessitating inclusive universal approaches and targeted support.</w:t>
      </w:r>
    </w:p>
    <w:tbl>
      <w:tblPr>
        <w:tblStyle w:val="NormalTablePHPDOCX"/>
        <w:tblW w:w="5000" w:type="pct"/>
        <w:tblBorders>
          <w:top w:val="single" w:sz="5" w:space="0" w:color="000000"/>
          <w:left w:val="single" w:sz="5" w:space="0" w:color="000000"/>
          <w:bottom w:val="single" w:sz="5" w:space="0" w:color="000000"/>
          <w:right w:val="single" w:sz="5" w:space="0" w:color="000000"/>
        </w:tblBorders>
        <w:tblCellMar>
          <w:left w:w="0" w:type="dxa"/>
          <w:right w:w="0" w:type="dxa"/>
        </w:tblCellMar>
        <w:tblLook w:val="04A0" w:firstRow="1" w:lastRow="0" w:firstColumn="1" w:lastColumn="0" w:noHBand="0" w:noVBand="1"/>
      </w:tblPr>
      <w:tblGrid>
        <w:gridCol w:w="489"/>
        <w:gridCol w:w="8859"/>
      </w:tblGrid>
      <w:tr w:rsidR="00AD43F0" w14:paraId="410008D3" w14:textId="77777777">
        <w:tc>
          <w:tcPr>
            <w:tcW w:w="0" w:type="auto"/>
            <w:tcBorders>
              <w:top w:val="single" w:sz="5" w:space="0" w:color="000000"/>
              <w:left w:val="single" w:sz="5" w:space="0" w:color="000000"/>
              <w:bottom w:val="single" w:sz="5" w:space="0" w:color="000000"/>
              <w:right w:val="single" w:sz="5" w:space="0" w:color="000000"/>
            </w:tcBorders>
            <w:noWrap/>
            <w:tcMar>
              <w:top w:w="120" w:type="dxa"/>
              <w:left w:w="120" w:type="dxa"/>
              <w:bottom w:w="120" w:type="dxa"/>
              <w:right w:w="120" w:type="dxa"/>
            </w:tcMar>
            <w:vAlign w:val="center"/>
          </w:tcPr>
          <w:p w14:paraId="1C8D3FFF" w14:textId="77777777" w:rsidR="00AD43F0" w:rsidRDefault="008F4AE9">
            <w:pPr>
              <w:jc w:val="center"/>
            </w:pPr>
            <w:r>
              <w:rPr>
                <w:b/>
                <w:bCs/>
                <w:color w:val="000000"/>
                <w:position w:val="-3"/>
                <w:sz w:val="24"/>
                <w:szCs w:val="24"/>
              </w:rPr>
              <w:t>Number</w:t>
            </w:r>
          </w:p>
        </w:tc>
        <w:tc>
          <w:tcPr>
            <w:tcW w:w="0" w:type="auto"/>
            <w:tcBorders>
              <w:top w:val="single" w:sz="5" w:space="0" w:color="000000"/>
              <w:left w:val="single" w:sz="5" w:space="0" w:color="000000"/>
              <w:bottom w:val="single" w:sz="5" w:space="0" w:color="000000"/>
              <w:right w:val="single" w:sz="5" w:space="0" w:color="000000"/>
            </w:tcBorders>
            <w:noWrap/>
            <w:tcMar>
              <w:top w:w="120" w:type="dxa"/>
              <w:left w:w="120" w:type="dxa"/>
              <w:bottom w:w="120" w:type="dxa"/>
              <w:right w:w="120" w:type="dxa"/>
            </w:tcMar>
            <w:vAlign w:val="center"/>
          </w:tcPr>
          <w:p w14:paraId="71DCDC65" w14:textId="77777777" w:rsidR="00AD43F0" w:rsidRDefault="008F4AE9">
            <w:pPr>
              <w:jc w:val="center"/>
            </w:pPr>
            <w:r>
              <w:rPr>
                <w:b/>
                <w:bCs/>
                <w:color w:val="000000"/>
                <w:position w:val="-3"/>
                <w:sz w:val="24"/>
                <w:szCs w:val="24"/>
              </w:rPr>
              <w:t>Detail of barrier to learning</w:t>
            </w:r>
          </w:p>
        </w:tc>
      </w:tr>
      <w:tr w:rsidR="00AD43F0" w14:paraId="7AF6E16D" w14:textId="77777777">
        <w:tc>
          <w:tcPr>
            <w:tcW w:w="0" w:type="auto"/>
            <w:tcBorders>
              <w:top w:val="single" w:sz="5" w:space="0" w:color="000000"/>
              <w:left w:val="single" w:sz="5" w:space="0" w:color="000000"/>
              <w:bottom w:val="single" w:sz="5" w:space="0" w:color="000000"/>
              <w:right w:val="single" w:sz="5" w:space="0" w:color="000000"/>
            </w:tcBorders>
            <w:noWrap/>
            <w:tcMar>
              <w:top w:w="120" w:type="dxa"/>
              <w:left w:w="120" w:type="dxa"/>
              <w:bottom w:w="120" w:type="dxa"/>
              <w:right w:w="120" w:type="dxa"/>
            </w:tcMar>
            <w:vAlign w:val="center"/>
          </w:tcPr>
          <w:p w14:paraId="395F637D" w14:textId="77777777" w:rsidR="00AD43F0" w:rsidRDefault="008F4AE9">
            <w:r>
              <w:rPr>
                <w:color w:val="000000"/>
                <w:position w:val="-3"/>
                <w:sz w:val="24"/>
                <w:szCs w:val="24"/>
              </w:rPr>
              <w:t>1</w:t>
            </w:r>
          </w:p>
        </w:tc>
        <w:tc>
          <w:tcPr>
            <w:tcW w:w="0" w:type="auto"/>
            <w:tcBorders>
              <w:top w:val="single" w:sz="5" w:space="0" w:color="000000"/>
              <w:left w:val="single" w:sz="5" w:space="0" w:color="000000"/>
              <w:bottom w:val="single" w:sz="5" w:space="0" w:color="000000"/>
              <w:right w:val="single" w:sz="5" w:space="0" w:color="000000"/>
            </w:tcBorders>
            <w:noWrap/>
            <w:tcMar>
              <w:top w:w="120" w:type="dxa"/>
              <w:left w:w="120" w:type="dxa"/>
              <w:bottom w:w="120" w:type="dxa"/>
              <w:right w:w="120" w:type="dxa"/>
            </w:tcMar>
            <w:vAlign w:val="center"/>
          </w:tcPr>
          <w:p w14:paraId="1B788E46" w14:textId="77777777" w:rsidR="00AD43F0" w:rsidRDefault="008F4AE9">
            <w:r>
              <w:rPr>
                <w:color w:val="000000"/>
                <w:position w:val="-3"/>
                <w:sz w:val="24"/>
                <w:szCs w:val="24"/>
              </w:rPr>
              <w:t>Some pupils lack the confidence, strategies a</w:t>
            </w:r>
            <w:r>
              <w:rPr>
                <w:color w:val="000000"/>
                <w:position w:val="-3"/>
                <w:sz w:val="24"/>
                <w:szCs w:val="24"/>
              </w:rPr>
              <w:t>nd experience to work independently or to have a go when learning is unfamiliar or difficult. They may wait for adult reassurance, avoid challenge, find it difficult to explain what they need, or give up before applying a strategy. This affects their resil</w:t>
            </w:r>
            <w:r>
              <w:rPr>
                <w:color w:val="000000"/>
                <w:position w:val="-3"/>
                <w:sz w:val="24"/>
                <w:szCs w:val="24"/>
              </w:rPr>
              <w:t>ience, independence and progress across the curriculum, including writing and mathematics.</w:t>
            </w:r>
          </w:p>
        </w:tc>
      </w:tr>
      <w:tr w:rsidR="00AD43F0" w14:paraId="692345FC" w14:textId="77777777">
        <w:tc>
          <w:tcPr>
            <w:tcW w:w="0" w:type="auto"/>
            <w:tcBorders>
              <w:top w:val="single" w:sz="5" w:space="0" w:color="000000"/>
              <w:left w:val="single" w:sz="5" w:space="0" w:color="000000"/>
              <w:bottom w:val="single" w:sz="5" w:space="0" w:color="000000"/>
              <w:right w:val="single" w:sz="5" w:space="0" w:color="000000"/>
            </w:tcBorders>
            <w:noWrap/>
            <w:tcMar>
              <w:top w:w="120" w:type="dxa"/>
              <w:left w:w="120" w:type="dxa"/>
              <w:bottom w:w="120" w:type="dxa"/>
              <w:right w:w="120" w:type="dxa"/>
            </w:tcMar>
            <w:vAlign w:val="center"/>
          </w:tcPr>
          <w:p w14:paraId="6C33162B" w14:textId="77777777" w:rsidR="00AD43F0" w:rsidRDefault="008F4AE9">
            <w:r>
              <w:rPr>
                <w:color w:val="000000"/>
                <w:position w:val="-3"/>
                <w:sz w:val="24"/>
                <w:szCs w:val="24"/>
              </w:rPr>
              <w:t>2</w:t>
            </w:r>
          </w:p>
        </w:tc>
        <w:tc>
          <w:tcPr>
            <w:tcW w:w="0" w:type="auto"/>
            <w:tcBorders>
              <w:top w:val="single" w:sz="5" w:space="0" w:color="000000"/>
              <w:left w:val="single" w:sz="5" w:space="0" w:color="000000"/>
              <w:bottom w:val="single" w:sz="5" w:space="0" w:color="000000"/>
              <w:right w:val="single" w:sz="5" w:space="0" w:color="000000"/>
            </w:tcBorders>
            <w:noWrap/>
            <w:tcMar>
              <w:top w:w="120" w:type="dxa"/>
              <w:left w:w="120" w:type="dxa"/>
              <w:bottom w:w="120" w:type="dxa"/>
              <w:right w:w="120" w:type="dxa"/>
            </w:tcMar>
            <w:vAlign w:val="center"/>
          </w:tcPr>
          <w:p w14:paraId="7EE66E52" w14:textId="77777777" w:rsidR="00AD43F0" w:rsidRDefault="008F4AE9">
            <w:r>
              <w:rPr>
                <w:color w:val="000000"/>
                <w:position w:val="-3"/>
                <w:sz w:val="24"/>
                <w:szCs w:val="24"/>
              </w:rPr>
              <w:t>Some pupils lack confidence to participate fully in lessons, discussions, performances, clubs, trips and wider school activities. This may be linked to communicat</w:t>
            </w:r>
            <w:r>
              <w:rPr>
                <w:color w:val="000000"/>
                <w:position w:val="-3"/>
                <w:sz w:val="24"/>
                <w:szCs w:val="24"/>
              </w:rPr>
              <w:t>ion needs, previous experiences of difficulty, anxiety, low self-esteem, social challenges or uncertainty about unfamiliar situations. Reduced participation can limit learning, friendships, wellbeing and belonging.</w:t>
            </w:r>
          </w:p>
        </w:tc>
      </w:tr>
      <w:tr w:rsidR="00AD43F0" w14:paraId="0A5565AD" w14:textId="77777777">
        <w:tc>
          <w:tcPr>
            <w:tcW w:w="0" w:type="auto"/>
            <w:tcBorders>
              <w:top w:val="single" w:sz="5" w:space="0" w:color="000000"/>
              <w:left w:val="single" w:sz="5" w:space="0" w:color="000000"/>
              <w:bottom w:val="single" w:sz="5" w:space="0" w:color="000000"/>
              <w:right w:val="single" w:sz="5" w:space="0" w:color="000000"/>
            </w:tcBorders>
            <w:noWrap/>
            <w:tcMar>
              <w:top w:w="120" w:type="dxa"/>
              <w:left w:w="120" w:type="dxa"/>
              <w:bottom w:w="120" w:type="dxa"/>
              <w:right w:w="120" w:type="dxa"/>
            </w:tcMar>
            <w:vAlign w:val="center"/>
          </w:tcPr>
          <w:p w14:paraId="0940BAAE" w14:textId="77777777" w:rsidR="00AD43F0" w:rsidRDefault="008F4AE9">
            <w:r>
              <w:rPr>
                <w:color w:val="000000"/>
                <w:position w:val="-3"/>
                <w:sz w:val="24"/>
                <w:szCs w:val="24"/>
              </w:rPr>
              <w:t>3</w:t>
            </w:r>
          </w:p>
        </w:tc>
        <w:tc>
          <w:tcPr>
            <w:tcW w:w="0" w:type="auto"/>
            <w:tcBorders>
              <w:top w:val="single" w:sz="5" w:space="0" w:color="000000"/>
              <w:left w:val="single" w:sz="5" w:space="0" w:color="000000"/>
              <w:bottom w:val="single" w:sz="5" w:space="0" w:color="000000"/>
              <w:right w:val="single" w:sz="5" w:space="0" w:color="000000"/>
            </w:tcBorders>
            <w:noWrap/>
            <w:tcMar>
              <w:top w:w="120" w:type="dxa"/>
              <w:left w:w="120" w:type="dxa"/>
              <w:bottom w:w="120" w:type="dxa"/>
              <w:right w:w="120" w:type="dxa"/>
            </w:tcMar>
            <w:vAlign w:val="center"/>
          </w:tcPr>
          <w:p w14:paraId="1346486E" w14:textId="77777777" w:rsidR="00AD43F0" w:rsidRDefault="008F4AE9">
            <w:r>
              <w:rPr>
                <w:color w:val="000000"/>
                <w:position w:val="-3"/>
                <w:sz w:val="24"/>
                <w:szCs w:val="24"/>
              </w:rPr>
              <w:t>Some pupils have had fewer experiences</w:t>
            </w:r>
            <w:r>
              <w:rPr>
                <w:color w:val="000000"/>
                <w:position w:val="-3"/>
                <w:sz w:val="24"/>
                <w:szCs w:val="24"/>
              </w:rPr>
              <w:t xml:space="preserve"> beyond the home and immediate local environment. The rural and coastal context of Parton provides important opportunities, but pupils’ access to travel, cultural experiences, museums, theatre, libraries, careers and different communities varies. A limited</w:t>
            </w:r>
            <w:r>
              <w:rPr>
                <w:color w:val="000000"/>
                <w:position w:val="-3"/>
                <w:sz w:val="24"/>
                <w:szCs w:val="24"/>
              </w:rPr>
              <w:t xml:space="preserve"> range of </w:t>
            </w:r>
            <w:r>
              <w:rPr>
                <w:color w:val="000000"/>
                <w:position w:val="-3"/>
                <w:sz w:val="24"/>
                <w:szCs w:val="24"/>
              </w:rPr>
              <w:lastRenderedPageBreak/>
              <w:t>experiences can affect background knowledge, vocabulary, aspirations, confidence and the ability to make connections across the curriculum.</w:t>
            </w:r>
          </w:p>
        </w:tc>
      </w:tr>
      <w:tr w:rsidR="00AD43F0" w14:paraId="7A1AF74F" w14:textId="77777777">
        <w:tc>
          <w:tcPr>
            <w:tcW w:w="0" w:type="auto"/>
            <w:tcBorders>
              <w:top w:val="single" w:sz="5" w:space="0" w:color="000000"/>
              <w:left w:val="single" w:sz="5" w:space="0" w:color="000000"/>
              <w:bottom w:val="single" w:sz="5" w:space="0" w:color="000000"/>
              <w:right w:val="single" w:sz="5" w:space="0" w:color="000000"/>
            </w:tcBorders>
            <w:noWrap/>
            <w:tcMar>
              <w:top w:w="120" w:type="dxa"/>
              <w:left w:w="120" w:type="dxa"/>
              <w:bottom w:w="120" w:type="dxa"/>
              <w:right w:w="120" w:type="dxa"/>
            </w:tcMar>
            <w:vAlign w:val="center"/>
          </w:tcPr>
          <w:p w14:paraId="092A5CCB" w14:textId="77777777" w:rsidR="00AD43F0" w:rsidRDefault="008F4AE9">
            <w:r>
              <w:rPr>
                <w:color w:val="000000"/>
                <w:position w:val="-3"/>
                <w:sz w:val="24"/>
                <w:szCs w:val="24"/>
              </w:rPr>
              <w:lastRenderedPageBreak/>
              <w:t>4</w:t>
            </w:r>
          </w:p>
        </w:tc>
        <w:tc>
          <w:tcPr>
            <w:tcW w:w="0" w:type="auto"/>
            <w:tcBorders>
              <w:top w:val="single" w:sz="5" w:space="0" w:color="000000"/>
              <w:left w:val="single" w:sz="5" w:space="0" w:color="000000"/>
              <w:bottom w:val="single" w:sz="5" w:space="0" w:color="000000"/>
              <w:right w:val="single" w:sz="5" w:space="0" w:color="000000"/>
            </w:tcBorders>
            <w:noWrap/>
            <w:tcMar>
              <w:top w:w="120" w:type="dxa"/>
              <w:left w:w="120" w:type="dxa"/>
              <w:bottom w:w="120" w:type="dxa"/>
              <w:right w:w="120" w:type="dxa"/>
            </w:tcMar>
            <w:vAlign w:val="center"/>
          </w:tcPr>
          <w:p w14:paraId="39367B0A" w14:textId="77777777" w:rsidR="00AD43F0" w:rsidRDefault="008F4AE9">
            <w:r>
              <w:rPr>
                <w:color w:val="000000"/>
                <w:position w:val="-3"/>
                <w:sz w:val="24"/>
                <w:szCs w:val="24"/>
              </w:rPr>
              <w:t>Some pupils do not yet have a sufficiently developed range of oracy strategies. They may need support t</w:t>
            </w:r>
            <w:r>
              <w:rPr>
                <w:color w:val="000000"/>
                <w:position w:val="-3"/>
                <w:sz w:val="24"/>
                <w:szCs w:val="24"/>
              </w:rPr>
              <w:t xml:space="preserve">o listen actively, take turns, ask questions, explain reasoning, use subject-specific vocabulary, build on another person’s ideas and speak confidently in different contexts. This creates barriers to reading comprehension, writing, mathematical reasoning, </w:t>
            </w:r>
            <w:r>
              <w:rPr>
                <w:color w:val="000000"/>
                <w:position w:val="-3"/>
                <w:sz w:val="24"/>
                <w:szCs w:val="24"/>
              </w:rPr>
              <w:t>problem-solving and participation.</w:t>
            </w:r>
          </w:p>
        </w:tc>
      </w:tr>
      <w:tr w:rsidR="00AD43F0" w14:paraId="0BCD0F7B" w14:textId="77777777">
        <w:tc>
          <w:tcPr>
            <w:tcW w:w="0" w:type="auto"/>
            <w:tcBorders>
              <w:top w:val="single" w:sz="5" w:space="0" w:color="000000"/>
              <w:left w:val="single" w:sz="5" w:space="0" w:color="000000"/>
              <w:bottom w:val="single" w:sz="5" w:space="0" w:color="000000"/>
              <w:right w:val="single" w:sz="5" w:space="0" w:color="000000"/>
            </w:tcBorders>
            <w:noWrap/>
            <w:tcMar>
              <w:top w:w="120" w:type="dxa"/>
              <w:left w:w="120" w:type="dxa"/>
              <w:bottom w:w="120" w:type="dxa"/>
              <w:right w:w="120" w:type="dxa"/>
            </w:tcMar>
            <w:vAlign w:val="center"/>
          </w:tcPr>
          <w:p w14:paraId="778E993E" w14:textId="77777777" w:rsidR="00AD43F0" w:rsidRDefault="008F4AE9">
            <w:r>
              <w:rPr>
                <w:color w:val="000000"/>
                <w:position w:val="-3"/>
                <w:sz w:val="24"/>
                <w:szCs w:val="24"/>
              </w:rPr>
              <w:t>5</w:t>
            </w:r>
          </w:p>
        </w:tc>
        <w:tc>
          <w:tcPr>
            <w:tcW w:w="0" w:type="auto"/>
            <w:tcBorders>
              <w:top w:val="single" w:sz="5" w:space="0" w:color="000000"/>
              <w:left w:val="single" w:sz="5" w:space="0" w:color="000000"/>
              <w:bottom w:val="single" w:sz="5" w:space="0" w:color="000000"/>
              <w:right w:val="single" w:sz="5" w:space="0" w:color="000000"/>
            </w:tcBorders>
            <w:noWrap/>
            <w:tcMar>
              <w:top w:w="120" w:type="dxa"/>
              <w:left w:w="120" w:type="dxa"/>
              <w:bottom w:w="120" w:type="dxa"/>
              <w:right w:w="120" w:type="dxa"/>
            </w:tcMar>
            <w:vAlign w:val="center"/>
          </w:tcPr>
          <w:p w14:paraId="3499CFFE" w14:textId="77777777" w:rsidR="00AD43F0" w:rsidRDefault="008F4AE9">
            <w:r>
              <w:rPr>
                <w:color w:val="000000"/>
                <w:position w:val="-3"/>
                <w:sz w:val="24"/>
                <w:szCs w:val="24"/>
              </w:rPr>
              <w:t>Some pupils do not yet read regularly or for pleasure. This may reduce reading fluency, vocabulary, comprehension, imagination, background knowledge and motivation. The school has identified the need for more pupils to achieve age-related expectations in r</w:t>
            </w:r>
            <w:r>
              <w:rPr>
                <w:color w:val="000000"/>
                <w:position w:val="-3"/>
                <w:sz w:val="24"/>
                <w:szCs w:val="24"/>
              </w:rPr>
              <w:t>eading comprehension and to encounter a wider range of Tier 2 and Tier 3 vocabulary in speech, writing and guided reading.</w:t>
            </w:r>
          </w:p>
        </w:tc>
      </w:tr>
    </w:tbl>
    <w:p w14:paraId="54D78ABE" w14:textId="77777777" w:rsidR="00AD43F0" w:rsidRDefault="008F4AE9">
      <w:pPr>
        <w:spacing w:before="299" w:after="299"/>
        <w:outlineLvl w:val="1"/>
      </w:pPr>
      <w:r>
        <w:rPr>
          <w:b/>
          <w:bCs/>
          <w:color w:val="000000"/>
          <w:sz w:val="36"/>
          <w:szCs w:val="36"/>
        </w:rPr>
        <w:t>3. Activity in This Academic Year</w:t>
      </w:r>
    </w:p>
    <w:p w14:paraId="6BF2898A" w14:textId="77777777" w:rsidR="00AD43F0" w:rsidRDefault="008F4AE9">
      <w:pPr>
        <w:spacing w:before="240" w:after="240"/>
      </w:pPr>
      <w:r>
        <w:rPr>
          <w:color w:val="000000"/>
          <w:sz w:val="24"/>
          <w:szCs w:val="24"/>
        </w:rPr>
        <w:t>“In this context, 'activity' is a reporting term to help understand where funding has been allocat</w:t>
      </w:r>
      <w:r>
        <w:rPr>
          <w:color w:val="000000"/>
          <w:sz w:val="24"/>
          <w:szCs w:val="24"/>
        </w:rPr>
        <w:t>ed to build an inclusive core offer and does not indicate only targeted provision. Activity may address multiple barriers identified, particularly for improvements to your universal offer.”</w:t>
      </w:r>
    </w:p>
    <w:p w14:paraId="52937043" w14:textId="77777777" w:rsidR="00AD43F0" w:rsidRDefault="008F4AE9">
      <w:pPr>
        <w:spacing w:before="240" w:after="240"/>
      </w:pPr>
      <w:r>
        <w:rPr>
          <w:color w:val="000000"/>
          <w:sz w:val="24"/>
          <w:szCs w:val="24"/>
        </w:rPr>
        <w:t>The school will use its core budget, including the notional SEN bu</w:t>
      </w:r>
      <w:r>
        <w:rPr>
          <w:color w:val="000000"/>
          <w:sz w:val="24"/>
          <w:szCs w:val="24"/>
        </w:rPr>
        <w:t>dget, alongside the IMF. The final allocation and expenditure will be confirmed and recorded by the school. Activities have been selected in line with the DfE expectation that schools focus on implementing fewer approaches well, with a bias towards strengt</w:t>
      </w:r>
      <w:r>
        <w:rPr>
          <w:color w:val="000000"/>
          <w:sz w:val="24"/>
          <w:szCs w:val="24"/>
        </w:rPr>
        <w:t xml:space="preserve">hening the universal offer. The DfE identifies high-quality teaching as the most important lever for improving outcomes for pupils in mainstream schools, particularly pupils with SEND. This is reflected in the </w:t>
      </w:r>
      <w:hyperlink r:id="rId10" w:history="1">
        <w:r>
          <w:rPr>
            <w:rStyle w:val="DefaultParagraphFontPHPDOCX"/>
            <w:color w:val="0000CC"/>
            <w:sz w:val="24"/>
            <w:szCs w:val="24"/>
            <w:u w:val="single" w:color="000000"/>
          </w:rPr>
          <w:t>Inclusive mainstream fund: best practice for schools</w:t>
        </w:r>
      </w:hyperlink>
      <w:r>
        <w:rPr>
          <w:color w:val="000000"/>
          <w:sz w:val="24"/>
          <w:szCs w:val="24"/>
        </w:rPr>
        <w:t>.</w:t>
      </w:r>
    </w:p>
    <w:tbl>
      <w:tblPr>
        <w:tblStyle w:val="NormalTablePHPDOCX"/>
        <w:tblW w:w="5000" w:type="pct"/>
        <w:tblBorders>
          <w:top w:val="single" w:sz="5" w:space="0" w:color="000000"/>
          <w:left w:val="single" w:sz="5" w:space="0" w:color="000000"/>
          <w:bottom w:val="single" w:sz="5" w:space="0" w:color="000000"/>
          <w:right w:val="single" w:sz="5" w:space="0" w:color="000000"/>
        </w:tblBorders>
        <w:tblCellMar>
          <w:left w:w="0" w:type="dxa"/>
          <w:right w:w="0" w:type="dxa"/>
        </w:tblCellMar>
        <w:tblLook w:val="04A0" w:firstRow="1" w:lastRow="0" w:firstColumn="1" w:lastColumn="0" w:noHBand="0" w:noVBand="1"/>
      </w:tblPr>
      <w:tblGrid>
        <w:gridCol w:w="7557"/>
        <w:gridCol w:w="572"/>
        <w:gridCol w:w="1219"/>
      </w:tblGrid>
      <w:tr w:rsidR="00AD43F0" w14:paraId="7AB8F3EC" w14:textId="77777777">
        <w:tc>
          <w:tcPr>
            <w:tcW w:w="0" w:type="auto"/>
            <w:tcBorders>
              <w:top w:val="single" w:sz="5" w:space="0" w:color="000000"/>
              <w:left w:val="single" w:sz="5" w:space="0" w:color="000000"/>
              <w:bottom w:val="single" w:sz="5" w:space="0" w:color="000000"/>
              <w:right w:val="single" w:sz="5" w:space="0" w:color="000000"/>
            </w:tcBorders>
            <w:noWrap/>
            <w:tcMar>
              <w:top w:w="120" w:type="dxa"/>
              <w:left w:w="120" w:type="dxa"/>
              <w:bottom w:w="120" w:type="dxa"/>
              <w:right w:w="120" w:type="dxa"/>
            </w:tcMar>
            <w:vAlign w:val="center"/>
          </w:tcPr>
          <w:p w14:paraId="7D46A15D" w14:textId="77777777" w:rsidR="00AD43F0" w:rsidRDefault="008F4AE9">
            <w:pPr>
              <w:jc w:val="center"/>
            </w:pPr>
            <w:r>
              <w:rPr>
                <w:b/>
                <w:bCs/>
                <w:color w:val="000000"/>
                <w:position w:val="-3"/>
                <w:sz w:val="24"/>
                <w:szCs w:val="24"/>
              </w:rPr>
              <w:t>Description of activity</w:t>
            </w:r>
          </w:p>
        </w:tc>
        <w:tc>
          <w:tcPr>
            <w:tcW w:w="0" w:type="auto"/>
            <w:tcBorders>
              <w:top w:val="single" w:sz="5" w:space="0" w:color="000000"/>
              <w:left w:val="single" w:sz="5" w:space="0" w:color="000000"/>
              <w:bottom w:val="single" w:sz="5" w:space="0" w:color="000000"/>
              <w:right w:val="single" w:sz="5" w:space="0" w:color="000000"/>
            </w:tcBorders>
            <w:noWrap/>
            <w:tcMar>
              <w:top w:w="120" w:type="dxa"/>
              <w:left w:w="120" w:type="dxa"/>
              <w:bottom w:w="120" w:type="dxa"/>
              <w:right w:w="120" w:type="dxa"/>
            </w:tcMar>
            <w:vAlign w:val="center"/>
          </w:tcPr>
          <w:p w14:paraId="19A963A0" w14:textId="77777777" w:rsidR="00AD43F0" w:rsidRDefault="008F4AE9">
            <w:pPr>
              <w:jc w:val="center"/>
            </w:pPr>
            <w:r>
              <w:rPr>
                <w:b/>
                <w:bCs/>
                <w:color w:val="000000"/>
                <w:position w:val="-3"/>
                <w:sz w:val="24"/>
                <w:szCs w:val="24"/>
              </w:rPr>
              <w:t>Activity type</w:t>
            </w:r>
          </w:p>
        </w:tc>
        <w:tc>
          <w:tcPr>
            <w:tcW w:w="0" w:type="auto"/>
            <w:tcBorders>
              <w:top w:val="single" w:sz="5" w:space="0" w:color="000000"/>
              <w:left w:val="single" w:sz="5" w:space="0" w:color="000000"/>
              <w:bottom w:val="single" w:sz="5" w:space="0" w:color="000000"/>
              <w:right w:val="single" w:sz="5" w:space="0" w:color="000000"/>
            </w:tcBorders>
            <w:noWrap/>
            <w:tcMar>
              <w:top w:w="120" w:type="dxa"/>
              <w:left w:w="120" w:type="dxa"/>
              <w:bottom w:w="120" w:type="dxa"/>
              <w:right w:w="120" w:type="dxa"/>
            </w:tcMar>
            <w:vAlign w:val="center"/>
          </w:tcPr>
          <w:p w14:paraId="125FA7E7" w14:textId="77777777" w:rsidR="00AD43F0" w:rsidRDefault="008F4AE9">
            <w:pPr>
              <w:jc w:val="center"/>
            </w:pPr>
            <w:r>
              <w:rPr>
                <w:b/>
                <w:bCs/>
                <w:color w:val="000000"/>
                <w:position w:val="-3"/>
                <w:sz w:val="24"/>
                <w:szCs w:val="24"/>
              </w:rPr>
              <w:t>Total budgeted cost</w:t>
            </w:r>
          </w:p>
        </w:tc>
      </w:tr>
      <w:tr w:rsidR="00AD43F0" w14:paraId="774E5959" w14:textId="77777777">
        <w:tc>
          <w:tcPr>
            <w:tcW w:w="0" w:type="auto"/>
            <w:tcBorders>
              <w:top w:val="single" w:sz="5" w:space="0" w:color="000000"/>
              <w:left w:val="single" w:sz="5" w:space="0" w:color="000000"/>
              <w:bottom w:val="single" w:sz="5" w:space="0" w:color="000000"/>
              <w:right w:val="single" w:sz="5" w:space="0" w:color="000000"/>
            </w:tcBorders>
            <w:noWrap/>
            <w:tcMar>
              <w:top w:w="120" w:type="dxa"/>
              <w:left w:w="120" w:type="dxa"/>
              <w:bottom w:w="120" w:type="dxa"/>
              <w:right w:w="120" w:type="dxa"/>
            </w:tcMar>
            <w:vAlign w:val="center"/>
          </w:tcPr>
          <w:p w14:paraId="2472AEFB" w14:textId="77777777" w:rsidR="00AD43F0" w:rsidRDefault="008F4AE9">
            <w:r>
              <w:rPr>
                <w:b/>
                <w:bCs/>
                <w:color w:val="000000"/>
                <w:position w:val="-3"/>
                <w:sz w:val="24"/>
                <w:szCs w:val="24"/>
              </w:rPr>
              <w:t>Inclusive curriculum, adaptive teaching and ambitious implementation.</w:t>
            </w:r>
            <w:r>
              <w:rPr>
                <w:color w:val="000000"/>
                <w:position w:val="-3"/>
                <w:sz w:val="24"/>
                <w:szCs w:val="24"/>
              </w:rPr>
              <w:t xml:space="preserve"> Building on the school’s current whole-school oracy implementation and the 2025–26 curriculum priority, staff will establish a consistent set of classroom routines for talk, vocabulary, </w:t>
            </w:r>
            <w:r>
              <w:rPr>
                <w:color w:val="000000"/>
                <w:position w:val="-3"/>
                <w:sz w:val="24"/>
                <w:szCs w:val="24"/>
              </w:rPr>
              <w:t xml:space="preserve">modelling, scaffolding, retrieval and connections between prior and new learning. These will be applied across mixed-age classes and across subjects, with particular attention to writing, reading </w:t>
            </w:r>
            <w:r>
              <w:rPr>
                <w:color w:val="000000"/>
                <w:position w:val="-3"/>
                <w:sz w:val="24"/>
                <w:szCs w:val="24"/>
              </w:rPr>
              <w:lastRenderedPageBreak/>
              <w:t>comprehension and mathematical reasoning. Staff will use sen</w:t>
            </w:r>
            <w:r>
              <w:rPr>
                <w:color w:val="000000"/>
                <w:position w:val="-3"/>
                <w:sz w:val="24"/>
                <w:szCs w:val="24"/>
              </w:rPr>
              <w:t>tence stems, structured partner talk, explicit vocabulary teaching, worked examples, visual supports, accessible technology and carefully adapted recording methods so that pupils can demonstrate understanding in different ways without reducing ambition. Le</w:t>
            </w:r>
            <w:r>
              <w:rPr>
                <w:color w:val="000000"/>
                <w:position w:val="-3"/>
                <w:sz w:val="24"/>
                <w:szCs w:val="24"/>
              </w:rPr>
              <w:t>aders will meet at least every five weeks to review implementation, use pupil voice and undertake half-termly monitoring. The SENCo will support teachers to translate specialist advice into practical classroom adaptations and to set shorter, sharper target</w:t>
            </w:r>
            <w:r>
              <w:rPr>
                <w:color w:val="000000"/>
                <w:position w:val="-3"/>
                <w:sz w:val="24"/>
                <w:szCs w:val="24"/>
              </w:rPr>
              <w:t xml:space="preserve">s for pupils with SEND. This activity is informed by the </w:t>
            </w:r>
            <w:hyperlink r:id="rId11" w:history="1">
              <w:r>
                <w:rPr>
                  <w:rStyle w:val="DefaultParagraphFontPHPDOCX"/>
                  <w:color w:val="0000CC"/>
                  <w:position w:val="-3"/>
                  <w:sz w:val="24"/>
                  <w:szCs w:val="24"/>
                  <w:u w:val="single" w:color="000000"/>
                </w:rPr>
                <w:t>Special Educational Needs in Mainstream Schools</w:t>
              </w:r>
            </w:hyperlink>
            <w:r>
              <w:rPr>
                <w:color w:val="000000"/>
                <w:position w:val="-3"/>
                <w:sz w:val="24"/>
                <w:szCs w:val="24"/>
              </w:rPr>
              <w:t xml:space="preserve"> guidance report and the </w:t>
            </w:r>
            <w:hyperlink r:id="rId12" w:history="1">
              <w:r>
                <w:rPr>
                  <w:rStyle w:val="DefaultParagraphFontPHPDOCX"/>
                  <w:color w:val="0000CC"/>
                  <w:position w:val="-3"/>
                  <w:sz w:val="24"/>
                  <w:szCs w:val="24"/>
                  <w:u w:val="single" w:color="000000"/>
                </w:rPr>
                <w:t>Resource library for educators</w:t>
              </w:r>
            </w:hyperlink>
            <w:r>
              <w:rPr>
                <w:color w:val="000000"/>
                <w:position w:val="-3"/>
                <w:sz w:val="24"/>
                <w:szCs w:val="24"/>
              </w:rPr>
              <w:t xml:space="preserve">. </w:t>
            </w:r>
            <w:r>
              <w:rPr>
                <w:b/>
                <w:bCs/>
                <w:color w:val="000000"/>
                <w:position w:val="-3"/>
                <w:sz w:val="24"/>
                <w:szCs w:val="24"/>
              </w:rPr>
              <w:t>Principles:</w:t>
            </w:r>
            <w:r>
              <w:rPr>
                <w:color w:val="000000"/>
                <w:position w:val="-3"/>
                <w:sz w:val="24"/>
                <w:szCs w:val="24"/>
              </w:rPr>
              <w:t xml:space="preserve"> 1. ambitious leadership and governance that embeds inclusion; 3. high quality adaptive teaching with curriculum designed for all </w:t>
            </w:r>
            <w:r>
              <w:rPr>
                <w:color w:val="000000"/>
                <w:position w:val="-3"/>
                <w:sz w:val="24"/>
                <w:szCs w:val="24"/>
              </w:rPr>
              <w:t xml:space="preserve">learners; 7. inclusive environments with continuous improvements to accessibility. </w:t>
            </w:r>
            <w:r>
              <w:rPr>
                <w:b/>
                <w:bCs/>
                <w:color w:val="000000"/>
                <w:position w:val="-3"/>
                <w:sz w:val="24"/>
                <w:szCs w:val="24"/>
              </w:rPr>
              <w:t>Barriers addressed: 1, 2, 4, 5</w:t>
            </w:r>
          </w:p>
        </w:tc>
        <w:tc>
          <w:tcPr>
            <w:tcW w:w="0" w:type="auto"/>
            <w:tcBorders>
              <w:top w:val="single" w:sz="5" w:space="0" w:color="000000"/>
              <w:left w:val="single" w:sz="5" w:space="0" w:color="000000"/>
              <w:bottom w:val="single" w:sz="5" w:space="0" w:color="000000"/>
              <w:right w:val="single" w:sz="5" w:space="0" w:color="000000"/>
            </w:tcBorders>
            <w:noWrap/>
            <w:tcMar>
              <w:top w:w="120" w:type="dxa"/>
              <w:left w:w="120" w:type="dxa"/>
              <w:bottom w:w="120" w:type="dxa"/>
              <w:right w:w="120" w:type="dxa"/>
            </w:tcMar>
            <w:vAlign w:val="center"/>
          </w:tcPr>
          <w:p w14:paraId="5EAF8B9A" w14:textId="77777777" w:rsidR="00AD43F0" w:rsidRDefault="008F4AE9">
            <w:r>
              <w:rPr>
                <w:color w:val="000000"/>
                <w:position w:val="-3"/>
                <w:sz w:val="24"/>
                <w:szCs w:val="24"/>
              </w:rPr>
              <w:lastRenderedPageBreak/>
              <w:t>universal</w:t>
            </w:r>
          </w:p>
        </w:tc>
        <w:tc>
          <w:tcPr>
            <w:tcW w:w="0" w:type="auto"/>
            <w:tcBorders>
              <w:top w:val="single" w:sz="5" w:space="0" w:color="000000"/>
              <w:left w:val="single" w:sz="5" w:space="0" w:color="000000"/>
              <w:bottom w:val="single" w:sz="5" w:space="0" w:color="000000"/>
              <w:right w:val="single" w:sz="5" w:space="0" w:color="000000"/>
            </w:tcBorders>
            <w:noWrap/>
            <w:tcMar>
              <w:top w:w="120" w:type="dxa"/>
              <w:left w:w="120" w:type="dxa"/>
              <w:bottom w:w="120" w:type="dxa"/>
              <w:right w:w="120" w:type="dxa"/>
            </w:tcMar>
            <w:vAlign w:val="center"/>
          </w:tcPr>
          <w:p w14:paraId="0F8B8A89" w14:textId="77777777" w:rsidR="00AD43F0" w:rsidRDefault="008F4AE9">
            <w:r>
              <w:rPr>
                <w:color w:val="000000"/>
                <w:position w:val="-3"/>
                <w:sz w:val="24"/>
                <w:szCs w:val="24"/>
              </w:rPr>
              <w:t>[School to confirm – IMF + core budget]</w:t>
            </w:r>
          </w:p>
        </w:tc>
      </w:tr>
      <w:tr w:rsidR="00AD43F0" w14:paraId="4213DCBA" w14:textId="77777777">
        <w:tc>
          <w:tcPr>
            <w:tcW w:w="0" w:type="auto"/>
            <w:tcBorders>
              <w:top w:val="single" w:sz="5" w:space="0" w:color="000000"/>
              <w:left w:val="single" w:sz="5" w:space="0" w:color="000000"/>
              <w:bottom w:val="single" w:sz="5" w:space="0" w:color="000000"/>
              <w:right w:val="single" w:sz="5" w:space="0" w:color="000000"/>
            </w:tcBorders>
            <w:noWrap/>
            <w:tcMar>
              <w:top w:w="120" w:type="dxa"/>
              <w:left w:w="120" w:type="dxa"/>
              <w:bottom w:w="120" w:type="dxa"/>
              <w:right w:w="120" w:type="dxa"/>
            </w:tcMar>
            <w:vAlign w:val="center"/>
          </w:tcPr>
          <w:p w14:paraId="13C69249" w14:textId="77777777" w:rsidR="00AD43F0" w:rsidRDefault="008F4AE9">
            <w:r>
              <w:rPr>
                <w:b/>
                <w:bCs/>
                <w:color w:val="000000"/>
                <w:position w:val="-3"/>
                <w:sz w:val="24"/>
                <w:szCs w:val="24"/>
              </w:rPr>
              <w:t>Early identification, precise targets and responsive support.</w:t>
            </w:r>
            <w:r>
              <w:rPr>
                <w:color w:val="000000"/>
                <w:position w:val="-3"/>
                <w:sz w:val="24"/>
                <w:szCs w:val="24"/>
              </w:rPr>
              <w:t xml:space="preserve"> The school will formalise a g</w:t>
            </w:r>
            <w:r>
              <w:rPr>
                <w:color w:val="000000"/>
                <w:position w:val="-3"/>
                <w:sz w:val="24"/>
                <w:szCs w:val="24"/>
              </w:rPr>
              <w:t>raduated assess–plan–do–review cycle across classrooms and interventions. Teachers, the SENCo and teaching assistants will use formative assessment, work scrutiny, pupil voice, attendance information and family feedback to identify emerging needs early. Su</w:t>
            </w:r>
            <w:r>
              <w:rPr>
                <w:color w:val="000000"/>
                <w:position w:val="-3"/>
                <w:sz w:val="24"/>
                <w:szCs w:val="24"/>
              </w:rPr>
              <w:t>pport will be linked directly to curriculum content and reviewed at agreed points, with provision adapted when it is not making sufficient difference. Building on existing RWI, Fresh Start, Lightning Squad, Chapter One, mathematics tutoring and teaching-as</w:t>
            </w:r>
            <w:r>
              <w:rPr>
                <w:color w:val="000000"/>
                <w:position w:val="-3"/>
                <w:sz w:val="24"/>
                <w:szCs w:val="24"/>
              </w:rPr>
              <w:t>sistant interventions, the school will strengthen entry and exit criteria, baseline measures, session records and impact reviews. Targeted support will include carefully selected small-group or one-to-one provision for pupils whose needs cannot be met thro</w:t>
            </w:r>
            <w:r>
              <w:rPr>
                <w:color w:val="000000"/>
                <w:position w:val="-3"/>
                <w:sz w:val="24"/>
                <w:szCs w:val="24"/>
              </w:rPr>
              <w:t xml:space="preserve">ugh the universal offer alone, including reading comprehension, writing, vocabulary, number knowledge and independence. Teaching assistants will be deployed to build independence rather than create dependency. This approach reflects DfE guidance on early, </w:t>
            </w:r>
            <w:r>
              <w:rPr>
                <w:color w:val="000000"/>
                <w:position w:val="-3"/>
                <w:sz w:val="24"/>
                <w:szCs w:val="24"/>
              </w:rPr>
              <w:t xml:space="preserve">evidence-based support and the EEF’s </w:t>
            </w:r>
            <w:hyperlink r:id="rId13" w:history="1">
              <w:r>
                <w:rPr>
                  <w:rStyle w:val="DefaultParagraphFontPHPDOCX"/>
                  <w:color w:val="0000CC"/>
                  <w:position w:val="-3"/>
                  <w:sz w:val="24"/>
                  <w:szCs w:val="24"/>
                  <w:u w:val="single" w:color="000000"/>
                </w:rPr>
                <w:t>Promising Programmes</w:t>
              </w:r>
            </w:hyperlink>
            <w:r>
              <w:rPr>
                <w:color w:val="000000"/>
                <w:position w:val="-3"/>
                <w:sz w:val="24"/>
                <w:szCs w:val="24"/>
              </w:rPr>
              <w:t xml:space="preserve">. </w:t>
            </w:r>
            <w:r>
              <w:rPr>
                <w:b/>
                <w:bCs/>
                <w:color w:val="000000"/>
                <w:position w:val="-3"/>
                <w:sz w:val="24"/>
                <w:szCs w:val="24"/>
              </w:rPr>
              <w:t>Principle:</w:t>
            </w:r>
            <w:r>
              <w:rPr>
                <w:color w:val="000000"/>
                <w:position w:val="-3"/>
                <w:sz w:val="24"/>
                <w:szCs w:val="24"/>
              </w:rPr>
              <w:t xml:space="preserve"> 2. evidence-based support prioritising early intervention. </w:t>
            </w:r>
            <w:r>
              <w:rPr>
                <w:b/>
                <w:bCs/>
                <w:color w:val="000000"/>
                <w:position w:val="-3"/>
                <w:sz w:val="24"/>
                <w:szCs w:val="24"/>
              </w:rPr>
              <w:t>Barriers addressed: 1,</w:t>
            </w:r>
            <w:r>
              <w:rPr>
                <w:b/>
                <w:bCs/>
                <w:color w:val="000000"/>
                <w:position w:val="-3"/>
                <w:sz w:val="24"/>
                <w:szCs w:val="24"/>
              </w:rPr>
              <w:t xml:space="preserve"> 2, 4, 5</w:t>
            </w:r>
          </w:p>
        </w:tc>
        <w:tc>
          <w:tcPr>
            <w:tcW w:w="0" w:type="auto"/>
            <w:tcBorders>
              <w:top w:val="single" w:sz="5" w:space="0" w:color="000000"/>
              <w:left w:val="single" w:sz="5" w:space="0" w:color="000000"/>
              <w:bottom w:val="single" w:sz="5" w:space="0" w:color="000000"/>
              <w:right w:val="single" w:sz="5" w:space="0" w:color="000000"/>
            </w:tcBorders>
            <w:noWrap/>
            <w:tcMar>
              <w:top w:w="120" w:type="dxa"/>
              <w:left w:w="120" w:type="dxa"/>
              <w:bottom w:w="120" w:type="dxa"/>
              <w:right w:w="120" w:type="dxa"/>
            </w:tcMar>
            <w:vAlign w:val="center"/>
          </w:tcPr>
          <w:p w14:paraId="43E6C42D" w14:textId="77777777" w:rsidR="00AD43F0" w:rsidRDefault="008F4AE9">
            <w:r>
              <w:rPr>
                <w:color w:val="000000"/>
                <w:position w:val="-3"/>
                <w:sz w:val="24"/>
                <w:szCs w:val="24"/>
              </w:rPr>
              <w:t>targeted</w:t>
            </w:r>
          </w:p>
        </w:tc>
        <w:tc>
          <w:tcPr>
            <w:tcW w:w="0" w:type="auto"/>
            <w:tcBorders>
              <w:top w:val="single" w:sz="5" w:space="0" w:color="000000"/>
              <w:left w:val="single" w:sz="5" w:space="0" w:color="000000"/>
              <w:bottom w:val="single" w:sz="5" w:space="0" w:color="000000"/>
              <w:right w:val="single" w:sz="5" w:space="0" w:color="000000"/>
            </w:tcBorders>
            <w:noWrap/>
            <w:tcMar>
              <w:top w:w="120" w:type="dxa"/>
              <w:left w:w="120" w:type="dxa"/>
              <w:bottom w:w="120" w:type="dxa"/>
              <w:right w:w="120" w:type="dxa"/>
            </w:tcMar>
            <w:vAlign w:val="center"/>
          </w:tcPr>
          <w:p w14:paraId="0700BB08" w14:textId="77777777" w:rsidR="00AD43F0" w:rsidRDefault="008F4AE9">
            <w:r>
              <w:rPr>
                <w:color w:val="000000"/>
                <w:position w:val="-3"/>
                <w:sz w:val="24"/>
                <w:szCs w:val="24"/>
              </w:rPr>
              <w:t>[School to confirm – IMF + core budget]</w:t>
            </w:r>
          </w:p>
        </w:tc>
      </w:tr>
      <w:tr w:rsidR="00AD43F0" w14:paraId="243263DF" w14:textId="77777777">
        <w:tc>
          <w:tcPr>
            <w:tcW w:w="0" w:type="auto"/>
            <w:tcBorders>
              <w:top w:val="single" w:sz="5" w:space="0" w:color="000000"/>
              <w:left w:val="single" w:sz="5" w:space="0" w:color="000000"/>
              <w:bottom w:val="single" w:sz="5" w:space="0" w:color="000000"/>
              <w:right w:val="single" w:sz="5" w:space="0" w:color="000000"/>
            </w:tcBorders>
            <w:noWrap/>
            <w:tcMar>
              <w:top w:w="120" w:type="dxa"/>
              <w:left w:w="120" w:type="dxa"/>
              <w:bottom w:w="120" w:type="dxa"/>
              <w:right w:w="120" w:type="dxa"/>
            </w:tcMar>
            <w:vAlign w:val="center"/>
          </w:tcPr>
          <w:p w14:paraId="0F07959A" w14:textId="77777777" w:rsidR="00AD43F0" w:rsidRDefault="008F4AE9">
            <w:r>
              <w:rPr>
                <w:b/>
                <w:bCs/>
                <w:color w:val="000000"/>
                <w:position w:val="-3"/>
                <w:sz w:val="24"/>
                <w:szCs w:val="24"/>
              </w:rPr>
              <w:t>A coherent reading, vocabulary and reading-for-pleasure culture.</w:t>
            </w:r>
            <w:r>
              <w:rPr>
                <w:color w:val="000000"/>
                <w:position w:val="-3"/>
                <w:sz w:val="24"/>
                <w:szCs w:val="24"/>
              </w:rPr>
              <w:t xml:space="preserve"> Building on existing story sacks, library and book-bus visits, reading interventions, cultural visits and planned Seven Stories visi</w:t>
            </w:r>
            <w:r>
              <w:rPr>
                <w:color w:val="000000"/>
                <w:position w:val="-3"/>
                <w:sz w:val="24"/>
                <w:szCs w:val="24"/>
              </w:rPr>
              <w:t>t, the school will develop a consistent reading-for-pleasure and comprehension pathway. Each class will provide regular opportunities for teacher read-aloud, discussion of ambitious vocabulary, book recommendation, independent choice and purposeful talk ab</w:t>
            </w:r>
            <w:r>
              <w:rPr>
                <w:color w:val="000000"/>
                <w:position w:val="-3"/>
                <w:sz w:val="24"/>
                <w:szCs w:val="24"/>
              </w:rPr>
              <w:t xml:space="preserve">out texts. Reading opportunities will be connected </w:t>
            </w:r>
            <w:r>
              <w:rPr>
                <w:color w:val="000000"/>
                <w:position w:val="-3"/>
                <w:sz w:val="24"/>
                <w:szCs w:val="24"/>
              </w:rPr>
              <w:lastRenderedPageBreak/>
              <w:t>to the wider curriculum and local context while exposing pupils to authors, cultures, places and experiences beyond Parton. Staff will monitor reading engagement and comprehension, identify pupils who need</w:t>
            </w:r>
            <w:r>
              <w:rPr>
                <w:color w:val="000000"/>
                <w:position w:val="-3"/>
                <w:sz w:val="24"/>
                <w:szCs w:val="24"/>
              </w:rPr>
              <w:t xml:space="preserve"> additional practice or pre-teaching, and ensure that targeted intervention complements rather than replaces high-quality classroom reading. Families will receive practical prompts to support talk and reading at home, including links with the school’s exis</w:t>
            </w:r>
            <w:r>
              <w:rPr>
                <w:color w:val="000000"/>
                <w:position w:val="-3"/>
                <w:sz w:val="24"/>
                <w:szCs w:val="24"/>
              </w:rPr>
              <w:t xml:space="preserve">ting sticky-question approach. The DfE identifies reading as a foundation for accessing the wider curriculum, and the </w:t>
            </w:r>
            <w:hyperlink r:id="rId14" w:history="1">
              <w:r>
                <w:rPr>
                  <w:rStyle w:val="DefaultParagraphFontPHPDOCX"/>
                  <w:color w:val="0000CC"/>
                  <w:position w:val="-3"/>
                  <w:sz w:val="24"/>
                  <w:szCs w:val="24"/>
                  <w:u w:val="single" w:color="000000"/>
                </w:rPr>
                <w:t>Inclusive mainstream fund: best practice for schools</w:t>
              </w:r>
            </w:hyperlink>
            <w:r>
              <w:rPr>
                <w:color w:val="000000"/>
                <w:position w:val="-3"/>
                <w:sz w:val="24"/>
                <w:szCs w:val="24"/>
              </w:rPr>
              <w:t xml:space="preserve"> highlights the importance of evidence-informed targeted support and rich provision for all pupils. </w:t>
            </w:r>
            <w:r>
              <w:rPr>
                <w:b/>
                <w:bCs/>
                <w:color w:val="000000"/>
                <w:position w:val="-3"/>
                <w:sz w:val="24"/>
                <w:szCs w:val="24"/>
              </w:rPr>
              <w:t>Principles:</w:t>
            </w:r>
            <w:r>
              <w:rPr>
                <w:color w:val="000000"/>
                <w:position w:val="-3"/>
                <w:sz w:val="24"/>
                <w:szCs w:val="24"/>
              </w:rPr>
              <w:t xml:space="preserve"> 2. evidence-based support prioritising early intervention; 3. high quality adaptive teaching with curriculum designed for all learners; 6. strong partnerships with families and wider services. </w:t>
            </w:r>
            <w:r>
              <w:rPr>
                <w:b/>
                <w:bCs/>
                <w:color w:val="000000"/>
                <w:position w:val="-3"/>
                <w:sz w:val="24"/>
                <w:szCs w:val="24"/>
              </w:rPr>
              <w:t>Barriers addressed: 3, 4, 5</w:t>
            </w:r>
          </w:p>
        </w:tc>
        <w:tc>
          <w:tcPr>
            <w:tcW w:w="0" w:type="auto"/>
            <w:tcBorders>
              <w:top w:val="single" w:sz="5" w:space="0" w:color="000000"/>
              <w:left w:val="single" w:sz="5" w:space="0" w:color="000000"/>
              <w:bottom w:val="single" w:sz="5" w:space="0" w:color="000000"/>
              <w:right w:val="single" w:sz="5" w:space="0" w:color="000000"/>
            </w:tcBorders>
            <w:noWrap/>
            <w:tcMar>
              <w:top w:w="120" w:type="dxa"/>
              <w:left w:w="120" w:type="dxa"/>
              <w:bottom w:w="120" w:type="dxa"/>
              <w:right w:w="120" w:type="dxa"/>
            </w:tcMar>
            <w:vAlign w:val="center"/>
          </w:tcPr>
          <w:p w14:paraId="3102FA1B" w14:textId="77777777" w:rsidR="00AD43F0" w:rsidRDefault="008F4AE9">
            <w:r>
              <w:rPr>
                <w:color w:val="000000"/>
                <w:position w:val="-3"/>
                <w:sz w:val="24"/>
                <w:szCs w:val="24"/>
              </w:rPr>
              <w:lastRenderedPageBreak/>
              <w:t>universal</w:t>
            </w:r>
          </w:p>
        </w:tc>
        <w:tc>
          <w:tcPr>
            <w:tcW w:w="0" w:type="auto"/>
            <w:tcBorders>
              <w:top w:val="single" w:sz="5" w:space="0" w:color="000000"/>
              <w:left w:val="single" w:sz="5" w:space="0" w:color="000000"/>
              <w:bottom w:val="single" w:sz="5" w:space="0" w:color="000000"/>
              <w:right w:val="single" w:sz="5" w:space="0" w:color="000000"/>
            </w:tcBorders>
            <w:noWrap/>
            <w:tcMar>
              <w:top w:w="120" w:type="dxa"/>
              <w:left w:w="120" w:type="dxa"/>
              <w:bottom w:w="120" w:type="dxa"/>
              <w:right w:w="120" w:type="dxa"/>
            </w:tcMar>
            <w:vAlign w:val="center"/>
          </w:tcPr>
          <w:p w14:paraId="5A41AA62" w14:textId="77777777" w:rsidR="00AD43F0" w:rsidRDefault="008F4AE9">
            <w:r>
              <w:rPr>
                <w:color w:val="000000"/>
                <w:position w:val="-3"/>
                <w:sz w:val="24"/>
                <w:szCs w:val="24"/>
              </w:rPr>
              <w:t>[School to confirm – IMF</w:t>
            </w:r>
            <w:r>
              <w:rPr>
                <w:color w:val="000000"/>
                <w:position w:val="-3"/>
                <w:sz w:val="24"/>
                <w:szCs w:val="24"/>
              </w:rPr>
              <w:t xml:space="preserve"> + core budget]</w:t>
            </w:r>
          </w:p>
        </w:tc>
      </w:tr>
      <w:tr w:rsidR="00AD43F0" w14:paraId="19309F3F" w14:textId="77777777">
        <w:tc>
          <w:tcPr>
            <w:tcW w:w="0" w:type="auto"/>
            <w:tcBorders>
              <w:top w:val="single" w:sz="5" w:space="0" w:color="000000"/>
              <w:left w:val="single" w:sz="5" w:space="0" w:color="000000"/>
              <w:bottom w:val="single" w:sz="5" w:space="0" w:color="000000"/>
              <w:right w:val="single" w:sz="5" w:space="0" w:color="000000"/>
            </w:tcBorders>
            <w:noWrap/>
            <w:tcMar>
              <w:top w:w="120" w:type="dxa"/>
              <w:left w:w="120" w:type="dxa"/>
              <w:bottom w:w="120" w:type="dxa"/>
              <w:right w:w="120" w:type="dxa"/>
            </w:tcMar>
            <w:vAlign w:val="center"/>
          </w:tcPr>
          <w:p w14:paraId="3C2E1590" w14:textId="77777777" w:rsidR="00AD43F0" w:rsidRDefault="008F4AE9">
            <w:r>
              <w:rPr>
                <w:b/>
                <w:bCs/>
                <w:color w:val="000000"/>
                <w:position w:val="-3"/>
                <w:sz w:val="24"/>
                <w:szCs w:val="24"/>
              </w:rPr>
              <w:t>Access, confidence and participation in enrichment.</w:t>
            </w:r>
            <w:r>
              <w:rPr>
                <w:color w:val="000000"/>
                <w:position w:val="-3"/>
                <w:sz w:val="24"/>
                <w:szCs w:val="24"/>
              </w:rPr>
              <w:t xml:space="preserve"> Building on the school’s existing cultural workshops, cultural visits, subsidised trips, targeted trips, after-school club subsidies and use of the village and church halls, the school wi</w:t>
            </w:r>
            <w:r>
              <w:rPr>
                <w:color w:val="000000"/>
                <w:position w:val="-3"/>
                <w:sz w:val="24"/>
                <w:szCs w:val="24"/>
              </w:rPr>
              <w:t>ll create an annual inclusion and participation check for enrichment. Leaders will map opportunities across the curriculum and wider school life, identify pupils who may be excluded by cost, confidence, disability, communication, sensory, social or practic</w:t>
            </w:r>
            <w:r>
              <w:rPr>
                <w:color w:val="000000"/>
                <w:position w:val="-3"/>
                <w:sz w:val="24"/>
                <w:szCs w:val="24"/>
              </w:rPr>
              <w:t>al barriers, and plan reasonable adjustments in advance. These may include preparation visits, visual information, pre-teaching vocabulary, social narratives, adapted transport or staffing, quieter arrangements and supported entry to clubs and events. Pupi</w:t>
            </w:r>
            <w:r>
              <w:rPr>
                <w:color w:val="000000"/>
                <w:position w:val="-3"/>
                <w:sz w:val="24"/>
                <w:szCs w:val="24"/>
              </w:rPr>
              <w:t>l voice will inform the programme, with opportunities connected to the school’s coastal, village, church and wider Cumbrian context, including libraries, theatre, museums, sport, debate, careers and outdoor learning. Participation will be tracked so that a</w:t>
            </w:r>
            <w:r>
              <w:rPr>
                <w:color w:val="000000"/>
                <w:position w:val="-3"/>
                <w:sz w:val="24"/>
                <w:szCs w:val="24"/>
              </w:rPr>
              <w:t xml:space="preserve">ccess is equitable rather than assumed. This is consistent with the DfE expectation that all pupils should be able to participate in trips, clubs and wider opportunities; see </w:t>
            </w:r>
            <w:hyperlink r:id="rId15" w:history="1">
              <w:r>
                <w:rPr>
                  <w:rStyle w:val="DefaultParagraphFontPHPDOCX"/>
                  <w:color w:val="0000CC"/>
                  <w:position w:val="-3"/>
                  <w:sz w:val="24"/>
                  <w:szCs w:val="24"/>
                  <w:u w:val="single" w:color="000000"/>
                </w:rPr>
                <w:t>Inclusive mainstream fund: best practice for schools</w:t>
              </w:r>
            </w:hyperlink>
            <w:r>
              <w:rPr>
                <w:color w:val="000000"/>
                <w:position w:val="-3"/>
                <w:sz w:val="24"/>
                <w:szCs w:val="24"/>
              </w:rPr>
              <w:t xml:space="preserve">. </w:t>
            </w:r>
            <w:r>
              <w:rPr>
                <w:b/>
                <w:bCs/>
                <w:color w:val="000000"/>
                <w:position w:val="-3"/>
                <w:sz w:val="24"/>
                <w:szCs w:val="24"/>
              </w:rPr>
              <w:t>Principle:</w:t>
            </w:r>
            <w:r>
              <w:rPr>
                <w:color w:val="000000"/>
                <w:position w:val="-3"/>
                <w:sz w:val="24"/>
                <w:szCs w:val="24"/>
              </w:rPr>
              <w:t xml:space="preserve"> 4. enriching provision beyond the classroom that all children can access. </w:t>
            </w:r>
            <w:r>
              <w:rPr>
                <w:b/>
                <w:bCs/>
                <w:color w:val="000000"/>
                <w:position w:val="-3"/>
                <w:sz w:val="24"/>
                <w:szCs w:val="24"/>
              </w:rPr>
              <w:t>Barriers addressed: 2, 3</w:t>
            </w:r>
          </w:p>
        </w:tc>
        <w:tc>
          <w:tcPr>
            <w:tcW w:w="0" w:type="auto"/>
            <w:tcBorders>
              <w:top w:val="single" w:sz="5" w:space="0" w:color="000000"/>
              <w:left w:val="single" w:sz="5" w:space="0" w:color="000000"/>
              <w:bottom w:val="single" w:sz="5" w:space="0" w:color="000000"/>
              <w:right w:val="single" w:sz="5" w:space="0" w:color="000000"/>
            </w:tcBorders>
            <w:noWrap/>
            <w:tcMar>
              <w:top w:w="120" w:type="dxa"/>
              <w:left w:w="120" w:type="dxa"/>
              <w:bottom w:w="120" w:type="dxa"/>
              <w:right w:w="120" w:type="dxa"/>
            </w:tcMar>
            <w:vAlign w:val="center"/>
          </w:tcPr>
          <w:p w14:paraId="4EFE0DF4" w14:textId="77777777" w:rsidR="00AD43F0" w:rsidRDefault="008F4AE9">
            <w:r>
              <w:rPr>
                <w:color w:val="000000"/>
                <w:position w:val="-3"/>
                <w:sz w:val="24"/>
                <w:szCs w:val="24"/>
              </w:rPr>
              <w:t>universal</w:t>
            </w:r>
          </w:p>
        </w:tc>
        <w:tc>
          <w:tcPr>
            <w:tcW w:w="0" w:type="auto"/>
            <w:tcBorders>
              <w:top w:val="single" w:sz="5" w:space="0" w:color="000000"/>
              <w:left w:val="single" w:sz="5" w:space="0" w:color="000000"/>
              <w:bottom w:val="single" w:sz="5" w:space="0" w:color="000000"/>
              <w:right w:val="single" w:sz="5" w:space="0" w:color="000000"/>
            </w:tcBorders>
            <w:noWrap/>
            <w:tcMar>
              <w:top w:w="120" w:type="dxa"/>
              <w:left w:w="120" w:type="dxa"/>
              <w:bottom w:w="120" w:type="dxa"/>
              <w:right w:w="120" w:type="dxa"/>
            </w:tcMar>
            <w:vAlign w:val="center"/>
          </w:tcPr>
          <w:p w14:paraId="036A1EEA" w14:textId="77777777" w:rsidR="00AD43F0" w:rsidRDefault="008F4AE9">
            <w:r>
              <w:rPr>
                <w:color w:val="000000"/>
                <w:position w:val="-3"/>
                <w:sz w:val="24"/>
                <w:szCs w:val="24"/>
              </w:rPr>
              <w:t>[School to confirm – IMF + core budget]</w:t>
            </w:r>
          </w:p>
        </w:tc>
      </w:tr>
      <w:tr w:rsidR="00AD43F0" w14:paraId="10EC1075" w14:textId="77777777">
        <w:tc>
          <w:tcPr>
            <w:tcW w:w="0" w:type="auto"/>
            <w:tcBorders>
              <w:top w:val="single" w:sz="5" w:space="0" w:color="000000"/>
              <w:left w:val="single" w:sz="5" w:space="0" w:color="000000"/>
              <w:bottom w:val="single" w:sz="5" w:space="0" w:color="000000"/>
              <w:right w:val="single" w:sz="5" w:space="0" w:color="000000"/>
            </w:tcBorders>
            <w:noWrap/>
            <w:tcMar>
              <w:top w:w="120" w:type="dxa"/>
              <w:left w:w="120" w:type="dxa"/>
              <w:bottom w:w="120" w:type="dxa"/>
              <w:right w:w="120" w:type="dxa"/>
            </w:tcMar>
            <w:vAlign w:val="center"/>
          </w:tcPr>
          <w:p w14:paraId="7959FC1D" w14:textId="77777777" w:rsidR="00AD43F0" w:rsidRDefault="008F4AE9">
            <w:r>
              <w:rPr>
                <w:b/>
                <w:bCs/>
                <w:color w:val="000000"/>
                <w:position w:val="-3"/>
                <w:sz w:val="24"/>
                <w:szCs w:val="24"/>
              </w:rPr>
              <w:t>Belonging, attendance and participation support.</w:t>
            </w:r>
            <w:r>
              <w:rPr>
                <w:color w:val="000000"/>
                <w:position w:val="-3"/>
                <w:sz w:val="24"/>
                <w:szCs w:val="24"/>
              </w:rPr>
              <w:t xml:space="preserve"> Building on Study Bugs, individual attendance meetings, existing pastoral support and support for pupils to socialise at playtimes, the school will strengthen a supp</w:t>
            </w:r>
            <w:r>
              <w:rPr>
                <w:color w:val="000000"/>
                <w:position w:val="-3"/>
                <w:sz w:val="24"/>
                <w:szCs w:val="24"/>
              </w:rPr>
              <w:t>ort-first approach to attendance, wellbeing and engagement. Leaders will review attendance patterns at least half-termly, including persistent absence and the attendance of pupils with SEND and disadvantaged pupils. For pupils showing early signs of withdr</w:t>
            </w:r>
            <w:r>
              <w:rPr>
                <w:color w:val="000000"/>
                <w:position w:val="-3"/>
                <w:sz w:val="24"/>
                <w:szCs w:val="24"/>
              </w:rPr>
              <w:t xml:space="preserve">awal, anxiety, social difficulty or reduced participation, the school will agree a short individual plan with the pupil and family. </w:t>
            </w:r>
            <w:r>
              <w:rPr>
                <w:color w:val="000000"/>
                <w:position w:val="-3"/>
                <w:sz w:val="24"/>
                <w:szCs w:val="24"/>
              </w:rPr>
              <w:lastRenderedPageBreak/>
              <w:t>Plans may include a trusted adult, structured lunchtime activities, supported play, predictable routines, check-ins, graduat</w:t>
            </w:r>
            <w:r>
              <w:rPr>
                <w:color w:val="000000"/>
                <w:position w:val="-3"/>
                <w:sz w:val="24"/>
                <w:szCs w:val="24"/>
              </w:rPr>
              <w:t>ed reintegration after absence, emotional-regulation strategies and adaptations to reduce avoidable barriers. Pupil voice will be used to review whether pupils feel safe, welcome and able to participate. The school will work with the local authority and re</w:t>
            </w:r>
            <w:r>
              <w:rPr>
                <w:color w:val="000000"/>
                <w:position w:val="-3"/>
                <w:sz w:val="24"/>
                <w:szCs w:val="24"/>
              </w:rPr>
              <w:t xml:space="preserve">levant professionals where wider support is needed. The approach is informed by the </w:t>
            </w:r>
            <w:hyperlink r:id="rId16" w:history="1">
              <w:r>
                <w:rPr>
                  <w:rStyle w:val="DefaultParagraphFontPHPDOCX"/>
                  <w:color w:val="0000CC"/>
                  <w:position w:val="-3"/>
                  <w:sz w:val="24"/>
                  <w:szCs w:val="24"/>
                  <w:u w:val="single" w:color="000000"/>
                </w:rPr>
                <w:t>Attendance toolkit for schools</w:t>
              </w:r>
            </w:hyperlink>
            <w:r>
              <w:rPr>
                <w:color w:val="000000"/>
                <w:position w:val="-3"/>
                <w:sz w:val="24"/>
                <w:szCs w:val="24"/>
              </w:rPr>
              <w:t xml:space="preserve"> and </w:t>
            </w:r>
            <w:hyperlink r:id="rId17" w:history="1">
              <w:r>
                <w:rPr>
                  <w:rStyle w:val="DefaultParagraphFontPHPDOCX"/>
                  <w:color w:val="0000CC"/>
                  <w:position w:val="-3"/>
                  <w:sz w:val="24"/>
                  <w:szCs w:val="24"/>
                  <w:u w:val="single" w:color="000000"/>
                </w:rPr>
                <w:t>Targeted support</w:t>
              </w:r>
            </w:hyperlink>
            <w:r>
              <w:rPr>
                <w:color w:val="000000"/>
                <w:position w:val="-3"/>
                <w:sz w:val="24"/>
                <w:szCs w:val="24"/>
              </w:rPr>
              <w:t xml:space="preserve">. </w:t>
            </w:r>
            <w:r>
              <w:rPr>
                <w:b/>
                <w:bCs/>
                <w:color w:val="000000"/>
                <w:position w:val="-3"/>
                <w:sz w:val="24"/>
                <w:szCs w:val="24"/>
              </w:rPr>
              <w:t>Principle:</w:t>
            </w:r>
            <w:r>
              <w:rPr>
                <w:color w:val="000000"/>
                <w:position w:val="-3"/>
                <w:sz w:val="24"/>
                <w:szCs w:val="24"/>
              </w:rPr>
              <w:t xml:space="preserve"> 5. a safe and respectful culture fostering belonging, attendance, and participation in learning. </w:t>
            </w:r>
            <w:r>
              <w:rPr>
                <w:b/>
                <w:bCs/>
                <w:color w:val="000000"/>
                <w:position w:val="-3"/>
                <w:sz w:val="24"/>
                <w:szCs w:val="24"/>
              </w:rPr>
              <w:t>Barriers addressed: 1, 2</w:t>
            </w:r>
          </w:p>
        </w:tc>
        <w:tc>
          <w:tcPr>
            <w:tcW w:w="0" w:type="auto"/>
            <w:tcBorders>
              <w:top w:val="single" w:sz="5" w:space="0" w:color="000000"/>
              <w:left w:val="single" w:sz="5" w:space="0" w:color="000000"/>
              <w:bottom w:val="single" w:sz="5" w:space="0" w:color="000000"/>
              <w:right w:val="single" w:sz="5" w:space="0" w:color="000000"/>
            </w:tcBorders>
            <w:noWrap/>
            <w:tcMar>
              <w:top w:w="120" w:type="dxa"/>
              <w:left w:w="120" w:type="dxa"/>
              <w:bottom w:w="120" w:type="dxa"/>
              <w:right w:w="120" w:type="dxa"/>
            </w:tcMar>
            <w:vAlign w:val="center"/>
          </w:tcPr>
          <w:p w14:paraId="0C29E8A3" w14:textId="77777777" w:rsidR="00AD43F0" w:rsidRDefault="008F4AE9">
            <w:r>
              <w:rPr>
                <w:color w:val="000000"/>
                <w:position w:val="-3"/>
                <w:sz w:val="24"/>
                <w:szCs w:val="24"/>
              </w:rPr>
              <w:lastRenderedPageBreak/>
              <w:t>targeted</w:t>
            </w:r>
          </w:p>
        </w:tc>
        <w:tc>
          <w:tcPr>
            <w:tcW w:w="0" w:type="auto"/>
            <w:tcBorders>
              <w:top w:val="single" w:sz="5" w:space="0" w:color="000000"/>
              <w:left w:val="single" w:sz="5" w:space="0" w:color="000000"/>
              <w:bottom w:val="single" w:sz="5" w:space="0" w:color="000000"/>
              <w:right w:val="single" w:sz="5" w:space="0" w:color="000000"/>
            </w:tcBorders>
            <w:noWrap/>
            <w:tcMar>
              <w:top w:w="120" w:type="dxa"/>
              <w:left w:w="120" w:type="dxa"/>
              <w:bottom w:w="120" w:type="dxa"/>
              <w:right w:w="120" w:type="dxa"/>
            </w:tcMar>
            <w:vAlign w:val="center"/>
          </w:tcPr>
          <w:p w14:paraId="3ECE71AF" w14:textId="77777777" w:rsidR="00AD43F0" w:rsidRDefault="008F4AE9">
            <w:r>
              <w:rPr>
                <w:color w:val="000000"/>
                <w:position w:val="-3"/>
                <w:sz w:val="24"/>
                <w:szCs w:val="24"/>
              </w:rPr>
              <w:t>[School to confirm – IMF + core budget]</w:t>
            </w:r>
          </w:p>
        </w:tc>
      </w:tr>
      <w:tr w:rsidR="00AD43F0" w14:paraId="209239B8" w14:textId="77777777">
        <w:tc>
          <w:tcPr>
            <w:tcW w:w="0" w:type="auto"/>
            <w:tcBorders>
              <w:top w:val="single" w:sz="5" w:space="0" w:color="000000"/>
              <w:left w:val="single" w:sz="5" w:space="0" w:color="000000"/>
              <w:bottom w:val="single" w:sz="5" w:space="0" w:color="000000"/>
              <w:right w:val="single" w:sz="5" w:space="0" w:color="000000"/>
            </w:tcBorders>
            <w:noWrap/>
            <w:tcMar>
              <w:top w:w="120" w:type="dxa"/>
              <w:left w:w="120" w:type="dxa"/>
              <w:bottom w:w="120" w:type="dxa"/>
              <w:right w:w="120" w:type="dxa"/>
            </w:tcMar>
            <w:vAlign w:val="center"/>
          </w:tcPr>
          <w:p w14:paraId="4B400FBA" w14:textId="77777777" w:rsidR="00AD43F0" w:rsidRDefault="008F4AE9">
            <w:r>
              <w:rPr>
                <w:b/>
                <w:bCs/>
                <w:color w:val="000000"/>
                <w:position w:val="-3"/>
                <w:sz w:val="24"/>
                <w:szCs w:val="24"/>
              </w:rPr>
              <w:t>Family and community partnership for inclusion.</w:t>
            </w:r>
            <w:r>
              <w:rPr>
                <w:color w:val="000000"/>
                <w:position w:val="-3"/>
                <w:sz w:val="24"/>
                <w:szCs w:val="24"/>
              </w:rPr>
              <w:t xml:space="preserve"> The school will build on existing talk-at-home opportunities, sticky questions, communication with parents and carers, cultural workshops, church and community links, and collaboration with external speciali</w:t>
            </w:r>
            <w:r>
              <w:rPr>
                <w:color w:val="000000"/>
                <w:position w:val="-3"/>
                <w:sz w:val="24"/>
                <w:szCs w:val="24"/>
              </w:rPr>
              <w:t>sts. Families will be given accessible information about how to support reading, vocabulary, oracy, confidence, attendance and preparation for unfamiliar experiences. The school will offer opportunities for families to share information about pupils’ stren</w:t>
            </w:r>
            <w:r>
              <w:rPr>
                <w:color w:val="000000"/>
                <w:position w:val="-3"/>
                <w:sz w:val="24"/>
                <w:szCs w:val="24"/>
              </w:rPr>
              <w:t>gths, needs, interests, culture, language and successful strategies at home. The SENCo and class teachers will ensure that advice from external professionals is communicated clearly and translated into consistent practice. Governors will receive termly upd</w:t>
            </w:r>
            <w:r>
              <w:rPr>
                <w:color w:val="000000"/>
                <w:position w:val="-3"/>
                <w:sz w:val="24"/>
                <w:szCs w:val="24"/>
              </w:rPr>
              <w:t xml:space="preserve">ates on implementation, participation and outcomes, while the school will seek feedback from families, pupils and community partners when reviewing the strategy. This reflects the DfE’s emphasis on shared responsibility and meaningful partnership; see </w:t>
            </w:r>
            <w:hyperlink r:id="rId18" w:history="1">
              <w:r>
                <w:rPr>
                  <w:rStyle w:val="DefaultParagraphFontPHPDOCX"/>
                  <w:color w:val="0000CC"/>
                  <w:position w:val="-3"/>
                  <w:sz w:val="24"/>
                  <w:szCs w:val="24"/>
                  <w:u w:val="single" w:color="000000"/>
                </w:rPr>
                <w:t>Inclusive mainstream fund: best practice for schools</w:t>
              </w:r>
            </w:hyperlink>
            <w:r>
              <w:rPr>
                <w:color w:val="000000"/>
                <w:position w:val="-3"/>
                <w:sz w:val="24"/>
                <w:szCs w:val="24"/>
              </w:rPr>
              <w:t xml:space="preserve">. </w:t>
            </w:r>
            <w:r>
              <w:rPr>
                <w:b/>
                <w:bCs/>
                <w:color w:val="000000"/>
                <w:position w:val="-3"/>
                <w:sz w:val="24"/>
                <w:szCs w:val="24"/>
              </w:rPr>
              <w:t>Principle:</w:t>
            </w:r>
            <w:r>
              <w:rPr>
                <w:color w:val="000000"/>
                <w:position w:val="-3"/>
                <w:sz w:val="24"/>
                <w:szCs w:val="24"/>
              </w:rPr>
              <w:t xml:space="preserve"> 6. strong partnerships with fam</w:t>
            </w:r>
            <w:r>
              <w:rPr>
                <w:color w:val="000000"/>
                <w:position w:val="-3"/>
                <w:sz w:val="24"/>
                <w:szCs w:val="24"/>
              </w:rPr>
              <w:t xml:space="preserve">ilies and wider services. </w:t>
            </w:r>
            <w:r>
              <w:rPr>
                <w:b/>
                <w:bCs/>
                <w:color w:val="000000"/>
                <w:position w:val="-3"/>
                <w:sz w:val="24"/>
                <w:szCs w:val="24"/>
              </w:rPr>
              <w:t>Barriers addressed: 2, 3, 4, 5</w:t>
            </w:r>
          </w:p>
        </w:tc>
        <w:tc>
          <w:tcPr>
            <w:tcW w:w="0" w:type="auto"/>
            <w:tcBorders>
              <w:top w:val="single" w:sz="5" w:space="0" w:color="000000"/>
              <w:left w:val="single" w:sz="5" w:space="0" w:color="000000"/>
              <w:bottom w:val="single" w:sz="5" w:space="0" w:color="000000"/>
              <w:right w:val="single" w:sz="5" w:space="0" w:color="000000"/>
            </w:tcBorders>
            <w:noWrap/>
            <w:tcMar>
              <w:top w:w="120" w:type="dxa"/>
              <w:left w:w="120" w:type="dxa"/>
              <w:bottom w:w="120" w:type="dxa"/>
              <w:right w:w="120" w:type="dxa"/>
            </w:tcMar>
            <w:vAlign w:val="center"/>
          </w:tcPr>
          <w:p w14:paraId="73A82763" w14:textId="77777777" w:rsidR="00AD43F0" w:rsidRDefault="008F4AE9">
            <w:r>
              <w:rPr>
                <w:color w:val="000000"/>
                <w:position w:val="-3"/>
                <w:sz w:val="24"/>
                <w:szCs w:val="24"/>
              </w:rPr>
              <w:t>universal</w:t>
            </w:r>
          </w:p>
        </w:tc>
        <w:tc>
          <w:tcPr>
            <w:tcW w:w="0" w:type="auto"/>
            <w:tcBorders>
              <w:top w:val="single" w:sz="5" w:space="0" w:color="000000"/>
              <w:left w:val="single" w:sz="5" w:space="0" w:color="000000"/>
              <w:bottom w:val="single" w:sz="5" w:space="0" w:color="000000"/>
              <w:right w:val="single" w:sz="5" w:space="0" w:color="000000"/>
            </w:tcBorders>
            <w:noWrap/>
            <w:tcMar>
              <w:top w:w="120" w:type="dxa"/>
              <w:left w:w="120" w:type="dxa"/>
              <w:bottom w:w="120" w:type="dxa"/>
              <w:right w:w="120" w:type="dxa"/>
            </w:tcMar>
            <w:vAlign w:val="center"/>
          </w:tcPr>
          <w:p w14:paraId="14FBF27C" w14:textId="77777777" w:rsidR="00AD43F0" w:rsidRDefault="008F4AE9">
            <w:r>
              <w:rPr>
                <w:color w:val="000000"/>
                <w:position w:val="-3"/>
                <w:sz w:val="24"/>
                <w:szCs w:val="24"/>
              </w:rPr>
              <w:t>[School to confirm – IMF + core budget]</w:t>
            </w:r>
          </w:p>
        </w:tc>
      </w:tr>
    </w:tbl>
    <w:p w14:paraId="24BD03F0" w14:textId="77777777" w:rsidR="00AD43F0" w:rsidRDefault="008F4AE9">
      <w:pPr>
        <w:spacing w:before="299" w:after="299"/>
        <w:outlineLvl w:val="1"/>
      </w:pPr>
      <w:r>
        <w:rPr>
          <w:b/>
          <w:bCs/>
          <w:color w:val="000000"/>
          <w:sz w:val="36"/>
          <w:szCs w:val="36"/>
        </w:rPr>
        <w:t>4. Intended Outcomes</w:t>
      </w:r>
    </w:p>
    <w:p w14:paraId="024CDB98" w14:textId="77777777" w:rsidR="00AD43F0" w:rsidRDefault="008F4AE9">
      <w:pPr>
        <w:spacing w:before="240" w:after="240"/>
      </w:pPr>
      <w:r>
        <w:rPr>
          <w:color w:val="000000"/>
          <w:sz w:val="24"/>
          <w:szCs w:val="24"/>
        </w:rPr>
        <w:t>This explains the clear, realistic outcomes we want our inclusive approaches to achieve by the end of our inclusion strategy, a</w:t>
      </w:r>
      <w:r>
        <w:rPr>
          <w:color w:val="000000"/>
          <w:sz w:val="24"/>
          <w:szCs w:val="24"/>
        </w:rPr>
        <w:t>nd how we will measure whether they have been achieved.</w:t>
      </w:r>
    </w:p>
    <w:tbl>
      <w:tblPr>
        <w:tblStyle w:val="NormalTablePHPDOCX"/>
        <w:tblW w:w="5000" w:type="pct"/>
        <w:tblBorders>
          <w:top w:val="single" w:sz="5" w:space="0" w:color="000000"/>
          <w:left w:val="single" w:sz="5" w:space="0" w:color="000000"/>
          <w:bottom w:val="single" w:sz="5" w:space="0" w:color="000000"/>
          <w:right w:val="single" w:sz="5" w:space="0" w:color="000000"/>
        </w:tblBorders>
        <w:tblCellMar>
          <w:left w:w="0" w:type="dxa"/>
          <w:right w:w="0" w:type="dxa"/>
        </w:tblCellMar>
        <w:tblLook w:val="04A0" w:firstRow="1" w:lastRow="0" w:firstColumn="1" w:lastColumn="0" w:noHBand="0" w:noVBand="1"/>
      </w:tblPr>
      <w:tblGrid>
        <w:gridCol w:w="3027"/>
        <w:gridCol w:w="6321"/>
      </w:tblGrid>
      <w:tr w:rsidR="00AD43F0" w14:paraId="653C5114" w14:textId="77777777">
        <w:tc>
          <w:tcPr>
            <w:tcW w:w="0" w:type="auto"/>
            <w:tcBorders>
              <w:top w:val="single" w:sz="5" w:space="0" w:color="000000"/>
              <w:left w:val="single" w:sz="5" w:space="0" w:color="000000"/>
              <w:bottom w:val="single" w:sz="5" w:space="0" w:color="000000"/>
              <w:right w:val="single" w:sz="5" w:space="0" w:color="000000"/>
            </w:tcBorders>
            <w:noWrap/>
            <w:tcMar>
              <w:top w:w="120" w:type="dxa"/>
              <w:left w:w="120" w:type="dxa"/>
              <w:bottom w:w="120" w:type="dxa"/>
              <w:right w:w="120" w:type="dxa"/>
            </w:tcMar>
            <w:vAlign w:val="center"/>
          </w:tcPr>
          <w:p w14:paraId="5990FBAF" w14:textId="77777777" w:rsidR="00AD43F0" w:rsidRDefault="008F4AE9">
            <w:pPr>
              <w:jc w:val="center"/>
            </w:pPr>
            <w:r>
              <w:rPr>
                <w:b/>
                <w:bCs/>
                <w:color w:val="000000"/>
                <w:position w:val="-3"/>
                <w:sz w:val="24"/>
                <w:szCs w:val="24"/>
              </w:rPr>
              <w:t>Intended outcome</w:t>
            </w:r>
          </w:p>
        </w:tc>
        <w:tc>
          <w:tcPr>
            <w:tcW w:w="0" w:type="auto"/>
            <w:tcBorders>
              <w:top w:val="single" w:sz="5" w:space="0" w:color="000000"/>
              <w:left w:val="single" w:sz="5" w:space="0" w:color="000000"/>
              <w:bottom w:val="single" w:sz="5" w:space="0" w:color="000000"/>
              <w:right w:val="single" w:sz="5" w:space="0" w:color="000000"/>
            </w:tcBorders>
            <w:noWrap/>
            <w:tcMar>
              <w:top w:w="120" w:type="dxa"/>
              <w:left w:w="120" w:type="dxa"/>
              <w:bottom w:w="120" w:type="dxa"/>
              <w:right w:w="120" w:type="dxa"/>
            </w:tcMar>
            <w:vAlign w:val="center"/>
          </w:tcPr>
          <w:p w14:paraId="2A143B86" w14:textId="77777777" w:rsidR="00AD43F0" w:rsidRDefault="008F4AE9">
            <w:pPr>
              <w:jc w:val="center"/>
            </w:pPr>
            <w:r>
              <w:rPr>
                <w:b/>
                <w:bCs/>
                <w:color w:val="000000"/>
                <w:position w:val="-3"/>
                <w:sz w:val="24"/>
                <w:szCs w:val="24"/>
              </w:rPr>
              <w:t>Success criteria</w:t>
            </w:r>
          </w:p>
        </w:tc>
      </w:tr>
      <w:tr w:rsidR="00AD43F0" w14:paraId="268DF58A" w14:textId="77777777">
        <w:tc>
          <w:tcPr>
            <w:tcW w:w="0" w:type="auto"/>
            <w:tcBorders>
              <w:top w:val="single" w:sz="5" w:space="0" w:color="000000"/>
              <w:left w:val="single" w:sz="5" w:space="0" w:color="000000"/>
              <w:bottom w:val="single" w:sz="5" w:space="0" w:color="000000"/>
              <w:right w:val="single" w:sz="5" w:space="0" w:color="000000"/>
            </w:tcBorders>
            <w:noWrap/>
            <w:tcMar>
              <w:top w:w="120" w:type="dxa"/>
              <w:left w:w="120" w:type="dxa"/>
              <w:bottom w:w="120" w:type="dxa"/>
              <w:right w:w="120" w:type="dxa"/>
            </w:tcMar>
            <w:vAlign w:val="center"/>
          </w:tcPr>
          <w:p w14:paraId="55FF5E75" w14:textId="77777777" w:rsidR="00AD43F0" w:rsidRDefault="008F4AE9">
            <w:r>
              <w:rPr>
                <w:color w:val="000000"/>
                <w:position w:val="-3"/>
                <w:sz w:val="24"/>
                <w:szCs w:val="24"/>
              </w:rPr>
              <w:t>Pupils become more independent and resilient learners who are willing to have a go, use strategies and respond positively to challenge.</w:t>
            </w:r>
          </w:p>
        </w:tc>
        <w:tc>
          <w:tcPr>
            <w:tcW w:w="0" w:type="auto"/>
            <w:tcBorders>
              <w:top w:val="single" w:sz="5" w:space="0" w:color="000000"/>
              <w:left w:val="single" w:sz="5" w:space="0" w:color="000000"/>
              <w:bottom w:val="single" w:sz="5" w:space="0" w:color="000000"/>
              <w:right w:val="single" w:sz="5" w:space="0" w:color="000000"/>
            </w:tcBorders>
            <w:noWrap/>
            <w:tcMar>
              <w:top w:w="120" w:type="dxa"/>
              <w:left w:w="120" w:type="dxa"/>
              <w:bottom w:w="120" w:type="dxa"/>
              <w:right w:w="120" w:type="dxa"/>
            </w:tcMar>
            <w:vAlign w:val="center"/>
          </w:tcPr>
          <w:p w14:paraId="40D78173" w14:textId="77777777" w:rsidR="00AD43F0" w:rsidRDefault="008F4AE9">
            <w:r>
              <w:rPr>
                <w:color w:val="000000"/>
                <w:position w:val="-3"/>
                <w:sz w:val="24"/>
                <w:szCs w:val="24"/>
              </w:rPr>
              <w:t>Lesson observations, work scrutiny and pupil voice show increased use of taught strategies, reduced reliance on adult prompting and greater willingness to attempt unfamiliar tasks. Teachers’ assessment records show improved progress for pupils identified w</w:t>
            </w:r>
            <w:r>
              <w:rPr>
                <w:color w:val="000000"/>
                <w:position w:val="-3"/>
                <w:sz w:val="24"/>
                <w:szCs w:val="24"/>
              </w:rPr>
              <w:t>ith barriers 1 and 2.</w:t>
            </w:r>
          </w:p>
        </w:tc>
      </w:tr>
      <w:tr w:rsidR="00AD43F0" w14:paraId="5D58A098" w14:textId="77777777">
        <w:tc>
          <w:tcPr>
            <w:tcW w:w="0" w:type="auto"/>
            <w:tcBorders>
              <w:top w:val="single" w:sz="5" w:space="0" w:color="000000"/>
              <w:left w:val="single" w:sz="5" w:space="0" w:color="000000"/>
              <w:bottom w:val="single" w:sz="5" w:space="0" w:color="000000"/>
              <w:right w:val="single" w:sz="5" w:space="0" w:color="000000"/>
            </w:tcBorders>
            <w:noWrap/>
            <w:tcMar>
              <w:top w:w="120" w:type="dxa"/>
              <w:left w:w="120" w:type="dxa"/>
              <w:bottom w:w="120" w:type="dxa"/>
              <w:right w:w="120" w:type="dxa"/>
            </w:tcMar>
            <w:vAlign w:val="center"/>
          </w:tcPr>
          <w:p w14:paraId="2F118407" w14:textId="77777777" w:rsidR="00AD43F0" w:rsidRDefault="008F4AE9">
            <w:r>
              <w:rPr>
                <w:color w:val="000000"/>
                <w:position w:val="-3"/>
                <w:sz w:val="24"/>
                <w:szCs w:val="24"/>
              </w:rPr>
              <w:lastRenderedPageBreak/>
              <w:t>Teaching consistently enables pupils with different needs and starting points to access an ambitious curriculum.</w:t>
            </w:r>
          </w:p>
        </w:tc>
        <w:tc>
          <w:tcPr>
            <w:tcW w:w="0" w:type="auto"/>
            <w:tcBorders>
              <w:top w:val="single" w:sz="5" w:space="0" w:color="000000"/>
              <w:left w:val="single" w:sz="5" w:space="0" w:color="000000"/>
              <w:bottom w:val="single" w:sz="5" w:space="0" w:color="000000"/>
              <w:right w:val="single" w:sz="5" w:space="0" w:color="000000"/>
            </w:tcBorders>
            <w:noWrap/>
            <w:tcMar>
              <w:top w:w="120" w:type="dxa"/>
              <w:left w:w="120" w:type="dxa"/>
              <w:bottom w:w="120" w:type="dxa"/>
              <w:right w:w="120" w:type="dxa"/>
            </w:tcMar>
            <w:vAlign w:val="center"/>
          </w:tcPr>
          <w:p w14:paraId="4E02D2AA" w14:textId="77777777" w:rsidR="00AD43F0" w:rsidRDefault="008F4AE9">
            <w:r>
              <w:rPr>
                <w:color w:val="000000"/>
                <w:position w:val="-3"/>
                <w:sz w:val="24"/>
                <w:szCs w:val="24"/>
              </w:rPr>
              <w:t xml:space="preserve">Monitoring shows that agreed adaptive teaching routines, scaffolds, visual supports, vocabulary teaching and accessible </w:t>
            </w:r>
            <w:r>
              <w:rPr>
                <w:color w:val="000000"/>
                <w:position w:val="-3"/>
                <w:sz w:val="24"/>
                <w:szCs w:val="24"/>
              </w:rPr>
              <w:t>recording methods are used consistently. Pupils with SEND have precise, reviewed targets linked to identified gaps. Staff and pupil feedback indicates improved confidence in accessing lessons.</w:t>
            </w:r>
          </w:p>
        </w:tc>
      </w:tr>
      <w:tr w:rsidR="00AD43F0" w14:paraId="790F5FB2" w14:textId="77777777">
        <w:tc>
          <w:tcPr>
            <w:tcW w:w="0" w:type="auto"/>
            <w:tcBorders>
              <w:top w:val="single" w:sz="5" w:space="0" w:color="000000"/>
              <w:left w:val="single" w:sz="5" w:space="0" w:color="000000"/>
              <w:bottom w:val="single" w:sz="5" w:space="0" w:color="000000"/>
              <w:right w:val="single" w:sz="5" w:space="0" w:color="000000"/>
            </w:tcBorders>
            <w:noWrap/>
            <w:tcMar>
              <w:top w:w="120" w:type="dxa"/>
              <w:left w:w="120" w:type="dxa"/>
              <w:bottom w:w="120" w:type="dxa"/>
              <w:right w:w="120" w:type="dxa"/>
            </w:tcMar>
            <w:vAlign w:val="center"/>
          </w:tcPr>
          <w:p w14:paraId="2C15C315" w14:textId="77777777" w:rsidR="00AD43F0" w:rsidRDefault="008F4AE9">
            <w:r>
              <w:rPr>
                <w:color w:val="000000"/>
                <w:position w:val="-3"/>
                <w:sz w:val="24"/>
                <w:szCs w:val="24"/>
              </w:rPr>
              <w:t>Pupils improve their oracy, vocabulary and ability to participate in learning conversations.</w:t>
            </w:r>
          </w:p>
        </w:tc>
        <w:tc>
          <w:tcPr>
            <w:tcW w:w="0" w:type="auto"/>
            <w:tcBorders>
              <w:top w:val="single" w:sz="5" w:space="0" w:color="000000"/>
              <w:left w:val="single" w:sz="5" w:space="0" w:color="000000"/>
              <w:bottom w:val="single" w:sz="5" w:space="0" w:color="000000"/>
              <w:right w:val="single" w:sz="5" w:space="0" w:color="000000"/>
            </w:tcBorders>
            <w:noWrap/>
            <w:tcMar>
              <w:top w:w="120" w:type="dxa"/>
              <w:left w:w="120" w:type="dxa"/>
              <w:bottom w:w="120" w:type="dxa"/>
              <w:right w:w="120" w:type="dxa"/>
            </w:tcMar>
            <w:vAlign w:val="center"/>
          </w:tcPr>
          <w:p w14:paraId="59E9CAA1" w14:textId="77777777" w:rsidR="00AD43F0" w:rsidRDefault="008F4AE9">
            <w:r>
              <w:rPr>
                <w:color w:val="000000"/>
                <w:position w:val="-3"/>
                <w:sz w:val="24"/>
                <w:szCs w:val="24"/>
              </w:rPr>
              <w:t>Pupils increasingly listen, take turns, ask questions, explain reasoning and use Tier 2 and Tier 3 vocabulary. Oracy monitoring, pupil voice and work scrutiny show</w:t>
            </w:r>
            <w:r>
              <w:rPr>
                <w:color w:val="000000"/>
                <w:position w:val="-3"/>
                <w:sz w:val="24"/>
                <w:szCs w:val="24"/>
              </w:rPr>
              <w:t xml:space="preserve"> improvement across subjects. This is reflected in progress in reading comprehension, writing and mathematical reasoning.</w:t>
            </w:r>
          </w:p>
        </w:tc>
      </w:tr>
      <w:tr w:rsidR="00AD43F0" w14:paraId="5144A23C" w14:textId="77777777">
        <w:tc>
          <w:tcPr>
            <w:tcW w:w="0" w:type="auto"/>
            <w:tcBorders>
              <w:top w:val="single" w:sz="5" w:space="0" w:color="000000"/>
              <w:left w:val="single" w:sz="5" w:space="0" w:color="000000"/>
              <w:bottom w:val="single" w:sz="5" w:space="0" w:color="000000"/>
              <w:right w:val="single" w:sz="5" w:space="0" w:color="000000"/>
            </w:tcBorders>
            <w:noWrap/>
            <w:tcMar>
              <w:top w:w="120" w:type="dxa"/>
              <w:left w:w="120" w:type="dxa"/>
              <w:bottom w:w="120" w:type="dxa"/>
              <w:right w:w="120" w:type="dxa"/>
            </w:tcMar>
            <w:vAlign w:val="center"/>
          </w:tcPr>
          <w:p w14:paraId="5DD72E5E" w14:textId="77777777" w:rsidR="00AD43F0" w:rsidRDefault="008F4AE9">
            <w:r>
              <w:rPr>
                <w:color w:val="000000"/>
                <w:position w:val="-3"/>
                <w:sz w:val="24"/>
                <w:szCs w:val="24"/>
              </w:rPr>
              <w:t>More pupils achieve age-related expectations in reading comprehension and develop a stronger enjoyment of reading.</w:t>
            </w:r>
          </w:p>
        </w:tc>
        <w:tc>
          <w:tcPr>
            <w:tcW w:w="0" w:type="auto"/>
            <w:tcBorders>
              <w:top w:val="single" w:sz="5" w:space="0" w:color="000000"/>
              <w:left w:val="single" w:sz="5" w:space="0" w:color="000000"/>
              <w:bottom w:val="single" w:sz="5" w:space="0" w:color="000000"/>
              <w:right w:val="single" w:sz="5" w:space="0" w:color="000000"/>
            </w:tcBorders>
            <w:noWrap/>
            <w:tcMar>
              <w:top w:w="120" w:type="dxa"/>
              <w:left w:w="120" w:type="dxa"/>
              <w:bottom w:w="120" w:type="dxa"/>
              <w:right w:w="120" w:type="dxa"/>
            </w:tcMar>
            <w:vAlign w:val="center"/>
          </w:tcPr>
          <w:p w14:paraId="231AABFC" w14:textId="77777777" w:rsidR="00AD43F0" w:rsidRDefault="008F4AE9">
            <w:r>
              <w:rPr>
                <w:color w:val="000000"/>
                <w:position w:val="-3"/>
                <w:sz w:val="24"/>
                <w:szCs w:val="24"/>
              </w:rPr>
              <w:t>Assessment informa</w:t>
            </w:r>
            <w:r>
              <w:rPr>
                <w:color w:val="000000"/>
                <w:position w:val="-3"/>
                <w:sz w:val="24"/>
                <w:szCs w:val="24"/>
              </w:rPr>
              <w:t>tion shows that identified gaps in reading comprehension are narrowing and that more pupils reach age-related expectations. Reading records, pupil surveys and teacher observations show increased reading frequency, book choice, discussion of texts and engag</w:t>
            </w:r>
            <w:r>
              <w:rPr>
                <w:color w:val="000000"/>
                <w:position w:val="-3"/>
                <w:sz w:val="24"/>
                <w:szCs w:val="24"/>
              </w:rPr>
              <w:t>ement with reading for pleasure.</w:t>
            </w:r>
          </w:p>
        </w:tc>
      </w:tr>
      <w:tr w:rsidR="00AD43F0" w14:paraId="0A41EAC6" w14:textId="77777777">
        <w:tc>
          <w:tcPr>
            <w:tcW w:w="0" w:type="auto"/>
            <w:tcBorders>
              <w:top w:val="single" w:sz="5" w:space="0" w:color="000000"/>
              <w:left w:val="single" w:sz="5" w:space="0" w:color="000000"/>
              <w:bottom w:val="single" w:sz="5" w:space="0" w:color="000000"/>
              <w:right w:val="single" w:sz="5" w:space="0" w:color="000000"/>
            </w:tcBorders>
            <w:noWrap/>
            <w:tcMar>
              <w:top w:w="120" w:type="dxa"/>
              <w:left w:w="120" w:type="dxa"/>
              <w:bottom w:w="120" w:type="dxa"/>
              <w:right w:w="120" w:type="dxa"/>
            </w:tcMar>
            <w:vAlign w:val="center"/>
          </w:tcPr>
          <w:p w14:paraId="5110C0C5" w14:textId="77777777" w:rsidR="00AD43F0" w:rsidRDefault="008F4AE9">
            <w:r>
              <w:rPr>
                <w:color w:val="000000"/>
                <w:position w:val="-3"/>
                <w:sz w:val="24"/>
                <w:szCs w:val="24"/>
              </w:rPr>
              <w:t>Pupils experience a wider range of cultural, social, educational and community opportunities.</w:t>
            </w:r>
          </w:p>
        </w:tc>
        <w:tc>
          <w:tcPr>
            <w:tcW w:w="0" w:type="auto"/>
            <w:tcBorders>
              <w:top w:val="single" w:sz="5" w:space="0" w:color="000000"/>
              <w:left w:val="single" w:sz="5" w:space="0" w:color="000000"/>
              <w:bottom w:val="single" w:sz="5" w:space="0" w:color="000000"/>
              <w:right w:val="single" w:sz="5" w:space="0" w:color="000000"/>
            </w:tcBorders>
            <w:noWrap/>
            <w:tcMar>
              <w:top w:w="120" w:type="dxa"/>
              <w:left w:w="120" w:type="dxa"/>
              <w:bottom w:w="120" w:type="dxa"/>
              <w:right w:w="120" w:type="dxa"/>
            </w:tcMar>
            <w:vAlign w:val="center"/>
          </w:tcPr>
          <w:p w14:paraId="0AC031C4" w14:textId="77777777" w:rsidR="00AD43F0" w:rsidRDefault="008F4AE9">
            <w:r>
              <w:rPr>
                <w:color w:val="000000"/>
                <w:position w:val="-3"/>
                <w:sz w:val="24"/>
                <w:szCs w:val="24"/>
              </w:rPr>
              <w:t>Participation records show that pupils, including those with SEND and those who are disadvantaged, access trips, workshops, club</w:t>
            </w:r>
            <w:r>
              <w:rPr>
                <w:color w:val="000000"/>
                <w:position w:val="-3"/>
                <w:sz w:val="24"/>
                <w:szCs w:val="24"/>
              </w:rPr>
              <w:t>s, sport, cultural activities and visits. Barriers and adjustments are recorded in advance, and pupil voice shows increased confidence in unfamiliar settings and greater awareness of the wider world.</w:t>
            </w:r>
          </w:p>
        </w:tc>
      </w:tr>
      <w:tr w:rsidR="00AD43F0" w14:paraId="6CBEE801" w14:textId="77777777">
        <w:tc>
          <w:tcPr>
            <w:tcW w:w="0" w:type="auto"/>
            <w:tcBorders>
              <w:top w:val="single" w:sz="5" w:space="0" w:color="000000"/>
              <w:left w:val="single" w:sz="5" w:space="0" w:color="000000"/>
              <w:bottom w:val="single" w:sz="5" w:space="0" w:color="000000"/>
              <w:right w:val="single" w:sz="5" w:space="0" w:color="000000"/>
            </w:tcBorders>
            <w:noWrap/>
            <w:tcMar>
              <w:top w:w="120" w:type="dxa"/>
              <w:left w:w="120" w:type="dxa"/>
              <w:bottom w:w="120" w:type="dxa"/>
              <w:right w:w="120" w:type="dxa"/>
            </w:tcMar>
            <w:vAlign w:val="center"/>
          </w:tcPr>
          <w:p w14:paraId="1DD854BF" w14:textId="77777777" w:rsidR="00AD43F0" w:rsidRDefault="008F4AE9">
            <w:r>
              <w:rPr>
                <w:color w:val="000000"/>
                <w:position w:val="-3"/>
                <w:sz w:val="24"/>
                <w:szCs w:val="24"/>
              </w:rPr>
              <w:t xml:space="preserve">Pupils feel safe, respected and that they belong at St </w:t>
            </w:r>
            <w:r>
              <w:rPr>
                <w:color w:val="000000"/>
                <w:position w:val="-3"/>
                <w:sz w:val="24"/>
                <w:szCs w:val="24"/>
              </w:rPr>
              <w:t>Bridget’s.</w:t>
            </w:r>
          </w:p>
        </w:tc>
        <w:tc>
          <w:tcPr>
            <w:tcW w:w="0" w:type="auto"/>
            <w:tcBorders>
              <w:top w:val="single" w:sz="5" w:space="0" w:color="000000"/>
              <w:left w:val="single" w:sz="5" w:space="0" w:color="000000"/>
              <w:bottom w:val="single" w:sz="5" w:space="0" w:color="000000"/>
              <w:right w:val="single" w:sz="5" w:space="0" w:color="000000"/>
            </w:tcBorders>
            <w:noWrap/>
            <w:tcMar>
              <w:top w:w="120" w:type="dxa"/>
              <w:left w:w="120" w:type="dxa"/>
              <w:bottom w:w="120" w:type="dxa"/>
              <w:right w:w="120" w:type="dxa"/>
            </w:tcMar>
            <w:vAlign w:val="center"/>
          </w:tcPr>
          <w:p w14:paraId="0F37DA50" w14:textId="77777777" w:rsidR="00AD43F0" w:rsidRDefault="008F4AE9">
            <w:r>
              <w:rPr>
                <w:color w:val="000000"/>
                <w:position w:val="-3"/>
                <w:sz w:val="24"/>
                <w:szCs w:val="24"/>
              </w:rPr>
              <w:t>Pupil voice and wellbeing surveys show that pupils feel welcomed, listened to and able to participate. Behaviour records show that incidents are addressed promptly and that pupils understand expectations. Pupils who require pastoral or social su</w:t>
            </w:r>
            <w:r>
              <w:rPr>
                <w:color w:val="000000"/>
                <w:position w:val="-3"/>
                <w:sz w:val="24"/>
                <w:szCs w:val="24"/>
              </w:rPr>
              <w:t>pport have reviewed plans showing improved participation and wellbeing.</w:t>
            </w:r>
          </w:p>
        </w:tc>
      </w:tr>
      <w:tr w:rsidR="00AD43F0" w14:paraId="3767370B" w14:textId="77777777">
        <w:tc>
          <w:tcPr>
            <w:tcW w:w="0" w:type="auto"/>
            <w:tcBorders>
              <w:top w:val="single" w:sz="5" w:space="0" w:color="000000"/>
              <w:left w:val="single" w:sz="5" w:space="0" w:color="000000"/>
              <w:bottom w:val="single" w:sz="5" w:space="0" w:color="000000"/>
              <w:right w:val="single" w:sz="5" w:space="0" w:color="000000"/>
            </w:tcBorders>
            <w:noWrap/>
            <w:tcMar>
              <w:top w:w="120" w:type="dxa"/>
              <w:left w:w="120" w:type="dxa"/>
              <w:bottom w:w="120" w:type="dxa"/>
              <w:right w:w="120" w:type="dxa"/>
            </w:tcMar>
            <w:vAlign w:val="center"/>
          </w:tcPr>
          <w:p w14:paraId="72D7705C" w14:textId="77777777" w:rsidR="00AD43F0" w:rsidRDefault="008F4AE9">
            <w:r>
              <w:rPr>
                <w:color w:val="000000"/>
                <w:position w:val="-3"/>
                <w:sz w:val="24"/>
                <w:szCs w:val="24"/>
              </w:rPr>
              <w:t>Attendance remains strong and persistent absence reduces further, including for pupils with SEND and disadvantaged pupils.</w:t>
            </w:r>
          </w:p>
        </w:tc>
        <w:tc>
          <w:tcPr>
            <w:tcW w:w="0" w:type="auto"/>
            <w:tcBorders>
              <w:top w:val="single" w:sz="5" w:space="0" w:color="000000"/>
              <w:left w:val="single" w:sz="5" w:space="0" w:color="000000"/>
              <w:bottom w:val="single" w:sz="5" w:space="0" w:color="000000"/>
              <w:right w:val="single" w:sz="5" w:space="0" w:color="000000"/>
            </w:tcBorders>
            <w:noWrap/>
            <w:tcMar>
              <w:top w:w="120" w:type="dxa"/>
              <w:left w:w="120" w:type="dxa"/>
              <w:bottom w:w="120" w:type="dxa"/>
              <w:right w:w="120" w:type="dxa"/>
            </w:tcMar>
            <w:vAlign w:val="center"/>
          </w:tcPr>
          <w:p w14:paraId="4DFE7F51" w14:textId="77777777" w:rsidR="00AD43F0" w:rsidRDefault="008F4AE9">
            <w:r>
              <w:rPr>
                <w:color w:val="000000"/>
                <w:position w:val="-3"/>
                <w:sz w:val="24"/>
                <w:szCs w:val="24"/>
              </w:rPr>
              <w:t>Attendance is reviewed at least half-termly. Overall attendance is maintained at or above the school’s current strong position and persistent absence reduces from the school’s baseline. Individual attendance plans are reviewed with families, and identified</w:t>
            </w:r>
            <w:r>
              <w:rPr>
                <w:color w:val="000000"/>
                <w:position w:val="-3"/>
                <w:sz w:val="24"/>
                <w:szCs w:val="24"/>
              </w:rPr>
              <w:t xml:space="preserve"> pupils show improved attendance or a clear reduction in missed sessions.</w:t>
            </w:r>
          </w:p>
        </w:tc>
      </w:tr>
      <w:tr w:rsidR="00AD43F0" w14:paraId="2F113A92" w14:textId="77777777">
        <w:tc>
          <w:tcPr>
            <w:tcW w:w="0" w:type="auto"/>
            <w:tcBorders>
              <w:top w:val="single" w:sz="5" w:space="0" w:color="000000"/>
              <w:left w:val="single" w:sz="5" w:space="0" w:color="000000"/>
              <w:bottom w:val="single" w:sz="5" w:space="0" w:color="000000"/>
              <w:right w:val="single" w:sz="5" w:space="0" w:color="000000"/>
            </w:tcBorders>
            <w:noWrap/>
            <w:tcMar>
              <w:top w:w="120" w:type="dxa"/>
              <w:left w:w="120" w:type="dxa"/>
              <w:bottom w:w="120" w:type="dxa"/>
              <w:right w:w="120" w:type="dxa"/>
            </w:tcMar>
            <w:vAlign w:val="center"/>
          </w:tcPr>
          <w:p w14:paraId="0DB77B10" w14:textId="77777777" w:rsidR="00AD43F0" w:rsidRDefault="008F4AE9">
            <w:r>
              <w:rPr>
                <w:color w:val="000000"/>
                <w:position w:val="-3"/>
                <w:sz w:val="24"/>
                <w:szCs w:val="24"/>
              </w:rPr>
              <w:t xml:space="preserve">Families and wider services contribute </w:t>
            </w:r>
            <w:r>
              <w:rPr>
                <w:color w:val="000000"/>
                <w:position w:val="-3"/>
                <w:sz w:val="24"/>
                <w:szCs w:val="24"/>
              </w:rPr>
              <w:lastRenderedPageBreak/>
              <w:t>effectively to meeting pupils’ needs.</w:t>
            </w:r>
          </w:p>
        </w:tc>
        <w:tc>
          <w:tcPr>
            <w:tcW w:w="0" w:type="auto"/>
            <w:tcBorders>
              <w:top w:val="single" w:sz="5" w:space="0" w:color="000000"/>
              <w:left w:val="single" w:sz="5" w:space="0" w:color="000000"/>
              <w:bottom w:val="single" w:sz="5" w:space="0" w:color="000000"/>
              <w:right w:val="single" w:sz="5" w:space="0" w:color="000000"/>
            </w:tcBorders>
            <w:noWrap/>
            <w:tcMar>
              <w:top w:w="120" w:type="dxa"/>
              <w:left w:w="120" w:type="dxa"/>
              <w:bottom w:w="120" w:type="dxa"/>
              <w:right w:w="120" w:type="dxa"/>
            </w:tcMar>
            <w:vAlign w:val="center"/>
          </w:tcPr>
          <w:p w14:paraId="52F8D506" w14:textId="77777777" w:rsidR="00AD43F0" w:rsidRDefault="008F4AE9">
            <w:r>
              <w:rPr>
                <w:color w:val="000000"/>
                <w:position w:val="-3"/>
                <w:sz w:val="24"/>
                <w:szCs w:val="24"/>
              </w:rPr>
              <w:lastRenderedPageBreak/>
              <w:t>Families report that communication is timely, accessible and helpful. Records show that family views inf</w:t>
            </w:r>
            <w:r>
              <w:rPr>
                <w:color w:val="000000"/>
                <w:position w:val="-3"/>
                <w:sz w:val="24"/>
                <w:szCs w:val="24"/>
              </w:rPr>
              <w:t xml:space="preserve">orm support and that specialist advice is translated into </w:t>
            </w:r>
            <w:r>
              <w:rPr>
                <w:color w:val="000000"/>
                <w:position w:val="-3"/>
                <w:sz w:val="24"/>
                <w:szCs w:val="24"/>
              </w:rPr>
              <w:lastRenderedPageBreak/>
              <w:t>classroom practice. Governors receive regular evidence of implementation, participation, attendance, attainment, progress, wellbeing and engagement.</w:t>
            </w:r>
          </w:p>
        </w:tc>
      </w:tr>
      <w:tr w:rsidR="00AD43F0" w14:paraId="7B149DD6" w14:textId="77777777">
        <w:tc>
          <w:tcPr>
            <w:tcW w:w="0" w:type="auto"/>
            <w:tcBorders>
              <w:top w:val="single" w:sz="5" w:space="0" w:color="000000"/>
              <w:left w:val="single" w:sz="5" w:space="0" w:color="000000"/>
              <w:bottom w:val="single" w:sz="5" w:space="0" w:color="000000"/>
              <w:right w:val="single" w:sz="5" w:space="0" w:color="000000"/>
            </w:tcBorders>
            <w:noWrap/>
            <w:tcMar>
              <w:top w:w="120" w:type="dxa"/>
              <w:left w:w="120" w:type="dxa"/>
              <w:bottom w:w="120" w:type="dxa"/>
              <w:right w:w="120" w:type="dxa"/>
            </w:tcMar>
            <w:vAlign w:val="center"/>
          </w:tcPr>
          <w:p w14:paraId="4300C263" w14:textId="77777777" w:rsidR="00AD43F0" w:rsidRDefault="008F4AE9">
            <w:r>
              <w:rPr>
                <w:color w:val="000000"/>
                <w:position w:val="-3"/>
                <w:sz w:val="24"/>
                <w:szCs w:val="24"/>
              </w:rPr>
              <w:lastRenderedPageBreak/>
              <w:t>The school’s inclusive practice is embedded, eva</w:t>
            </w:r>
            <w:r>
              <w:rPr>
                <w:color w:val="000000"/>
                <w:position w:val="-3"/>
                <w:sz w:val="24"/>
                <w:szCs w:val="24"/>
              </w:rPr>
              <w:t>luated and improved over time.</w:t>
            </w:r>
          </w:p>
        </w:tc>
        <w:tc>
          <w:tcPr>
            <w:tcW w:w="0" w:type="auto"/>
            <w:tcBorders>
              <w:top w:val="single" w:sz="5" w:space="0" w:color="000000"/>
              <w:left w:val="single" w:sz="5" w:space="0" w:color="000000"/>
              <w:bottom w:val="single" w:sz="5" w:space="0" w:color="000000"/>
              <w:right w:val="single" w:sz="5" w:space="0" w:color="000000"/>
            </w:tcBorders>
            <w:noWrap/>
            <w:tcMar>
              <w:top w:w="120" w:type="dxa"/>
              <w:left w:w="120" w:type="dxa"/>
              <w:bottom w:w="120" w:type="dxa"/>
              <w:right w:w="120" w:type="dxa"/>
            </w:tcMar>
            <w:vAlign w:val="center"/>
          </w:tcPr>
          <w:p w14:paraId="0F2E3785" w14:textId="77777777" w:rsidR="00AD43F0" w:rsidRDefault="008F4AE9">
            <w:r>
              <w:rPr>
                <w:color w:val="000000"/>
                <w:position w:val="-3"/>
                <w:sz w:val="24"/>
                <w:szCs w:val="24"/>
              </w:rPr>
              <w:t>Leaders review the strategy at least termly, including budget use, delivery fidelity and pupil outcomes. Staff understand their responsibilities, workload remains manageable, and approaches that are not sufficiently effective</w:t>
            </w:r>
            <w:r>
              <w:rPr>
                <w:color w:val="000000"/>
                <w:position w:val="-3"/>
                <w:sz w:val="24"/>
                <w:szCs w:val="24"/>
              </w:rPr>
              <w:t xml:space="preserve"> are adapted or stopped. Evidence demonstrates progress towards the relevant 2025 Ofsted areas of inclusion, curriculum and teaching, achievement, attendance and behaviour, personal development and wellbeing, safeguarding, and leadership and governance.</w:t>
            </w:r>
          </w:p>
        </w:tc>
      </w:tr>
    </w:tbl>
    <w:p w14:paraId="50CEAAB8" w14:textId="77777777" w:rsidR="00000000" w:rsidRDefault="008F4AE9"/>
    <w:sectPr w:rsidR="00000000">
      <w:headerReference w:type="default" r:id="rId19"/>
      <w:footerReference w:type="default" r:id="rId20"/>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A32D191" w14:textId="77777777" w:rsidR="00E95B2E" w:rsidRDefault="00E95B2E">
      <w:r>
        <w:separator/>
      </w:r>
    </w:p>
  </w:endnote>
  <w:endnote w:type="continuationSeparator" w:id="0">
    <w:p w14:paraId="4CFB40B6" w14:textId="77777777" w:rsidR="00E95B2E" w:rsidRDefault="00E95B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E37274E" w14:textId="77777777" w:rsidR="00A41D13" w:rsidRDefault="008F4AE9">
    <w:pPr>
      <w:spacing w:after="100"/>
      <w:jc w:val="center"/>
    </w:pPr>
    <w:hyperlink r:id="rId1">
      <w:r w:rsidR="00A41D13">
        <w:rPr>
          <w:color w:val="0000FF"/>
          <w:sz w:val="16"/>
          <w:szCs w:val="16"/>
          <w:u w:val="single"/>
        </w:rPr>
        <w:t>https://sltai.co.uk/</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B4F7BF6" w14:textId="77777777" w:rsidR="00E95B2E" w:rsidRDefault="00E95B2E">
      <w:r>
        <w:separator/>
      </w:r>
    </w:p>
  </w:footnote>
  <w:footnote w:type="continuationSeparator" w:id="0">
    <w:p w14:paraId="4ECD3039" w14:textId="77777777" w:rsidR="00E95B2E" w:rsidRDefault="00E95B2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D7D2B4E" w14:textId="77777777" w:rsidR="00A41D13" w:rsidRDefault="008F4AE9">
    <w:r>
      <w:rPr>
        <w:noProof/>
      </w:rPr>
      <w:drawing>
        <wp:anchor distT="0" distB="0" distL="114300" distR="114300" simplePos="0" relativeHeight="251658240" behindDoc="1" locked="0" layoutInCell="1" allowOverlap="1" wp14:anchorId="368350CA" wp14:editId="56F9A756">
          <wp:simplePos x="0" y="0"/>
          <wp:positionH relativeFrom="column">
            <wp:posOffset>-609600</wp:posOffset>
          </wp:positionH>
          <wp:positionV relativeFrom="paragraph">
            <wp:posOffset>-209550</wp:posOffset>
          </wp:positionV>
          <wp:extent cx="878919" cy="720000"/>
          <wp:effectExtent l="0" t="0" r="6350" b="0"/>
          <wp:wrapTight wrapText="bothSides">
            <wp:wrapPolygon edited="0">
              <wp:start x="1947" y="0"/>
              <wp:lineTo x="0" y="2937"/>
              <wp:lineTo x="0" y="13704"/>
              <wp:lineTo x="1112" y="20556"/>
              <wp:lineTo x="1391" y="20556"/>
              <wp:lineTo x="3337" y="20556"/>
              <wp:lineTo x="21415" y="17619"/>
              <wp:lineTo x="21415" y="2937"/>
              <wp:lineTo x="6397" y="0"/>
              <wp:lineTo x="1947" y="0"/>
            </wp:wrapPolygon>
          </wp:wrapTight>
          <wp:docPr id="516802662" name="image1.png" descr="$LOGO$"/>
          <wp:cNvGraphicFramePr/>
          <a:graphic xmlns:a="http://schemas.openxmlformats.org/drawingml/2006/main">
            <a:graphicData uri="http://schemas.openxmlformats.org/drawingml/2006/picture">
              <pic:pic xmlns:pic="http://schemas.openxmlformats.org/drawingml/2006/picture">
                <pic:nvPicPr>
                  <pic:cNvPr id="1" name="image1.png" descr="$LOGO$"/>
                  <pic:cNvPicPr preferRelativeResize="0"/>
                </pic:nvPicPr>
                <pic:blipFill>
                  <a:blip r:embed="rId1">
                    <a:extLst>
                      <a:ext uri="{28A0092B-C50C-407E-A947-70E740481C1C}">
                        <a14:useLocalDpi xmlns:a14="http://schemas.microsoft.com/office/drawing/2010/main" val="0"/>
                      </a:ext>
                    </a:extLst>
                  </a:blip>
                  <a:srcRect/>
                  <a:stretch>
                    <a:fillRect/>
                  </a:stretch>
                </pic:blipFill>
                <pic:spPr>
                  <a:xfrm>
                    <a:off x="0" y="0"/>
                    <a:ext cx="878919" cy="720000"/>
                  </a:xfrm>
                  <a:prstGeom prst="rect">
                    <a:avLst/>
                  </a:prstGeom>
                  <a:ln/>
                </pic:spPr>
              </pic:pic>
            </a:graphicData>
          </a:graphic>
          <wp14:sizeRelH relativeFrom="page">
            <wp14:pctWidth>0</wp14:pctWidth>
          </wp14:sizeRelH>
          <wp14:sizeRelV relativeFrom="page">
            <wp14:pctHeight>0</wp14:pctHeight>
          </wp14:sizeRelV>
        </wp:anchor>
      </w:drawing>
    </w:r>
  </w:p>
  <w:p w14:paraId="75F33E60" w14:textId="77777777" w:rsidR="00A41D13" w:rsidRDefault="00A41D13"/>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15:restartNumberingAfterBreak="0">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15:restartNumberingAfterBreak="0">
    <w:nsid w:val="4E030807"/>
    <w:multiLevelType w:val="multilevel"/>
    <w:tmpl w:val="0C0A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3" w15:restartNumberingAfterBreak="0">
    <w:nsid w:val="4F496365"/>
    <w:multiLevelType w:val="hybridMultilevel"/>
    <w:tmpl w:val="C58E583E"/>
    <w:lvl w:ilvl="0" w:tplc="2236405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15:restartNumberingAfterBreak="0">
    <w:nsid w:val="52DC19C3"/>
    <w:multiLevelType w:val="hybridMultilevel"/>
    <w:tmpl w:val="2244DCAA"/>
    <w:lvl w:ilvl="0" w:tplc="79683270">
      <w:start w:val="1"/>
      <w:numFmt w:val="decimal"/>
      <w:lvlText w:val="%1."/>
      <w:lvlJc w:val="left"/>
      <w:pPr>
        <w:ind w:left="720" w:hanging="360"/>
      </w:pPr>
    </w:lvl>
    <w:lvl w:ilvl="1" w:tplc="79683270" w:tentative="1">
      <w:start w:val="1"/>
      <w:numFmt w:val="lowerLetter"/>
      <w:lvlText w:val="%2."/>
      <w:lvlJc w:val="left"/>
      <w:pPr>
        <w:ind w:left="1440" w:hanging="360"/>
      </w:pPr>
    </w:lvl>
    <w:lvl w:ilvl="2" w:tplc="79683270" w:tentative="1">
      <w:start w:val="1"/>
      <w:numFmt w:val="lowerRoman"/>
      <w:lvlText w:val="%3."/>
      <w:lvlJc w:val="right"/>
      <w:pPr>
        <w:ind w:left="2160" w:hanging="180"/>
      </w:pPr>
    </w:lvl>
    <w:lvl w:ilvl="3" w:tplc="79683270" w:tentative="1">
      <w:start w:val="1"/>
      <w:numFmt w:val="decimal"/>
      <w:lvlText w:val="%4."/>
      <w:lvlJc w:val="left"/>
      <w:pPr>
        <w:ind w:left="2880" w:hanging="360"/>
      </w:pPr>
    </w:lvl>
    <w:lvl w:ilvl="4" w:tplc="79683270" w:tentative="1">
      <w:start w:val="1"/>
      <w:numFmt w:val="lowerLetter"/>
      <w:lvlText w:val="%5."/>
      <w:lvlJc w:val="left"/>
      <w:pPr>
        <w:ind w:left="3600" w:hanging="360"/>
      </w:pPr>
    </w:lvl>
    <w:lvl w:ilvl="5" w:tplc="79683270" w:tentative="1">
      <w:start w:val="1"/>
      <w:numFmt w:val="lowerRoman"/>
      <w:lvlText w:val="%6."/>
      <w:lvlJc w:val="right"/>
      <w:pPr>
        <w:ind w:left="4320" w:hanging="180"/>
      </w:pPr>
    </w:lvl>
    <w:lvl w:ilvl="6" w:tplc="79683270" w:tentative="1">
      <w:start w:val="1"/>
      <w:numFmt w:val="decimal"/>
      <w:lvlText w:val="%7."/>
      <w:lvlJc w:val="left"/>
      <w:pPr>
        <w:ind w:left="5040" w:hanging="360"/>
      </w:pPr>
    </w:lvl>
    <w:lvl w:ilvl="7" w:tplc="79683270" w:tentative="1">
      <w:start w:val="1"/>
      <w:numFmt w:val="lowerLetter"/>
      <w:lvlText w:val="%8."/>
      <w:lvlJc w:val="left"/>
      <w:pPr>
        <w:ind w:left="5760" w:hanging="360"/>
      </w:pPr>
    </w:lvl>
    <w:lvl w:ilvl="8" w:tplc="79683270" w:tentative="1">
      <w:start w:val="1"/>
      <w:numFmt w:val="lowerRoman"/>
      <w:lvlText w:val="%9."/>
      <w:lvlJc w:val="right"/>
      <w:pPr>
        <w:ind w:left="6480" w:hanging="180"/>
      </w:pPr>
    </w:lvl>
  </w:abstractNum>
  <w:abstractNum w:abstractNumId="6" w15:restartNumberingAfterBreak="0">
    <w:nsid w:val="541F7341"/>
    <w:multiLevelType w:val="hybridMultilevel"/>
    <w:tmpl w:val="A69A1502"/>
    <w:lvl w:ilvl="0" w:tplc="33770778">
      <w:start w:val="1"/>
      <w:numFmt w:val="decimal"/>
      <w:lvlText w:val="%1."/>
      <w:lvlJc w:val="left"/>
      <w:pPr>
        <w:ind w:left="720" w:hanging="360"/>
      </w:pPr>
    </w:lvl>
    <w:lvl w:ilvl="1" w:tplc="33770778" w:tentative="1">
      <w:start w:val="1"/>
      <w:numFmt w:val="lowerLetter"/>
      <w:lvlText w:val="%2."/>
      <w:lvlJc w:val="left"/>
      <w:pPr>
        <w:ind w:left="1440" w:hanging="360"/>
      </w:pPr>
    </w:lvl>
    <w:lvl w:ilvl="2" w:tplc="33770778" w:tentative="1">
      <w:start w:val="1"/>
      <w:numFmt w:val="lowerRoman"/>
      <w:lvlText w:val="%3."/>
      <w:lvlJc w:val="right"/>
      <w:pPr>
        <w:ind w:left="2160" w:hanging="180"/>
      </w:pPr>
    </w:lvl>
    <w:lvl w:ilvl="3" w:tplc="33770778" w:tentative="1">
      <w:start w:val="1"/>
      <w:numFmt w:val="decimal"/>
      <w:lvlText w:val="%4."/>
      <w:lvlJc w:val="left"/>
      <w:pPr>
        <w:ind w:left="2880" w:hanging="360"/>
      </w:pPr>
    </w:lvl>
    <w:lvl w:ilvl="4" w:tplc="33770778" w:tentative="1">
      <w:start w:val="1"/>
      <w:numFmt w:val="lowerLetter"/>
      <w:lvlText w:val="%5."/>
      <w:lvlJc w:val="left"/>
      <w:pPr>
        <w:ind w:left="3600" w:hanging="360"/>
      </w:pPr>
    </w:lvl>
    <w:lvl w:ilvl="5" w:tplc="33770778" w:tentative="1">
      <w:start w:val="1"/>
      <w:numFmt w:val="lowerRoman"/>
      <w:lvlText w:val="%6."/>
      <w:lvlJc w:val="right"/>
      <w:pPr>
        <w:ind w:left="4320" w:hanging="180"/>
      </w:pPr>
    </w:lvl>
    <w:lvl w:ilvl="6" w:tplc="33770778" w:tentative="1">
      <w:start w:val="1"/>
      <w:numFmt w:val="decimal"/>
      <w:lvlText w:val="%7."/>
      <w:lvlJc w:val="left"/>
      <w:pPr>
        <w:ind w:left="5040" w:hanging="360"/>
      </w:pPr>
    </w:lvl>
    <w:lvl w:ilvl="7" w:tplc="33770778" w:tentative="1">
      <w:start w:val="1"/>
      <w:numFmt w:val="lowerLetter"/>
      <w:lvlText w:val="%8."/>
      <w:lvlJc w:val="left"/>
      <w:pPr>
        <w:ind w:left="5760" w:hanging="360"/>
      </w:pPr>
    </w:lvl>
    <w:lvl w:ilvl="8" w:tplc="33770778" w:tentative="1">
      <w:start w:val="1"/>
      <w:numFmt w:val="lowerRoman"/>
      <w:lvlText w:val="%9."/>
      <w:lvlJc w:val="right"/>
      <w:pPr>
        <w:ind w:left="6480" w:hanging="180"/>
      </w:pPr>
    </w:lvl>
  </w:abstractNum>
  <w:abstractNum w:abstractNumId="7" w15:restartNumberingAfterBreak="0">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15:restartNumberingAfterBreak="0">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4"/>
  </w:num>
  <w:num w:numId="2">
    <w:abstractNumId w:val="8"/>
  </w:num>
  <w:num w:numId="3">
    <w:abstractNumId w:val="9"/>
  </w:num>
  <w:num w:numId="4">
    <w:abstractNumId w:val="7"/>
  </w:num>
  <w:num w:numId="5">
    <w:abstractNumId w:val="1"/>
  </w:num>
  <w:num w:numId="6">
    <w:abstractNumId w:val="0"/>
  </w:num>
  <w:num w:numId="7">
    <w:abstractNumId w:val="2"/>
  </w:num>
  <w:num w:numId="8">
    <w:abstractNumId w:val="3"/>
  </w:num>
  <w:num w:numId="9">
    <w:abstractNumId w:val="6"/>
  </w:num>
  <w:num w:numId="1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41D13"/>
    <w:rsid w:val="00217DE5"/>
    <w:rsid w:val="0040271D"/>
    <w:rsid w:val="005932B0"/>
    <w:rsid w:val="006F484E"/>
    <w:rsid w:val="00712BE7"/>
    <w:rsid w:val="00716FFE"/>
    <w:rsid w:val="008E25A0"/>
    <w:rsid w:val="008F4AE9"/>
    <w:rsid w:val="00A41D13"/>
    <w:rsid w:val="00A453F4"/>
    <w:rsid w:val="00AD43F0"/>
    <w:rsid w:val="00C86FD6"/>
    <w:rsid w:val="00E95B2E"/>
    <w:rsid w:val="00F639A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9602C58"/>
  <w15:docId w15:val="{8D7C5658-A61A-4EC0-B64A-0FADFBC911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Arial" w:hAnsi="Arial" w:cs="Arial"/>
        <w:lang w:val="en-US" w:eastAsia="en-GB"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Header">
    <w:name w:val="header"/>
    <w:basedOn w:val="Normal"/>
    <w:link w:val="HeaderChar"/>
    <w:uiPriority w:val="99"/>
    <w:unhideWhenUsed/>
    <w:rsid w:val="00217DE5"/>
    <w:pPr>
      <w:tabs>
        <w:tab w:val="center" w:pos="4513"/>
        <w:tab w:val="right" w:pos="9026"/>
      </w:tabs>
    </w:pPr>
  </w:style>
  <w:style w:type="character" w:customStyle="1" w:styleId="HeaderChar">
    <w:name w:val="Header Char"/>
    <w:basedOn w:val="DefaultParagraphFont"/>
    <w:link w:val="Header"/>
    <w:uiPriority w:val="99"/>
    <w:rsid w:val="00217DE5"/>
  </w:style>
  <w:style w:type="paragraph" w:styleId="Footer">
    <w:name w:val="footer"/>
    <w:basedOn w:val="Normal"/>
    <w:link w:val="FooterChar"/>
    <w:uiPriority w:val="99"/>
    <w:unhideWhenUsed/>
    <w:rsid w:val="00217DE5"/>
    <w:pPr>
      <w:tabs>
        <w:tab w:val="center" w:pos="4513"/>
        <w:tab w:val="right" w:pos="9026"/>
      </w:tabs>
    </w:pPr>
  </w:style>
  <w:style w:type="character" w:customStyle="1" w:styleId="FooterChar">
    <w:name w:val="Footer Char"/>
    <w:basedOn w:val="DefaultParagraphFont"/>
    <w:link w:val="Footer"/>
    <w:uiPriority w:val="99"/>
    <w:rsid w:val="00217DE5"/>
  </w:style>
  <w:style w:type="character" w:customStyle="1" w:styleId="DefaultParagraphFontPHPDOCX">
    <w:name w:val="Default Paragraph Font PHPDOCX"/>
    <w:uiPriority w:val="1"/>
    <w:semiHidden/>
    <w:unhideWhenUsed/>
  </w:style>
  <w:style w:type="paragraph" w:customStyle="1" w:styleId="ListParagraphPHPDOCX">
    <w:name w:val="List Paragraph PHPDOCX"/>
    <w:basedOn w:val="Normal"/>
    <w:uiPriority w:val="34"/>
    <w:qFormat/>
    <w:rsid w:val="00DF064E"/>
    <w:pPr>
      <w:ind w:left="720"/>
      <w:contextualSpacing/>
    </w:pPr>
  </w:style>
  <w:style w:type="paragraph" w:customStyle="1" w:styleId="TitlePHPDOCX">
    <w:name w:val="Title PHPDOCX"/>
    <w:basedOn w:val="Normal"/>
    <w:next w:val="Normal"/>
    <w:link w:val="TitleCarPHPDOCX"/>
    <w:uiPriority w:val="10"/>
    <w:qFormat/>
    <w:rsid w:val="00DF064E"/>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customStyle="1"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customStyle="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customStyle="1" w:styleId="TableGridPHPDOCX">
    <w:name w:val="Table Grid PHPDOCX"/>
    <w:uiPriority w:val="59"/>
    <w:rsid w:val="00493A0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nnotationreferencePHPDOCX">
    <w:name w:val="annotation reference PHPDOCX"/>
    <w:basedOn w:val="DefaultParagraphFontPHPDOCX"/>
    <w:uiPriority w:val="99"/>
    <w:semiHidden/>
    <w:unhideWhenUsed/>
    <w:rsid w:val="00E139EA"/>
    <w:rPr>
      <w:sz w:val="16"/>
      <w:szCs w:val="16"/>
    </w:rPr>
  </w:style>
  <w:style w:type="paragraph" w:customStyle="1" w:styleId="annotationtextPHPDOCX">
    <w:name w:val="annotation text PHPDOCX"/>
    <w:basedOn w:val="Normal"/>
    <w:link w:val="CommentTextCharPHPDOCX"/>
    <w:uiPriority w:val="99"/>
    <w:semiHidden/>
    <w:unhideWhenUsed/>
    <w:rsid w:val="00E139EA"/>
  </w:style>
  <w:style w:type="character" w:customStyle="1" w:styleId="CommentTextCharPHPDOCX">
    <w:name w:val="Comment Text Char PHPDOCX"/>
    <w:basedOn w:val="DefaultParagraphFontPHPDOCX"/>
    <w:link w:val="annotationtextPHPDOCX"/>
    <w:uiPriority w:val="99"/>
    <w:semiHidden/>
    <w:rsid w:val="00E139EA"/>
    <w:rPr>
      <w:sz w:val="20"/>
      <w:szCs w:val="20"/>
    </w:rPr>
  </w:style>
  <w:style w:type="paragraph" w:customStyle="1" w:styleId="annotationsubjectPHPDOCX">
    <w:name w:val="annotation subject PHPDOCX"/>
    <w:basedOn w:val="annotationtextPHPDOCX"/>
    <w:next w:val="annotation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annotationsubjectPHPDOCX"/>
    <w:uiPriority w:val="99"/>
    <w:semiHidden/>
    <w:rsid w:val="00E139EA"/>
    <w:rPr>
      <w:b/>
      <w:bCs/>
      <w:sz w:val="20"/>
      <w:szCs w:val="20"/>
    </w:rPr>
  </w:style>
  <w:style w:type="paragraph" w:customStyle="1" w:styleId="BalloonTextPHPDOCX">
    <w:name w:val="Balloon Text PHPDOCX"/>
    <w:basedOn w:val="Normal"/>
    <w:link w:val="BalloonTextCharPHPDOCX"/>
    <w:uiPriority w:val="99"/>
    <w:semiHidden/>
    <w:unhideWhenUsed/>
    <w:rsid w:val="00E139EA"/>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customStyle="1" w:styleId="footnoteTextPHPDOCX">
    <w:name w:val="footnote Text PHPDOCX"/>
    <w:basedOn w:val="Normal"/>
    <w:link w:val="footnoteTextCarPHPDOCX"/>
    <w:uiPriority w:val="99"/>
    <w:semiHidden/>
    <w:unhideWhenUsed/>
    <w:rsid w:val="006E0FDA"/>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customStyle="1" w:styleId="footnoteReferencePHPDOCX">
    <w:name w:val="footnote Reference PHPDOCX"/>
    <w:basedOn w:val="DefaultParagraphFontPHPDOCX"/>
    <w:uiPriority w:val="99"/>
    <w:semiHidden/>
    <w:unhideWhenUsed/>
    <w:rsid w:val="006E0FDA"/>
    <w:rPr>
      <w:vertAlign w:val="superscript"/>
    </w:rPr>
  </w:style>
  <w:style w:type="paragraph" w:customStyle="1" w:styleId="endnoteTextPHPDOCX">
    <w:name w:val="endnote Text PHPDOCX"/>
    <w:basedOn w:val="Normal"/>
    <w:link w:val="endnoteTextCarPHPDOCX"/>
    <w:uiPriority w:val="99"/>
    <w:semiHidden/>
    <w:unhideWhenUsed/>
    <w:rsid w:val="006E0FDA"/>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customStyle="1"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educationendowmentfoundation.org.uk/projects-and-evaluation/promising-programmes" TargetMode="External"/><Relationship Id="rId18" Type="http://schemas.openxmlformats.org/officeDocument/2006/relationships/hyperlink" Target="https://www.gov.uk/government/publications/inclusive-mainstream-fund-support-for-school-leaders/inclusive-mainstream-fund-best-practice-for-schools"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webSettings" Target="webSettings.xml"/><Relationship Id="rId12" Type="http://schemas.openxmlformats.org/officeDocument/2006/relationships/hyperlink" Target="https://speechandlanguage.org.uk/educators-and-professionals/resource-library-for-educators/" TargetMode="External"/><Relationship Id="rId17" Type="http://schemas.openxmlformats.org/officeDocument/2006/relationships/hyperlink" Target="https://www.mentallyhealthyschools.org.uk/targeted-support/" TargetMode="External"/><Relationship Id="rId2" Type="http://schemas.openxmlformats.org/officeDocument/2006/relationships/customXml" Target="../customXml/item2.xml"/><Relationship Id="rId16" Type="http://schemas.openxmlformats.org/officeDocument/2006/relationships/hyperlink" Target="https://attendancetoolkit.blob.core.windows.net/toolkit-doc/Attendance%20toolkit%20for%20schools.pdf"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educationendowmentfoundation.org.uk/education-evidence/guidance-reports/send" TargetMode="External"/><Relationship Id="rId5" Type="http://schemas.openxmlformats.org/officeDocument/2006/relationships/styles" Target="styles.xml"/><Relationship Id="rId15" Type="http://schemas.openxmlformats.org/officeDocument/2006/relationships/hyperlink" Target="https://www.gov.uk/government/publications/inclusive-mainstream-fund-support-for-school-leaders/inclusive-mainstream-fund-best-practice-for-schools" TargetMode="External"/><Relationship Id="rId10" Type="http://schemas.openxmlformats.org/officeDocument/2006/relationships/hyperlink" Target="https://www.gov.uk/government/publications/inclusive-mainstream-fund-support-for-school-leaders/inclusive-mainstream-fund-best-practice-for-schools" TargetMode="External"/><Relationship Id="rId19"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gov.uk/government/publications/inclusive-mainstream-fund-support-for-school-leaders/inclusive-mainstream-fund-best-practice-for-schools" TargetMode="External"/><Relationship Id="rId22"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hyperlink" Target="https://sltai.co.uk/"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11622E6E69C62418A9892FA0C9C80BF" ma:contentTypeVersion="19" ma:contentTypeDescription="Create a new document." ma:contentTypeScope="" ma:versionID="3f670c6ad2db36d69440c088b69808b8">
  <xsd:schema xmlns:xsd="http://www.w3.org/2001/XMLSchema" xmlns:xs="http://www.w3.org/2001/XMLSchema" xmlns:p="http://schemas.microsoft.com/office/2006/metadata/properties" xmlns:ns3="5faa0b89-750c-41ce-821c-4eb66d484b02" xmlns:ns4="6934c984-c808-4154-931f-97ff96d6e524" targetNamespace="http://schemas.microsoft.com/office/2006/metadata/properties" ma:root="true" ma:fieldsID="c84bc2b4defbbaa949f79a6aea70c320" ns3:_="" ns4:_="">
    <xsd:import namespace="5faa0b89-750c-41ce-821c-4eb66d484b02"/>
    <xsd:import namespace="6934c984-c808-4154-931f-97ff96d6e524"/>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4:SharedWithUsers" minOccurs="0"/>
                <xsd:element ref="ns4:SharedWithDetails" minOccurs="0"/>
                <xsd:element ref="ns4:SharingHintHash" minOccurs="0"/>
                <xsd:element ref="ns3:MediaServiceGenerationTime" minOccurs="0"/>
                <xsd:element ref="ns3:MediaServiceEventHashCode" minOccurs="0"/>
                <xsd:element ref="ns3:MediaServiceAutoKeyPoints" minOccurs="0"/>
                <xsd:element ref="ns3:MediaServiceKeyPoints" minOccurs="0"/>
                <xsd:element ref="ns3:MediaServiceLocation" minOccurs="0"/>
                <xsd:element ref="ns3:MediaLengthInSeconds" minOccurs="0"/>
                <xsd:element ref="ns3:_activity" minOccurs="0"/>
                <xsd:element ref="ns3:MediaServiceObjectDetectorVersions" minOccurs="0"/>
                <xsd:element ref="ns3:MediaServiceSystemTag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aa0b89-750c-41ce-821c-4eb66d484b0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MediaLengthInSeconds" ma:index="21" nillable="true" ma:displayName="Length (seconds)"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934c984-c808-4154-931f-97ff96d6e524"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SharingHintHash" ma:index="15"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5faa0b89-750c-41ce-821c-4eb66d484b02" xsi:nil="true"/>
  </documentManagement>
</p:properties>
</file>

<file path=customXml/itemProps1.xml><?xml version="1.0" encoding="utf-8"?>
<ds:datastoreItem xmlns:ds="http://schemas.openxmlformats.org/officeDocument/2006/customXml" ds:itemID="{F3D8BEEE-6FC7-43D2-ABF1-BAA69F461CB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faa0b89-750c-41ce-821c-4eb66d484b02"/>
    <ds:schemaRef ds:uri="6934c984-c808-4154-931f-97ff96d6e52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E67BA59-322F-421A-8E29-A337D8D97A9E}">
  <ds:schemaRefs>
    <ds:schemaRef ds:uri="http://schemas.microsoft.com/sharepoint/v3/contenttype/forms"/>
  </ds:schemaRefs>
</ds:datastoreItem>
</file>

<file path=customXml/itemProps3.xml><?xml version="1.0" encoding="utf-8"?>
<ds:datastoreItem xmlns:ds="http://schemas.openxmlformats.org/officeDocument/2006/customXml" ds:itemID="{FAD238A2-FDC7-45CD-B352-941C6BC6EB1F}">
  <ds:schemaRefs>
    <ds:schemaRef ds:uri="6934c984-c808-4154-931f-97ff96d6e524"/>
    <ds:schemaRef ds:uri="http://schemas.microsoft.com/office/2006/documentManagement/types"/>
    <ds:schemaRef ds:uri="5faa0b89-750c-41ce-821c-4eb66d484b02"/>
    <ds:schemaRef ds:uri="http://www.w3.org/XML/1998/namespace"/>
    <ds:schemaRef ds:uri="http://schemas.microsoft.com/office/2006/metadata/properties"/>
    <ds:schemaRef ds:uri="http://purl.org/dc/dcmitype/"/>
    <ds:schemaRef ds:uri="http://purl.org/dc/terms/"/>
    <ds:schemaRef ds:uri="http://schemas.openxmlformats.org/package/2006/metadata/core-properties"/>
    <ds:schemaRef ds:uri="http://purl.org/dc/elements/1.1/"/>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3027</Words>
  <Characters>17260</Characters>
  <Application>Microsoft Office Word</Application>
  <DocSecurity>0</DocSecurity>
  <Lines>143</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20247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Ruth Colley</dc:creator>
  <cp:lastModifiedBy>R Colley</cp:lastModifiedBy>
  <cp:revision>2</cp:revision>
  <dcterms:created xsi:type="dcterms:W3CDTF">2026-10-01T08:50:00Z</dcterms:created>
  <dcterms:modified xsi:type="dcterms:W3CDTF">2026-10-01T08:50:00Z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0x010100A11622E6E69C62418A9892FA0C9C80BF</vt:lpwstr>
  </property>
</Properties>
</file>