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6B8" w:rsidRDefault="00766D6D">
      <w:pPr>
        <w:pBdr>
          <w:top w:val="nil"/>
          <w:left w:val="nil"/>
          <w:bottom w:val="nil"/>
          <w:right w:val="nil"/>
          <w:between w:val="nil"/>
        </w:pBdr>
        <w:spacing w:after="120"/>
        <w:jc w:val="center"/>
        <w:rPr>
          <w:b/>
          <w:color w:val="000000"/>
          <w:sz w:val="60"/>
          <w:szCs w:val="60"/>
        </w:rPr>
      </w:pPr>
      <w:r>
        <w:rPr>
          <w:b/>
          <w:color w:val="000000"/>
          <w:sz w:val="60"/>
          <w:szCs w:val="60"/>
        </w:rPr>
        <w:t>COVID-19 catch-up premium report</w:t>
      </w:r>
    </w:p>
    <w:p w:rsidR="008836B8" w:rsidRDefault="00766D6D">
      <w:pPr>
        <w:pBdr>
          <w:top w:val="nil"/>
          <w:left w:val="nil"/>
          <w:bottom w:val="nil"/>
          <w:right w:val="nil"/>
          <w:between w:val="nil"/>
        </w:pBdr>
        <w:spacing w:after="120"/>
        <w:rPr>
          <w:color w:val="000000"/>
        </w:rPr>
      </w:pPr>
      <w:r>
        <w:rPr>
          <w:noProof/>
          <w:lang w:val="en-GB"/>
        </w:rPr>
        <mc:AlternateContent>
          <mc:Choice Requires="wpg">
            <w:drawing>
              <wp:anchor distT="4294967295" distB="4294967295" distL="114300" distR="114300" simplePos="0" relativeHeight="251658240" behindDoc="0" locked="0" layoutInCell="1" hidden="0" allowOverlap="1">
                <wp:simplePos x="0" y="0"/>
                <wp:positionH relativeFrom="column">
                  <wp:posOffset>12701</wp:posOffset>
                </wp:positionH>
                <wp:positionV relativeFrom="paragraph">
                  <wp:posOffset>5096</wp:posOffset>
                </wp:positionV>
                <wp:extent cx="9371965" cy="12700"/>
                <wp:effectExtent l="0" t="0" r="0" b="0"/>
                <wp:wrapNone/>
                <wp:docPr id="1" name=""/>
                <wp:cNvGraphicFramePr/>
                <a:graphic xmlns:a="http://schemas.openxmlformats.org/drawingml/2006/main">
                  <a:graphicData uri="http://schemas.microsoft.com/office/word/2010/wordprocessingShape">
                    <wps:wsp>
                      <wps:cNvCnPr/>
                      <wps:spPr>
                        <a:xfrm>
                          <a:off x="660018" y="3780000"/>
                          <a:ext cx="9371965"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12701</wp:posOffset>
                </wp:positionH>
                <wp:positionV relativeFrom="paragraph">
                  <wp:posOffset>5096</wp:posOffset>
                </wp:positionV>
                <wp:extent cx="9371965"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371965" cy="12700"/>
                        </a:xfrm>
                        <a:prstGeom prst="rect"/>
                        <a:ln/>
                      </pic:spPr>
                    </pic:pic>
                  </a:graphicData>
                </a:graphic>
              </wp:anchor>
            </w:drawing>
          </mc:Fallback>
        </mc:AlternateContent>
      </w:r>
    </w:p>
    <w:p w:rsidR="008836B8" w:rsidRDefault="00766D6D">
      <w:pPr>
        <w:jc w:val="center"/>
        <w:rPr>
          <w:sz w:val="24"/>
          <w:szCs w:val="24"/>
        </w:rPr>
      </w:pPr>
      <w:r>
        <w:rPr>
          <w:b/>
          <w:sz w:val="24"/>
          <w:szCs w:val="24"/>
        </w:rPr>
        <w:t>“Guided by Jesus Christ, our teacher, we journey together,</w:t>
      </w:r>
      <w:r>
        <w:rPr>
          <w:sz w:val="24"/>
          <w:szCs w:val="24"/>
        </w:rPr>
        <w:t xml:space="preserve"> </w:t>
      </w:r>
      <w:r>
        <w:rPr>
          <w:b/>
          <w:sz w:val="24"/>
          <w:szCs w:val="24"/>
        </w:rPr>
        <w:t>learning to dream, believe and achieve”</w:t>
      </w:r>
    </w:p>
    <w:p w:rsidR="008836B8" w:rsidRDefault="00766D6D">
      <w:pPr>
        <w:pStyle w:val="Heading2"/>
        <w:shd w:val="clear" w:color="auto" w:fill="FFFFFF"/>
        <w:spacing w:before="675" w:after="0"/>
        <w:rPr>
          <w:rFonts w:ascii="Arial" w:eastAsia="Arial" w:hAnsi="Arial" w:cs="Arial"/>
          <w:color w:val="0B0C0C"/>
        </w:rPr>
      </w:pPr>
      <w:r>
        <w:rPr>
          <w:rFonts w:ascii="Arial" w:eastAsia="Arial" w:hAnsi="Arial" w:cs="Arial"/>
          <w:color w:val="0B0C0C"/>
        </w:rPr>
        <w:t>Funding Allocation</w:t>
      </w:r>
    </w:p>
    <w:p w:rsidR="008836B8" w:rsidRDefault="00766D6D">
      <w:pPr>
        <w:pBdr>
          <w:top w:val="nil"/>
          <w:left w:val="nil"/>
          <w:bottom w:val="nil"/>
          <w:right w:val="nil"/>
          <w:between w:val="nil"/>
        </w:pBdr>
        <w:shd w:val="clear" w:color="auto" w:fill="FFFFFF"/>
        <w:spacing w:before="300" w:after="300"/>
        <w:rPr>
          <w:color w:val="000000"/>
        </w:rPr>
      </w:pPr>
      <w:r>
        <w:rPr>
          <w:color w:val="0B0C0C"/>
          <w:sz w:val="22"/>
          <w:szCs w:val="22"/>
        </w:rPr>
        <w:t xml:space="preserve">Schools’ allocations will be calculated on a per pupil basis, providing each mainstream school with a total of £80 for each pupil in </w:t>
      </w:r>
      <w:proofErr w:type="gramStart"/>
      <w:r>
        <w:rPr>
          <w:color w:val="0B0C0C"/>
          <w:sz w:val="22"/>
          <w:szCs w:val="22"/>
        </w:rPr>
        <w:t>years</w:t>
      </w:r>
      <w:proofErr w:type="gramEnd"/>
      <w:r>
        <w:rPr>
          <w:color w:val="0B0C0C"/>
          <w:sz w:val="22"/>
          <w:szCs w:val="22"/>
        </w:rPr>
        <w:t xml:space="preserve"> reception through to 11.</w:t>
      </w:r>
    </w:p>
    <w:p w:rsidR="008836B8" w:rsidRDefault="00766D6D">
      <w:pPr>
        <w:pBdr>
          <w:top w:val="nil"/>
          <w:left w:val="nil"/>
          <w:bottom w:val="nil"/>
          <w:right w:val="nil"/>
          <w:between w:val="nil"/>
        </w:pBdr>
        <w:spacing w:before="360" w:after="120" w:line="259" w:lineRule="auto"/>
        <w:rPr>
          <w:b/>
          <w:color w:val="FF1F64"/>
          <w:sz w:val="32"/>
          <w:szCs w:val="32"/>
        </w:rPr>
      </w:pPr>
      <w:r>
        <w:rPr>
          <w:b/>
          <w:color w:val="FF1F64"/>
          <w:sz w:val="32"/>
          <w:szCs w:val="32"/>
        </w:rPr>
        <w:t>COVID-19 catch-up premium spending: summary</w:t>
      </w:r>
    </w:p>
    <w:p w:rsidR="008836B8" w:rsidRDefault="008836B8">
      <w:pPr>
        <w:pBdr>
          <w:top w:val="nil"/>
          <w:left w:val="nil"/>
          <w:bottom w:val="nil"/>
          <w:right w:val="nil"/>
          <w:between w:val="nil"/>
        </w:pBdr>
        <w:spacing w:before="360" w:after="120" w:line="259" w:lineRule="auto"/>
        <w:rPr>
          <w:color w:val="00FF00"/>
          <w:sz w:val="22"/>
          <w:szCs w:val="22"/>
        </w:rPr>
      </w:pPr>
    </w:p>
    <w:tbl>
      <w:tblPr>
        <w:tblStyle w:val="a"/>
        <w:tblW w:w="1491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4350"/>
        <w:gridCol w:w="2835"/>
        <w:gridCol w:w="5055"/>
        <w:gridCol w:w="2670"/>
      </w:tblGrid>
      <w:tr w:rsidR="008836B8">
        <w:tc>
          <w:tcPr>
            <w:tcW w:w="14910" w:type="dxa"/>
            <w:gridSpan w:val="4"/>
            <w:tcBorders>
              <w:top w:val="single" w:sz="4" w:space="0" w:color="12263F"/>
              <w:left w:val="single" w:sz="4" w:space="0" w:color="12263F"/>
              <w:bottom w:val="single" w:sz="4" w:space="0" w:color="12263F"/>
              <w:right w:val="single" w:sz="4" w:space="0" w:color="12263F"/>
            </w:tcBorders>
            <w:shd w:val="clear" w:color="auto" w:fill="12263F"/>
            <w:tcMar>
              <w:top w:w="113" w:type="dxa"/>
              <w:bottom w:w="113" w:type="dxa"/>
            </w:tcMar>
          </w:tcPr>
          <w:p w:rsidR="008836B8" w:rsidRDefault="00766D6D">
            <w:pPr>
              <w:pBdr>
                <w:top w:val="nil"/>
                <w:left w:val="nil"/>
                <w:bottom w:val="nil"/>
                <w:right w:val="nil"/>
                <w:between w:val="nil"/>
              </w:pBdr>
              <w:rPr>
                <w:color w:val="F8F8F8"/>
              </w:rPr>
            </w:pPr>
            <w:r>
              <w:rPr>
                <w:smallCaps/>
                <w:color w:val="F8F8F8"/>
              </w:rPr>
              <w:t>SUMMARY INFORMATION</w:t>
            </w:r>
          </w:p>
        </w:tc>
      </w:tr>
      <w:tr w:rsidR="008836B8">
        <w:tc>
          <w:tcPr>
            <w:tcW w:w="4350" w:type="dxa"/>
            <w:tcMar>
              <w:top w:w="113" w:type="dxa"/>
              <w:bottom w:w="113" w:type="dxa"/>
            </w:tcMar>
          </w:tcPr>
          <w:p w:rsidR="008836B8" w:rsidRDefault="00766D6D">
            <w:pPr>
              <w:pBdr>
                <w:top w:val="nil"/>
                <w:left w:val="nil"/>
                <w:bottom w:val="nil"/>
                <w:right w:val="nil"/>
                <w:between w:val="nil"/>
              </w:pBdr>
              <w:spacing w:after="60"/>
              <w:rPr>
                <w:color w:val="000000"/>
              </w:rPr>
            </w:pPr>
            <w:r>
              <w:rPr>
                <w:color w:val="000000"/>
              </w:rPr>
              <w:t>Total number of pupils:</w:t>
            </w:r>
          </w:p>
        </w:tc>
        <w:tc>
          <w:tcPr>
            <w:tcW w:w="2835" w:type="dxa"/>
            <w:tcMar>
              <w:top w:w="113" w:type="dxa"/>
              <w:bottom w:w="113" w:type="dxa"/>
            </w:tcMar>
          </w:tcPr>
          <w:p w:rsidR="008836B8" w:rsidRDefault="00766D6D">
            <w:pPr>
              <w:pBdr>
                <w:top w:val="nil"/>
                <w:left w:val="nil"/>
                <w:bottom w:val="nil"/>
                <w:right w:val="nil"/>
                <w:between w:val="nil"/>
              </w:pBdr>
              <w:spacing w:after="60"/>
              <w:rPr>
                <w:color w:val="000000"/>
              </w:rPr>
            </w:pPr>
            <w:r>
              <w:rPr>
                <w:color w:val="000000"/>
              </w:rPr>
              <w:t>418 (Reception –Year 6)</w:t>
            </w:r>
          </w:p>
        </w:tc>
        <w:tc>
          <w:tcPr>
            <w:tcW w:w="5055" w:type="dxa"/>
          </w:tcPr>
          <w:p w:rsidR="008836B8" w:rsidRDefault="00766D6D">
            <w:pPr>
              <w:pBdr>
                <w:top w:val="nil"/>
                <w:left w:val="nil"/>
                <w:bottom w:val="nil"/>
                <w:right w:val="nil"/>
                <w:between w:val="nil"/>
              </w:pBdr>
              <w:spacing w:after="60"/>
              <w:rPr>
                <w:color w:val="000000"/>
              </w:rPr>
            </w:pPr>
            <w:r>
              <w:rPr>
                <w:color w:val="000000"/>
              </w:rPr>
              <w:t>Amount of catch-up premium received per pupil:</w:t>
            </w:r>
          </w:p>
        </w:tc>
        <w:tc>
          <w:tcPr>
            <w:tcW w:w="2670" w:type="dxa"/>
            <w:tcMar>
              <w:top w:w="113" w:type="dxa"/>
              <w:bottom w:w="113" w:type="dxa"/>
            </w:tcMar>
          </w:tcPr>
          <w:p w:rsidR="008836B8" w:rsidRDefault="00766D6D">
            <w:pPr>
              <w:pBdr>
                <w:top w:val="nil"/>
                <w:left w:val="nil"/>
                <w:bottom w:val="nil"/>
                <w:right w:val="nil"/>
                <w:between w:val="nil"/>
              </w:pBdr>
              <w:spacing w:after="60"/>
              <w:rPr>
                <w:color w:val="000000"/>
              </w:rPr>
            </w:pPr>
            <w:r>
              <w:rPr>
                <w:color w:val="000000"/>
              </w:rPr>
              <w:t>£80</w:t>
            </w:r>
          </w:p>
        </w:tc>
      </w:tr>
      <w:tr w:rsidR="008836B8">
        <w:trPr>
          <w:trHeight w:val="259"/>
        </w:trPr>
        <w:tc>
          <w:tcPr>
            <w:tcW w:w="4350" w:type="dxa"/>
            <w:tcMar>
              <w:top w:w="113" w:type="dxa"/>
              <w:bottom w:w="113" w:type="dxa"/>
            </w:tcMar>
          </w:tcPr>
          <w:p w:rsidR="008836B8" w:rsidRDefault="00766D6D">
            <w:pPr>
              <w:pBdr>
                <w:top w:val="nil"/>
                <w:left w:val="nil"/>
                <w:bottom w:val="nil"/>
                <w:right w:val="nil"/>
                <w:between w:val="nil"/>
              </w:pBdr>
              <w:spacing w:after="60"/>
              <w:rPr>
                <w:color w:val="000000"/>
              </w:rPr>
            </w:pPr>
            <w:r>
              <w:rPr>
                <w:color w:val="000000"/>
              </w:rPr>
              <w:t>Total catch-up premium budget:</w:t>
            </w:r>
          </w:p>
        </w:tc>
        <w:tc>
          <w:tcPr>
            <w:tcW w:w="2835" w:type="dxa"/>
            <w:tcMar>
              <w:top w:w="113" w:type="dxa"/>
              <w:bottom w:w="113" w:type="dxa"/>
            </w:tcMar>
          </w:tcPr>
          <w:p w:rsidR="008836B8" w:rsidRDefault="00766D6D">
            <w:pPr>
              <w:pBdr>
                <w:top w:val="nil"/>
                <w:left w:val="nil"/>
                <w:bottom w:val="nil"/>
                <w:right w:val="nil"/>
                <w:between w:val="nil"/>
              </w:pBdr>
              <w:spacing w:after="60"/>
              <w:rPr>
                <w:color w:val="000000"/>
              </w:rPr>
            </w:pPr>
            <w:r>
              <w:rPr>
                <w:color w:val="000000"/>
              </w:rPr>
              <w:t>£33,440</w:t>
            </w:r>
          </w:p>
        </w:tc>
        <w:tc>
          <w:tcPr>
            <w:tcW w:w="5055" w:type="dxa"/>
          </w:tcPr>
          <w:p w:rsidR="008836B8" w:rsidRDefault="008836B8">
            <w:pPr>
              <w:pBdr>
                <w:top w:val="nil"/>
                <w:left w:val="nil"/>
                <w:bottom w:val="nil"/>
                <w:right w:val="nil"/>
                <w:between w:val="nil"/>
              </w:pBdr>
              <w:spacing w:after="60"/>
              <w:rPr>
                <w:color w:val="000000"/>
              </w:rPr>
            </w:pPr>
          </w:p>
        </w:tc>
        <w:tc>
          <w:tcPr>
            <w:tcW w:w="2670" w:type="dxa"/>
            <w:tcMar>
              <w:top w:w="113" w:type="dxa"/>
              <w:bottom w:w="113" w:type="dxa"/>
            </w:tcMar>
          </w:tcPr>
          <w:p w:rsidR="008836B8" w:rsidRDefault="008836B8">
            <w:pPr>
              <w:pBdr>
                <w:top w:val="nil"/>
                <w:left w:val="nil"/>
                <w:bottom w:val="nil"/>
                <w:right w:val="nil"/>
                <w:between w:val="nil"/>
              </w:pBdr>
              <w:spacing w:after="60"/>
              <w:rPr>
                <w:color w:val="000000"/>
              </w:rPr>
            </w:pPr>
          </w:p>
        </w:tc>
      </w:tr>
    </w:tbl>
    <w:p w:rsidR="008836B8" w:rsidRDefault="008836B8">
      <w:pPr>
        <w:pBdr>
          <w:top w:val="nil"/>
          <w:left w:val="nil"/>
          <w:bottom w:val="nil"/>
          <w:right w:val="nil"/>
          <w:between w:val="nil"/>
        </w:pBdr>
        <w:spacing w:after="120"/>
        <w:rPr>
          <w:highlight w:val="yellow"/>
        </w:rPr>
      </w:pPr>
    </w:p>
    <w:tbl>
      <w:tblPr>
        <w:tblStyle w:val="a0"/>
        <w:tblW w:w="1498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14985"/>
      </w:tblGrid>
      <w:tr w:rsidR="008836B8">
        <w:trPr>
          <w:trHeight w:val="90"/>
        </w:trPr>
        <w:tc>
          <w:tcPr>
            <w:tcW w:w="14985" w:type="dxa"/>
            <w:tcBorders>
              <w:top w:val="single" w:sz="4" w:space="0" w:color="12263F"/>
              <w:left w:val="single" w:sz="4" w:space="0" w:color="12263F"/>
              <w:bottom w:val="single" w:sz="4" w:space="0" w:color="12263F"/>
              <w:right w:val="single" w:sz="4" w:space="0" w:color="12263F"/>
            </w:tcBorders>
            <w:shd w:val="clear" w:color="auto" w:fill="12263F"/>
            <w:tcMar>
              <w:top w:w="113" w:type="dxa"/>
              <w:bottom w:w="113" w:type="dxa"/>
            </w:tcMar>
          </w:tcPr>
          <w:p w:rsidR="008836B8" w:rsidRDefault="00766D6D">
            <w:pPr>
              <w:pBdr>
                <w:top w:val="nil"/>
                <w:left w:val="nil"/>
                <w:bottom w:val="nil"/>
                <w:right w:val="nil"/>
                <w:between w:val="nil"/>
              </w:pBdr>
              <w:rPr>
                <w:color w:val="F8F8F8"/>
              </w:rPr>
            </w:pPr>
            <w:r>
              <w:rPr>
                <w:smallCaps/>
                <w:color w:val="F8F8F8"/>
              </w:rPr>
              <w:t>STRATEGY STATEMENT</w:t>
            </w:r>
          </w:p>
        </w:tc>
      </w:tr>
      <w:tr w:rsidR="008836B8">
        <w:tc>
          <w:tcPr>
            <w:tcW w:w="14985" w:type="dxa"/>
            <w:tcMar>
              <w:top w:w="113" w:type="dxa"/>
              <w:bottom w:w="113" w:type="dxa"/>
            </w:tcMar>
          </w:tcPr>
          <w:p w:rsidR="008836B8" w:rsidRDefault="00766D6D">
            <w:r>
              <w:t xml:space="preserve">We </w:t>
            </w:r>
            <w:proofErr w:type="spellStart"/>
            <w:r>
              <w:t>recognise</w:t>
            </w:r>
            <w:proofErr w:type="spellEnd"/>
            <w:r>
              <w:t xml:space="preserve"> the impact that the Covid-19 lockdown has had on children's emotional wellbeing and the negative impact on their learning.  </w:t>
            </w:r>
          </w:p>
          <w:p w:rsidR="008836B8" w:rsidRDefault="00766D6D">
            <w:r>
              <w:t>In terms of learning, we have been allocated </w:t>
            </w:r>
            <w:r>
              <w:rPr>
                <w:color w:val="000000"/>
              </w:rPr>
              <w:t>£33,440</w:t>
            </w:r>
            <w:r>
              <w:rPr>
                <w:b/>
                <w:color w:val="000000"/>
                <w:sz w:val="24"/>
                <w:szCs w:val="24"/>
              </w:rPr>
              <w:t xml:space="preserve"> </w:t>
            </w:r>
            <w:r>
              <w:t>for the academic year 2020 - 2021.  </w:t>
            </w:r>
          </w:p>
          <w:p w:rsidR="008836B8" w:rsidRDefault="00766D6D">
            <w:r>
              <w:t xml:space="preserve">Staff have assessed and highlighted the learning needs of children within their classes and we have planned provision accordingly to meet those needs. The baseline assessments were low and support has to be targeted. Based on this evidence we are prioritizing a number of approaches to our ‘catch up’ </w:t>
            </w:r>
            <w:proofErr w:type="spellStart"/>
            <w:r>
              <w:t>programme</w:t>
            </w:r>
            <w:proofErr w:type="spellEnd"/>
            <w:r>
              <w:t xml:space="preserve">. The aim will be to raise the attainment of all pupils to close the gap created by </w:t>
            </w:r>
            <w:proofErr w:type="spellStart"/>
            <w:r>
              <w:t>Covid</w:t>
            </w:r>
            <w:proofErr w:type="spellEnd"/>
            <w:r>
              <w:t xml:space="preserve"> 19 school closures.</w:t>
            </w:r>
          </w:p>
          <w:p w:rsidR="008836B8" w:rsidRDefault="00766D6D">
            <w:r>
              <w:t>Teaching and whole school strategies:</w:t>
            </w:r>
          </w:p>
          <w:p w:rsidR="008836B8" w:rsidRDefault="00766D6D">
            <w:pPr>
              <w:numPr>
                <w:ilvl w:val="0"/>
                <w:numId w:val="1"/>
              </w:numPr>
            </w:pPr>
            <w:r>
              <w:t>Professional development of the English subject lead in order to train staff on successful writing strategies.</w:t>
            </w:r>
          </w:p>
          <w:p w:rsidR="008836B8" w:rsidRDefault="00766D6D">
            <w:pPr>
              <w:numPr>
                <w:ilvl w:val="0"/>
                <w:numId w:val="1"/>
              </w:numPr>
            </w:pPr>
            <w:r>
              <w:t>Professional development of the EYFS subject lead in order to train staff on successful reading strategies.</w:t>
            </w:r>
          </w:p>
          <w:p w:rsidR="008836B8" w:rsidRDefault="00766D6D">
            <w:pPr>
              <w:numPr>
                <w:ilvl w:val="0"/>
                <w:numId w:val="1"/>
              </w:numPr>
            </w:pPr>
            <w:r>
              <w:t xml:space="preserve">Subject specific assessments (Reading, </w:t>
            </w:r>
            <w:proofErr w:type="spellStart"/>
            <w:r>
              <w:t>Maths</w:t>
            </w:r>
            <w:proofErr w:type="spellEnd"/>
            <w:r>
              <w:t xml:space="preserve">, GPS) to identify areas where pupils have forgotten or misunderstood key concepts and identify children for additional catch-up support. </w:t>
            </w:r>
          </w:p>
          <w:p w:rsidR="008836B8" w:rsidRDefault="00766D6D">
            <w:r>
              <w:lastRenderedPageBreak/>
              <w:t>Targeted support:</w:t>
            </w:r>
          </w:p>
          <w:p w:rsidR="008836B8" w:rsidRDefault="00766D6D">
            <w:pPr>
              <w:numPr>
                <w:ilvl w:val="0"/>
                <w:numId w:val="2"/>
              </w:numPr>
            </w:pPr>
            <w:r>
              <w:t>One to one and small group catch up sessions.</w:t>
            </w:r>
          </w:p>
          <w:p w:rsidR="008836B8" w:rsidRDefault="00766D6D">
            <w:pPr>
              <w:numPr>
                <w:ilvl w:val="0"/>
                <w:numId w:val="2"/>
              </w:numPr>
            </w:pPr>
            <w:proofErr w:type="spellStart"/>
            <w:r>
              <w:t>Maths</w:t>
            </w:r>
            <w:proofErr w:type="spellEnd"/>
            <w:r>
              <w:t xml:space="preserve"> tuition for identified Year 6 pupil premium children.</w:t>
            </w:r>
          </w:p>
          <w:p w:rsidR="008836B8" w:rsidRDefault="00766D6D">
            <w:pPr>
              <w:numPr>
                <w:ilvl w:val="0"/>
                <w:numId w:val="2"/>
              </w:numPr>
            </w:pPr>
            <w:r>
              <w:t xml:space="preserve">English and </w:t>
            </w:r>
            <w:proofErr w:type="spellStart"/>
            <w:r>
              <w:t>Maths</w:t>
            </w:r>
            <w:proofErr w:type="spellEnd"/>
            <w:r>
              <w:t xml:space="preserve"> structured intervention </w:t>
            </w:r>
            <w:proofErr w:type="spellStart"/>
            <w:r>
              <w:t>programmes</w:t>
            </w:r>
            <w:proofErr w:type="spellEnd"/>
            <w:r>
              <w:t>.</w:t>
            </w:r>
          </w:p>
          <w:p w:rsidR="008836B8" w:rsidRDefault="00766D6D">
            <w:pPr>
              <w:numPr>
                <w:ilvl w:val="0"/>
                <w:numId w:val="2"/>
              </w:numPr>
            </w:pPr>
            <w:r>
              <w:t xml:space="preserve">Extending the length of the day for pupils in Year 3 and 6 to provide additional academic support in English and </w:t>
            </w:r>
            <w:proofErr w:type="spellStart"/>
            <w:r>
              <w:t>maths</w:t>
            </w:r>
            <w:proofErr w:type="spellEnd"/>
            <w:r>
              <w:t>.</w:t>
            </w:r>
          </w:p>
          <w:p w:rsidR="008836B8" w:rsidRDefault="00766D6D">
            <w:r>
              <w:t>Wider support:</w:t>
            </w:r>
          </w:p>
          <w:p w:rsidR="008836B8" w:rsidRDefault="00766D6D">
            <w:pPr>
              <w:numPr>
                <w:ilvl w:val="0"/>
                <w:numId w:val="10"/>
              </w:numPr>
              <w:ind w:right="-496"/>
            </w:pPr>
            <w:r>
              <w:t>To provide regular and supportive communications with parents to increase engagement with learning.</w:t>
            </w:r>
          </w:p>
        </w:tc>
      </w:tr>
    </w:tbl>
    <w:p w:rsidR="008836B8" w:rsidRDefault="00766D6D">
      <w:pPr>
        <w:pBdr>
          <w:top w:val="nil"/>
          <w:left w:val="nil"/>
          <w:bottom w:val="nil"/>
          <w:right w:val="nil"/>
          <w:between w:val="nil"/>
        </w:pBdr>
        <w:spacing w:before="360" w:after="120" w:line="259" w:lineRule="auto"/>
        <w:rPr>
          <w:color w:val="000000"/>
          <w:highlight w:val="yellow"/>
        </w:rPr>
      </w:pPr>
      <w:r>
        <w:rPr>
          <w:b/>
          <w:color w:val="FF1F64"/>
          <w:sz w:val="32"/>
          <w:szCs w:val="32"/>
        </w:rPr>
        <w:lastRenderedPageBreak/>
        <w:t>Barriers to learning</w:t>
      </w:r>
    </w:p>
    <w:tbl>
      <w:tblPr>
        <w:tblStyle w:val="a1"/>
        <w:tblW w:w="14653"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967"/>
        <w:gridCol w:w="13686"/>
      </w:tblGrid>
      <w:tr w:rsidR="008836B8">
        <w:tc>
          <w:tcPr>
            <w:tcW w:w="14653" w:type="dxa"/>
            <w:gridSpan w:val="2"/>
            <w:tcBorders>
              <w:top w:val="single" w:sz="4" w:space="0" w:color="12263F"/>
              <w:left w:val="single" w:sz="4" w:space="0" w:color="12263F"/>
              <w:bottom w:val="single" w:sz="4" w:space="0" w:color="12263F"/>
              <w:right w:val="single" w:sz="4" w:space="0" w:color="12263F"/>
            </w:tcBorders>
            <w:shd w:val="clear" w:color="auto" w:fill="12263F"/>
            <w:tcMar>
              <w:top w:w="113" w:type="dxa"/>
              <w:bottom w:w="113" w:type="dxa"/>
            </w:tcMar>
          </w:tcPr>
          <w:p w:rsidR="008836B8" w:rsidRDefault="00766D6D">
            <w:pPr>
              <w:pBdr>
                <w:top w:val="nil"/>
                <w:left w:val="nil"/>
                <w:bottom w:val="nil"/>
                <w:right w:val="nil"/>
                <w:between w:val="nil"/>
              </w:pBdr>
              <w:rPr>
                <w:color w:val="F8F8F8"/>
              </w:rPr>
            </w:pPr>
            <w:r>
              <w:rPr>
                <w:smallCaps/>
                <w:color w:val="F8F8F8"/>
              </w:rPr>
              <w:t>BARRIERS TO FUTURE ATTAINMENT</w:t>
            </w:r>
          </w:p>
        </w:tc>
      </w:tr>
      <w:tr w:rsidR="008836B8">
        <w:tc>
          <w:tcPr>
            <w:tcW w:w="14653" w:type="dxa"/>
            <w:gridSpan w:val="2"/>
            <w:shd w:val="clear" w:color="auto" w:fill="9CC2E5"/>
            <w:tcMar>
              <w:top w:w="113" w:type="dxa"/>
              <w:bottom w:w="113" w:type="dxa"/>
            </w:tcMar>
          </w:tcPr>
          <w:p w:rsidR="008836B8" w:rsidRDefault="00766D6D">
            <w:pPr>
              <w:pBdr>
                <w:top w:val="nil"/>
                <w:left w:val="nil"/>
                <w:bottom w:val="nil"/>
                <w:right w:val="nil"/>
                <w:between w:val="nil"/>
              </w:pBdr>
              <w:spacing w:after="120"/>
              <w:ind w:left="340" w:right="284" w:hanging="170"/>
              <w:rPr>
                <w:color w:val="000000"/>
              </w:rPr>
            </w:pPr>
            <w:r>
              <w:rPr>
                <w:color w:val="000000"/>
              </w:rPr>
              <w:t xml:space="preserve">Academic barriers: </w:t>
            </w:r>
          </w:p>
        </w:tc>
      </w:tr>
      <w:tr w:rsidR="008836B8">
        <w:trPr>
          <w:trHeight w:val="394"/>
        </w:trPr>
        <w:tc>
          <w:tcPr>
            <w:tcW w:w="967" w:type="dxa"/>
            <w:tcMar>
              <w:top w:w="113" w:type="dxa"/>
              <w:bottom w:w="113" w:type="dxa"/>
            </w:tcMar>
          </w:tcPr>
          <w:p w:rsidR="008836B8" w:rsidRDefault="00766D6D">
            <w:pPr>
              <w:pBdr>
                <w:top w:val="nil"/>
                <w:left w:val="nil"/>
                <w:bottom w:val="nil"/>
                <w:right w:val="nil"/>
                <w:between w:val="nil"/>
              </w:pBdr>
              <w:spacing w:after="120"/>
              <w:ind w:left="340" w:right="284" w:hanging="170"/>
              <w:jc w:val="center"/>
              <w:rPr>
                <w:color w:val="000000"/>
                <w:highlight w:val="yellow"/>
              </w:rPr>
            </w:pPr>
            <w:r>
              <w:rPr>
                <w:color w:val="000000"/>
              </w:rPr>
              <w:t>A</w:t>
            </w:r>
          </w:p>
        </w:tc>
        <w:tc>
          <w:tcPr>
            <w:tcW w:w="13686" w:type="dxa"/>
          </w:tcPr>
          <w:p w:rsidR="008836B8" w:rsidRDefault="00766D6D">
            <w:pPr>
              <w:pBdr>
                <w:top w:val="nil"/>
                <w:left w:val="nil"/>
                <w:bottom w:val="nil"/>
                <w:right w:val="nil"/>
                <w:between w:val="nil"/>
              </w:pBdr>
              <w:spacing w:after="60"/>
              <w:rPr>
                <w:color w:val="000000"/>
              </w:rPr>
            </w:pPr>
            <w:r>
              <w:rPr>
                <w:color w:val="000000"/>
              </w:rPr>
              <w:t xml:space="preserve">Low levels of remote learning engagement during </w:t>
            </w:r>
            <w:proofErr w:type="spellStart"/>
            <w:r>
              <w:rPr>
                <w:color w:val="000000"/>
              </w:rPr>
              <w:t>Covid</w:t>
            </w:r>
            <w:proofErr w:type="spellEnd"/>
            <w:r>
              <w:rPr>
                <w:color w:val="000000"/>
              </w:rPr>
              <w:t xml:space="preserve"> 19 school closure resulting in poor baseline assessment results..</w:t>
            </w:r>
          </w:p>
        </w:tc>
      </w:tr>
      <w:tr w:rsidR="008836B8">
        <w:tc>
          <w:tcPr>
            <w:tcW w:w="967" w:type="dxa"/>
            <w:tcMar>
              <w:top w:w="113" w:type="dxa"/>
              <w:bottom w:w="113" w:type="dxa"/>
            </w:tcMar>
          </w:tcPr>
          <w:p w:rsidR="008836B8" w:rsidRDefault="00766D6D">
            <w:pPr>
              <w:pBdr>
                <w:top w:val="nil"/>
                <w:left w:val="nil"/>
                <w:bottom w:val="nil"/>
                <w:right w:val="nil"/>
                <w:between w:val="nil"/>
              </w:pBdr>
              <w:spacing w:after="60"/>
              <w:jc w:val="center"/>
              <w:rPr>
                <w:color w:val="000000"/>
              </w:rPr>
            </w:pPr>
            <w:r>
              <w:rPr>
                <w:color w:val="000000"/>
              </w:rPr>
              <w:t>B</w:t>
            </w:r>
          </w:p>
        </w:tc>
        <w:tc>
          <w:tcPr>
            <w:tcW w:w="13686" w:type="dxa"/>
            <w:tcMar>
              <w:top w:w="113" w:type="dxa"/>
              <w:bottom w:w="113" w:type="dxa"/>
            </w:tcMar>
          </w:tcPr>
          <w:p w:rsidR="008836B8" w:rsidRDefault="00766D6D">
            <w:pPr>
              <w:pBdr>
                <w:top w:val="nil"/>
                <w:left w:val="nil"/>
                <w:bottom w:val="nil"/>
                <w:right w:val="nil"/>
                <w:between w:val="nil"/>
              </w:pBdr>
              <w:spacing w:after="60"/>
              <w:rPr>
                <w:color w:val="000000"/>
              </w:rPr>
            </w:pPr>
            <w:r>
              <w:rPr>
                <w:color w:val="000000"/>
                <w:sz w:val="18"/>
                <w:szCs w:val="18"/>
              </w:rPr>
              <w:t xml:space="preserve">Higher than usual poor </w:t>
            </w:r>
            <w:proofErr w:type="spellStart"/>
            <w:r>
              <w:rPr>
                <w:color w:val="000000"/>
                <w:sz w:val="18"/>
                <w:szCs w:val="18"/>
              </w:rPr>
              <w:t>oracy</w:t>
            </w:r>
            <w:proofErr w:type="spellEnd"/>
            <w:r>
              <w:rPr>
                <w:color w:val="000000"/>
                <w:sz w:val="18"/>
                <w:szCs w:val="18"/>
              </w:rPr>
              <w:t xml:space="preserve"> levels on entry in EYFS. Low levels of oral and written language</w:t>
            </w:r>
          </w:p>
        </w:tc>
      </w:tr>
      <w:tr w:rsidR="008836B8">
        <w:tc>
          <w:tcPr>
            <w:tcW w:w="967" w:type="dxa"/>
            <w:tcMar>
              <w:top w:w="113" w:type="dxa"/>
              <w:bottom w:w="113" w:type="dxa"/>
            </w:tcMar>
          </w:tcPr>
          <w:p w:rsidR="008836B8" w:rsidRDefault="00766D6D">
            <w:pPr>
              <w:pBdr>
                <w:top w:val="nil"/>
                <w:left w:val="nil"/>
                <w:bottom w:val="nil"/>
                <w:right w:val="nil"/>
                <w:between w:val="nil"/>
              </w:pBdr>
              <w:spacing w:after="60"/>
              <w:jc w:val="center"/>
              <w:rPr>
                <w:color w:val="000000"/>
              </w:rPr>
            </w:pPr>
            <w:r>
              <w:rPr>
                <w:color w:val="000000"/>
              </w:rPr>
              <w:t>C</w:t>
            </w:r>
          </w:p>
        </w:tc>
        <w:tc>
          <w:tcPr>
            <w:tcW w:w="13686" w:type="dxa"/>
            <w:tcMar>
              <w:top w:w="113" w:type="dxa"/>
              <w:bottom w:w="113" w:type="dxa"/>
            </w:tcMar>
          </w:tcPr>
          <w:p w:rsidR="008836B8" w:rsidRDefault="00766D6D">
            <w:pPr>
              <w:pBdr>
                <w:top w:val="nil"/>
                <w:left w:val="nil"/>
                <w:bottom w:val="nil"/>
                <w:right w:val="nil"/>
                <w:between w:val="nil"/>
              </w:pBdr>
              <w:spacing w:after="60"/>
              <w:rPr>
                <w:color w:val="000000"/>
              </w:rPr>
            </w:pPr>
            <w:r>
              <w:rPr>
                <w:color w:val="000000"/>
                <w:sz w:val="18"/>
                <w:szCs w:val="18"/>
              </w:rPr>
              <w:t>Low Levels of aspiration and resilience</w:t>
            </w:r>
          </w:p>
        </w:tc>
      </w:tr>
    </w:tbl>
    <w:p w:rsidR="008836B8" w:rsidRDefault="008836B8"/>
    <w:tbl>
      <w:tblPr>
        <w:tblStyle w:val="a2"/>
        <w:tblW w:w="14653"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967"/>
        <w:gridCol w:w="13686"/>
      </w:tblGrid>
      <w:tr w:rsidR="008836B8">
        <w:tc>
          <w:tcPr>
            <w:tcW w:w="14653" w:type="dxa"/>
            <w:gridSpan w:val="2"/>
            <w:shd w:val="clear" w:color="auto" w:fill="12263F"/>
            <w:tcMar>
              <w:top w:w="113" w:type="dxa"/>
              <w:bottom w:w="113" w:type="dxa"/>
            </w:tcMar>
          </w:tcPr>
          <w:p w:rsidR="008836B8" w:rsidRDefault="00766D6D">
            <w:pPr>
              <w:pBdr>
                <w:top w:val="nil"/>
                <w:left w:val="nil"/>
                <w:bottom w:val="nil"/>
                <w:right w:val="nil"/>
                <w:between w:val="nil"/>
              </w:pBdr>
              <w:spacing w:after="60"/>
              <w:rPr>
                <w:color w:val="000000"/>
              </w:rPr>
            </w:pPr>
            <w:r>
              <w:rPr>
                <w:color w:val="000000"/>
              </w:rPr>
              <w:t>ADDITIONAL BARRIERS</w:t>
            </w:r>
          </w:p>
        </w:tc>
      </w:tr>
      <w:tr w:rsidR="008836B8">
        <w:tc>
          <w:tcPr>
            <w:tcW w:w="14653" w:type="dxa"/>
            <w:gridSpan w:val="2"/>
            <w:shd w:val="clear" w:color="auto" w:fill="9CC2E5"/>
            <w:tcMar>
              <w:top w:w="113" w:type="dxa"/>
              <w:bottom w:w="113" w:type="dxa"/>
            </w:tcMar>
          </w:tcPr>
          <w:p w:rsidR="008836B8" w:rsidRDefault="00766D6D">
            <w:pPr>
              <w:pBdr>
                <w:top w:val="nil"/>
                <w:left w:val="nil"/>
                <w:bottom w:val="nil"/>
                <w:right w:val="nil"/>
                <w:between w:val="nil"/>
              </w:pBdr>
              <w:spacing w:after="60"/>
              <w:rPr>
                <w:color w:val="000000"/>
              </w:rPr>
            </w:pPr>
            <w:r>
              <w:rPr>
                <w:color w:val="000000"/>
              </w:rPr>
              <w:t>External barriers:</w:t>
            </w:r>
          </w:p>
        </w:tc>
      </w:tr>
      <w:tr w:rsidR="008836B8">
        <w:tc>
          <w:tcPr>
            <w:tcW w:w="967" w:type="dxa"/>
            <w:tcMar>
              <w:top w:w="113" w:type="dxa"/>
              <w:bottom w:w="113" w:type="dxa"/>
            </w:tcMar>
          </w:tcPr>
          <w:p w:rsidR="008836B8" w:rsidRDefault="00766D6D">
            <w:pPr>
              <w:pBdr>
                <w:top w:val="nil"/>
                <w:left w:val="nil"/>
                <w:bottom w:val="nil"/>
                <w:right w:val="nil"/>
                <w:between w:val="nil"/>
              </w:pBdr>
              <w:spacing w:after="60"/>
              <w:rPr>
                <w:color w:val="000000"/>
              </w:rPr>
            </w:pPr>
            <w:r>
              <w:rPr>
                <w:color w:val="000000"/>
              </w:rPr>
              <w:t>D</w:t>
            </w:r>
          </w:p>
        </w:tc>
        <w:tc>
          <w:tcPr>
            <w:tcW w:w="13686" w:type="dxa"/>
            <w:tcMar>
              <w:top w:w="113" w:type="dxa"/>
              <w:bottom w:w="113" w:type="dxa"/>
            </w:tcMar>
          </w:tcPr>
          <w:p w:rsidR="008836B8" w:rsidRDefault="00766D6D">
            <w:pPr>
              <w:pBdr>
                <w:top w:val="nil"/>
                <w:left w:val="nil"/>
                <w:bottom w:val="nil"/>
                <w:right w:val="nil"/>
                <w:between w:val="nil"/>
              </w:pBdr>
              <w:spacing w:after="60"/>
              <w:rPr>
                <w:color w:val="000000"/>
              </w:rPr>
            </w:pPr>
            <w:r>
              <w:rPr>
                <w:color w:val="000000"/>
              </w:rPr>
              <w:t xml:space="preserve">Level of parental  involvement in remote learning </w:t>
            </w:r>
            <w:proofErr w:type="spellStart"/>
            <w:r>
              <w:rPr>
                <w:color w:val="000000"/>
              </w:rPr>
              <w:t>programme</w:t>
            </w:r>
            <w:proofErr w:type="spellEnd"/>
          </w:p>
        </w:tc>
      </w:tr>
      <w:tr w:rsidR="008836B8">
        <w:tc>
          <w:tcPr>
            <w:tcW w:w="967" w:type="dxa"/>
            <w:tcMar>
              <w:top w:w="113" w:type="dxa"/>
              <w:bottom w:w="113" w:type="dxa"/>
            </w:tcMar>
          </w:tcPr>
          <w:p w:rsidR="008836B8" w:rsidRDefault="00766D6D">
            <w:pPr>
              <w:pBdr>
                <w:top w:val="nil"/>
                <w:left w:val="nil"/>
                <w:bottom w:val="nil"/>
                <w:right w:val="nil"/>
                <w:between w:val="nil"/>
              </w:pBdr>
              <w:spacing w:after="60"/>
              <w:rPr>
                <w:color w:val="000000"/>
              </w:rPr>
            </w:pPr>
            <w:r>
              <w:rPr>
                <w:color w:val="000000"/>
              </w:rPr>
              <w:t>E</w:t>
            </w:r>
          </w:p>
        </w:tc>
        <w:tc>
          <w:tcPr>
            <w:tcW w:w="13686" w:type="dxa"/>
            <w:tcMar>
              <w:top w:w="113" w:type="dxa"/>
              <w:bottom w:w="113" w:type="dxa"/>
            </w:tcMar>
          </w:tcPr>
          <w:p w:rsidR="008836B8" w:rsidRDefault="00766D6D">
            <w:pPr>
              <w:pBdr>
                <w:top w:val="nil"/>
                <w:left w:val="nil"/>
                <w:bottom w:val="nil"/>
                <w:right w:val="nil"/>
                <w:between w:val="nil"/>
              </w:pBdr>
              <w:spacing w:after="60"/>
              <w:rPr>
                <w:color w:val="000000"/>
              </w:rPr>
            </w:pPr>
            <w:r>
              <w:rPr>
                <w:color w:val="000000"/>
              </w:rPr>
              <w:t xml:space="preserve">Parental commitment to the extended school time intervention </w:t>
            </w:r>
            <w:proofErr w:type="spellStart"/>
            <w:r>
              <w:rPr>
                <w:color w:val="000000"/>
              </w:rPr>
              <w:t>programme</w:t>
            </w:r>
            <w:proofErr w:type="spellEnd"/>
          </w:p>
        </w:tc>
      </w:tr>
      <w:tr w:rsidR="008836B8">
        <w:tc>
          <w:tcPr>
            <w:tcW w:w="967" w:type="dxa"/>
            <w:tcMar>
              <w:top w:w="113" w:type="dxa"/>
              <w:bottom w:w="113" w:type="dxa"/>
            </w:tcMar>
          </w:tcPr>
          <w:p w:rsidR="008836B8" w:rsidRDefault="00766D6D">
            <w:pPr>
              <w:pBdr>
                <w:top w:val="nil"/>
                <w:left w:val="nil"/>
                <w:bottom w:val="nil"/>
                <w:right w:val="nil"/>
                <w:between w:val="nil"/>
              </w:pBdr>
              <w:spacing w:after="60"/>
              <w:rPr>
                <w:color w:val="000000"/>
              </w:rPr>
            </w:pPr>
            <w:r>
              <w:rPr>
                <w:color w:val="000000"/>
              </w:rPr>
              <w:t>F</w:t>
            </w:r>
          </w:p>
        </w:tc>
        <w:tc>
          <w:tcPr>
            <w:tcW w:w="13686" w:type="dxa"/>
            <w:tcMar>
              <w:top w:w="113" w:type="dxa"/>
              <w:bottom w:w="113" w:type="dxa"/>
            </w:tcMar>
          </w:tcPr>
          <w:p w:rsidR="008836B8" w:rsidRDefault="00766D6D">
            <w:pPr>
              <w:pBdr>
                <w:top w:val="nil"/>
                <w:left w:val="nil"/>
                <w:bottom w:val="nil"/>
                <w:right w:val="nil"/>
                <w:between w:val="nil"/>
              </w:pBdr>
              <w:spacing w:after="60"/>
              <w:rPr>
                <w:color w:val="000000"/>
              </w:rPr>
            </w:pPr>
            <w:r>
              <w:rPr>
                <w:color w:val="000000"/>
              </w:rPr>
              <w:t>Access to digital devices</w:t>
            </w:r>
          </w:p>
        </w:tc>
      </w:tr>
    </w:tbl>
    <w:p w:rsidR="008836B8" w:rsidRDefault="008836B8"/>
    <w:p w:rsidR="008836B8" w:rsidRDefault="00766D6D">
      <w:pPr>
        <w:pBdr>
          <w:top w:val="nil"/>
          <w:left w:val="nil"/>
          <w:bottom w:val="nil"/>
          <w:right w:val="nil"/>
          <w:between w:val="nil"/>
        </w:pBdr>
        <w:spacing w:before="360" w:after="120" w:line="259" w:lineRule="auto"/>
        <w:rPr>
          <w:color w:val="000000"/>
        </w:rPr>
      </w:pPr>
      <w:r>
        <w:rPr>
          <w:b/>
          <w:color w:val="FF1F64"/>
          <w:sz w:val="32"/>
          <w:szCs w:val="32"/>
        </w:rPr>
        <w:t>Planned expenditure for current academic year</w:t>
      </w:r>
    </w:p>
    <w:tbl>
      <w:tblPr>
        <w:tblStyle w:val="a3"/>
        <w:tblW w:w="1476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2419"/>
        <w:gridCol w:w="2175"/>
        <w:gridCol w:w="3510"/>
        <w:gridCol w:w="3510"/>
        <w:gridCol w:w="1620"/>
        <w:gridCol w:w="1530"/>
      </w:tblGrid>
      <w:tr w:rsidR="008836B8">
        <w:tc>
          <w:tcPr>
            <w:tcW w:w="14764" w:type="dxa"/>
            <w:gridSpan w:val="6"/>
            <w:shd w:val="clear" w:color="auto" w:fill="9CC2E5"/>
            <w:tcMar>
              <w:top w:w="113" w:type="dxa"/>
              <w:bottom w:w="113" w:type="dxa"/>
            </w:tcMar>
          </w:tcPr>
          <w:p w:rsidR="008836B8" w:rsidRDefault="00766D6D">
            <w:pPr>
              <w:pBdr>
                <w:top w:val="nil"/>
                <w:left w:val="nil"/>
                <w:bottom w:val="nil"/>
                <w:right w:val="nil"/>
                <w:between w:val="nil"/>
              </w:pBdr>
              <w:spacing w:after="60"/>
              <w:rPr>
                <w:color w:val="000000"/>
              </w:rPr>
            </w:pPr>
            <w:r>
              <w:rPr>
                <w:color w:val="000000"/>
              </w:rPr>
              <w:lastRenderedPageBreak/>
              <w:t>Quality of teaching for all</w:t>
            </w:r>
          </w:p>
        </w:tc>
      </w:tr>
      <w:tr w:rsidR="008836B8">
        <w:tc>
          <w:tcPr>
            <w:tcW w:w="2419" w:type="dxa"/>
            <w:tcMar>
              <w:top w:w="113" w:type="dxa"/>
              <w:bottom w:w="113" w:type="dxa"/>
            </w:tcMar>
          </w:tcPr>
          <w:p w:rsidR="008836B8" w:rsidRDefault="00766D6D">
            <w:pPr>
              <w:pBdr>
                <w:top w:val="nil"/>
                <w:left w:val="nil"/>
                <w:bottom w:val="nil"/>
                <w:right w:val="nil"/>
                <w:between w:val="nil"/>
              </w:pBdr>
              <w:spacing w:after="60"/>
              <w:rPr>
                <w:color w:val="000000"/>
              </w:rPr>
            </w:pPr>
            <w:r>
              <w:rPr>
                <w:color w:val="000000"/>
              </w:rPr>
              <w:t>Action</w:t>
            </w:r>
          </w:p>
        </w:tc>
        <w:tc>
          <w:tcPr>
            <w:tcW w:w="2175" w:type="dxa"/>
            <w:tcMar>
              <w:top w:w="113" w:type="dxa"/>
              <w:bottom w:w="113" w:type="dxa"/>
            </w:tcMar>
          </w:tcPr>
          <w:p w:rsidR="008836B8" w:rsidRDefault="00766D6D">
            <w:pPr>
              <w:pBdr>
                <w:top w:val="nil"/>
                <w:left w:val="nil"/>
                <w:bottom w:val="nil"/>
                <w:right w:val="nil"/>
                <w:between w:val="nil"/>
              </w:pBdr>
              <w:spacing w:after="60"/>
              <w:rPr>
                <w:color w:val="000000"/>
              </w:rPr>
            </w:pPr>
            <w:r>
              <w:rPr>
                <w:color w:val="000000"/>
              </w:rPr>
              <w:t>Intended outcome and success criteria</w:t>
            </w:r>
          </w:p>
        </w:tc>
        <w:tc>
          <w:tcPr>
            <w:tcW w:w="3510" w:type="dxa"/>
          </w:tcPr>
          <w:p w:rsidR="008836B8" w:rsidRDefault="00766D6D">
            <w:pPr>
              <w:pBdr>
                <w:top w:val="nil"/>
                <w:left w:val="nil"/>
                <w:bottom w:val="nil"/>
                <w:right w:val="nil"/>
                <w:between w:val="nil"/>
              </w:pBdr>
              <w:spacing w:after="120"/>
              <w:ind w:left="340" w:right="284" w:hanging="170"/>
              <w:rPr>
                <w:color w:val="000000"/>
              </w:rPr>
            </w:pPr>
            <w:r>
              <w:rPr>
                <w:color w:val="000000"/>
              </w:rPr>
              <w:t>What’s the evidence and rationale for this choice?</w:t>
            </w:r>
          </w:p>
        </w:tc>
        <w:tc>
          <w:tcPr>
            <w:tcW w:w="3510" w:type="dxa"/>
          </w:tcPr>
          <w:p w:rsidR="008836B8" w:rsidRDefault="00766D6D">
            <w:pPr>
              <w:pBdr>
                <w:top w:val="nil"/>
                <w:left w:val="nil"/>
                <w:bottom w:val="nil"/>
                <w:right w:val="nil"/>
                <w:between w:val="nil"/>
              </w:pBdr>
              <w:spacing w:after="120"/>
              <w:ind w:left="340" w:right="27" w:hanging="170"/>
              <w:rPr>
                <w:color w:val="000000"/>
              </w:rPr>
            </w:pPr>
            <w:r>
              <w:rPr>
                <w:color w:val="000000"/>
              </w:rPr>
              <w:t>How will you make sure it’s implemented well?</w:t>
            </w:r>
          </w:p>
        </w:tc>
        <w:tc>
          <w:tcPr>
            <w:tcW w:w="1620" w:type="dxa"/>
          </w:tcPr>
          <w:p w:rsidR="008836B8" w:rsidRDefault="00766D6D">
            <w:pPr>
              <w:pBdr>
                <w:top w:val="nil"/>
                <w:left w:val="nil"/>
                <w:bottom w:val="nil"/>
                <w:right w:val="nil"/>
                <w:between w:val="nil"/>
              </w:pBdr>
              <w:spacing w:after="120"/>
              <w:ind w:left="340" w:right="284" w:hanging="170"/>
              <w:rPr>
                <w:color w:val="000000"/>
              </w:rPr>
            </w:pPr>
            <w:r>
              <w:rPr>
                <w:color w:val="000000"/>
              </w:rPr>
              <w:t>Staff lead</w:t>
            </w:r>
          </w:p>
        </w:tc>
        <w:tc>
          <w:tcPr>
            <w:tcW w:w="1530" w:type="dxa"/>
          </w:tcPr>
          <w:p w:rsidR="008836B8" w:rsidRDefault="00766D6D">
            <w:pPr>
              <w:pBdr>
                <w:top w:val="nil"/>
                <w:left w:val="nil"/>
                <w:bottom w:val="nil"/>
                <w:right w:val="nil"/>
                <w:between w:val="nil"/>
              </w:pBdr>
              <w:spacing w:after="120"/>
              <w:ind w:left="340" w:right="-18" w:hanging="170"/>
              <w:rPr>
                <w:color w:val="000000"/>
              </w:rPr>
            </w:pPr>
            <w:r>
              <w:rPr>
                <w:color w:val="000000"/>
              </w:rPr>
              <w:t>When will you review this?</w:t>
            </w:r>
          </w:p>
        </w:tc>
      </w:tr>
      <w:tr w:rsidR="008836B8">
        <w:trPr>
          <w:trHeight w:val="2449"/>
        </w:trPr>
        <w:tc>
          <w:tcPr>
            <w:tcW w:w="2419" w:type="dxa"/>
            <w:tcMar>
              <w:top w:w="113" w:type="dxa"/>
              <w:bottom w:w="113" w:type="dxa"/>
            </w:tcMar>
          </w:tcPr>
          <w:p w:rsidR="008836B8" w:rsidRDefault="00766D6D">
            <w:pPr>
              <w:pBdr>
                <w:top w:val="nil"/>
                <w:left w:val="nil"/>
                <w:bottom w:val="nil"/>
                <w:right w:val="nil"/>
                <w:between w:val="nil"/>
              </w:pBdr>
              <w:spacing w:after="60"/>
              <w:rPr>
                <w:color w:val="000000"/>
              </w:rPr>
            </w:pPr>
            <w:r>
              <w:rPr>
                <w:color w:val="000000"/>
              </w:rPr>
              <w:t>Professional development of EYFS / English subject leaders to improve reading comprehension outcomes in EYFS and writing in KS1/2</w:t>
            </w:r>
          </w:p>
        </w:tc>
        <w:tc>
          <w:tcPr>
            <w:tcW w:w="2175" w:type="dxa"/>
            <w:tcMar>
              <w:top w:w="113" w:type="dxa"/>
              <w:bottom w:w="113" w:type="dxa"/>
            </w:tcMar>
          </w:tcPr>
          <w:p w:rsidR="008836B8" w:rsidRDefault="00766D6D">
            <w:pPr>
              <w:numPr>
                <w:ilvl w:val="0"/>
                <w:numId w:val="3"/>
              </w:numPr>
              <w:pBdr>
                <w:top w:val="nil"/>
                <w:left w:val="nil"/>
                <w:bottom w:val="nil"/>
                <w:right w:val="nil"/>
                <w:between w:val="nil"/>
              </w:pBdr>
              <w:spacing w:after="60"/>
              <w:ind w:left="283"/>
              <w:rPr>
                <w:color w:val="000000"/>
              </w:rPr>
            </w:pPr>
            <w:r>
              <w:rPr>
                <w:color w:val="000000"/>
              </w:rPr>
              <w:t>Staff trained effectively on delivering high quality reading opportunities in EYFS and writing strategies in KS1/2</w:t>
            </w:r>
          </w:p>
          <w:p w:rsidR="008836B8" w:rsidRDefault="00766D6D">
            <w:pPr>
              <w:numPr>
                <w:ilvl w:val="0"/>
                <w:numId w:val="3"/>
              </w:numPr>
              <w:pBdr>
                <w:top w:val="nil"/>
                <w:left w:val="nil"/>
                <w:bottom w:val="nil"/>
                <w:right w:val="nil"/>
                <w:between w:val="nil"/>
              </w:pBdr>
              <w:spacing w:after="60"/>
              <w:ind w:left="283"/>
              <w:rPr>
                <w:color w:val="000000"/>
              </w:rPr>
            </w:pPr>
            <w:r>
              <w:rPr>
                <w:color w:val="000000"/>
              </w:rPr>
              <w:t>Higher numbers of pupils meeting ARE</w:t>
            </w:r>
          </w:p>
        </w:tc>
        <w:tc>
          <w:tcPr>
            <w:tcW w:w="3510" w:type="dxa"/>
          </w:tcPr>
          <w:p w:rsidR="008836B8" w:rsidRDefault="00766D6D">
            <w:pPr>
              <w:numPr>
                <w:ilvl w:val="0"/>
                <w:numId w:val="3"/>
              </w:numPr>
              <w:pBdr>
                <w:top w:val="nil"/>
                <w:left w:val="nil"/>
                <w:bottom w:val="nil"/>
                <w:right w:val="nil"/>
                <w:between w:val="nil"/>
              </w:pBdr>
              <w:spacing w:after="60"/>
              <w:ind w:left="283"/>
              <w:rPr>
                <w:color w:val="000000"/>
                <w:shd w:val="clear" w:color="auto" w:fill="F8F8F8"/>
              </w:rPr>
            </w:pPr>
            <w:r>
              <w:rPr>
                <w:color w:val="000000"/>
                <w:shd w:val="clear" w:color="auto" w:fill="F8F8F8"/>
              </w:rPr>
              <w:t>Great teaching is the most important level schools have to improve outcomes for their pupils.</w:t>
            </w:r>
          </w:p>
          <w:p w:rsidR="008836B8" w:rsidRDefault="00766D6D">
            <w:pPr>
              <w:numPr>
                <w:ilvl w:val="0"/>
                <w:numId w:val="3"/>
              </w:numPr>
              <w:pBdr>
                <w:top w:val="nil"/>
                <w:left w:val="nil"/>
                <w:bottom w:val="nil"/>
                <w:right w:val="nil"/>
                <w:between w:val="nil"/>
              </w:pBdr>
              <w:spacing w:after="60"/>
              <w:ind w:left="283"/>
              <w:rPr>
                <w:color w:val="000000"/>
                <w:shd w:val="clear" w:color="auto" w:fill="F8F8F8"/>
              </w:rPr>
            </w:pPr>
            <w:r>
              <w:rPr>
                <w:color w:val="000000"/>
                <w:shd w:val="clear" w:color="auto" w:fill="F8F8F8"/>
              </w:rPr>
              <w:t>Ensuring every teacher is supported and prepared is essential to achieve the best outcomes for pupils.</w:t>
            </w:r>
          </w:p>
          <w:p w:rsidR="008836B8" w:rsidRDefault="00766D6D">
            <w:pPr>
              <w:numPr>
                <w:ilvl w:val="0"/>
                <w:numId w:val="3"/>
              </w:numPr>
              <w:pBdr>
                <w:top w:val="nil"/>
                <w:left w:val="nil"/>
                <w:bottom w:val="nil"/>
                <w:right w:val="nil"/>
                <w:between w:val="nil"/>
              </w:pBdr>
              <w:spacing w:after="60"/>
              <w:ind w:left="283"/>
              <w:rPr>
                <w:color w:val="000000"/>
              </w:rPr>
            </w:pPr>
            <w:r>
              <w:rPr>
                <w:color w:val="000000"/>
                <w:shd w:val="clear" w:color="auto" w:fill="F8F8F8"/>
              </w:rPr>
              <w:t xml:space="preserve">Providing opportunities for professional development is </w:t>
            </w:r>
            <w:r>
              <w:rPr>
                <w:color w:val="000000"/>
              </w:rPr>
              <w:t>likely to be valuable.</w:t>
            </w:r>
          </w:p>
        </w:tc>
        <w:tc>
          <w:tcPr>
            <w:tcW w:w="3510" w:type="dxa"/>
          </w:tcPr>
          <w:p w:rsidR="008836B8" w:rsidRDefault="00766D6D">
            <w:pPr>
              <w:numPr>
                <w:ilvl w:val="0"/>
                <w:numId w:val="3"/>
              </w:numPr>
              <w:pBdr>
                <w:top w:val="nil"/>
                <w:left w:val="nil"/>
                <w:bottom w:val="nil"/>
                <w:right w:val="nil"/>
                <w:between w:val="nil"/>
              </w:pBdr>
              <w:spacing w:after="60"/>
              <w:ind w:left="283"/>
              <w:rPr>
                <w:color w:val="000000"/>
              </w:rPr>
            </w:pPr>
            <w:r>
              <w:rPr>
                <w:color w:val="000000"/>
              </w:rPr>
              <w:t>Time given for staff to attend courses.</w:t>
            </w:r>
          </w:p>
          <w:p w:rsidR="008836B8" w:rsidRDefault="00766D6D">
            <w:pPr>
              <w:numPr>
                <w:ilvl w:val="0"/>
                <w:numId w:val="3"/>
              </w:numPr>
              <w:pBdr>
                <w:top w:val="nil"/>
                <w:left w:val="nil"/>
                <w:bottom w:val="nil"/>
                <w:right w:val="nil"/>
                <w:between w:val="nil"/>
              </w:pBdr>
              <w:spacing w:after="60"/>
              <w:ind w:left="283"/>
              <w:rPr>
                <w:color w:val="000000"/>
              </w:rPr>
            </w:pPr>
            <w:r>
              <w:rPr>
                <w:color w:val="000000"/>
              </w:rPr>
              <w:t>Staff meeting time utilized to share the training received and improve strategies within the school.</w:t>
            </w:r>
          </w:p>
          <w:p w:rsidR="008836B8" w:rsidRDefault="00766D6D">
            <w:pPr>
              <w:numPr>
                <w:ilvl w:val="0"/>
                <w:numId w:val="3"/>
              </w:numPr>
              <w:pBdr>
                <w:top w:val="nil"/>
                <w:left w:val="nil"/>
                <w:bottom w:val="nil"/>
                <w:right w:val="nil"/>
                <w:between w:val="nil"/>
              </w:pBdr>
              <w:spacing w:after="60"/>
              <w:ind w:left="283"/>
              <w:rPr>
                <w:color w:val="000000"/>
              </w:rPr>
            </w:pPr>
            <w:r>
              <w:rPr>
                <w:color w:val="000000"/>
              </w:rPr>
              <w:t>Opportunities offered for staff to observe good practice.</w:t>
            </w:r>
          </w:p>
        </w:tc>
        <w:tc>
          <w:tcPr>
            <w:tcW w:w="1620" w:type="dxa"/>
          </w:tcPr>
          <w:p w:rsidR="008836B8" w:rsidRDefault="00766D6D">
            <w:pPr>
              <w:pBdr>
                <w:top w:val="nil"/>
                <w:left w:val="nil"/>
                <w:bottom w:val="nil"/>
                <w:right w:val="nil"/>
                <w:between w:val="nil"/>
              </w:pBdr>
              <w:spacing w:after="60"/>
              <w:rPr>
                <w:color w:val="000000"/>
              </w:rPr>
            </w:pPr>
            <w:r>
              <w:rPr>
                <w:color w:val="000000"/>
              </w:rPr>
              <w:t>EM / RH</w:t>
            </w:r>
          </w:p>
        </w:tc>
        <w:tc>
          <w:tcPr>
            <w:tcW w:w="1530" w:type="dxa"/>
          </w:tcPr>
          <w:p w:rsidR="008836B8" w:rsidRDefault="00766D6D">
            <w:pPr>
              <w:pBdr>
                <w:top w:val="nil"/>
                <w:left w:val="nil"/>
                <w:bottom w:val="nil"/>
                <w:right w:val="nil"/>
                <w:between w:val="nil"/>
              </w:pBdr>
              <w:spacing w:after="60"/>
              <w:rPr>
                <w:color w:val="000000"/>
              </w:rPr>
            </w:pPr>
            <w:r>
              <w:rPr>
                <w:color w:val="000000"/>
              </w:rPr>
              <w:t>December and March following assessments</w:t>
            </w:r>
          </w:p>
        </w:tc>
      </w:tr>
      <w:tr w:rsidR="008836B8">
        <w:tc>
          <w:tcPr>
            <w:tcW w:w="2419" w:type="dxa"/>
            <w:tcMar>
              <w:top w:w="113" w:type="dxa"/>
              <w:bottom w:w="113" w:type="dxa"/>
            </w:tcMar>
          </w:tcPr>
          <w:p w:rsidR="008836B8" w:rsidRDefault="00766D6D">
            <w:pPr>
              <w:pBdr>
                <w:top w:val="nil"/>
                <w:left w:val="nil"/>
                <w:bottom w:val="nil"/>
                <w:right w:val="nil"/>
                <w:between w:val="nil"/>
              </w:pBdr>
              <w:spacing w:after="60"/>
              <w:rPr>
                <w:color w:val="000000"/>
              </w:rPr>
            </w:pPr>
            <w:r>
              <w:rPr>
                <w:color w:val="000000"/>
              </w:rPr>
              <w:t xml:space="preserve">Use of standardized materials to assess children’s attainment and knowledge in English and </w:t>
            </w:r>
            <w:proofErr w:type="spellStart"/>
            <w:r>
              <w:rPr>
                <w:color w:val="000000"/>
              </w:rPr>
              <w:t>maths</w:t>
            </w:r>
            <w:proofErr w:type="spellEnd"/>
          </w:p>
        </w:tc>
        <w:tc>
          <w:tcPr>
            <w:tcW w:w="2175" w:type="dxa"/>
            <w:tcMar>
              <w:top w:w="113" w:type="dxa"/>
              <w:bottom w:w="113" w:type="dxa"/>
            </w:tcMar>
          </w:tcPr>
          <w:p w:rsidR="008836B8" w:rsidRDefault="00766D6D">
            <w:pPr>
              <w:numPr>
                <w:ilvl w:val="0"/>
                <w:numId w:val="7"/>
              </w:numPr>
              <w:pBdr>
                <w:top w:val="nil"/>
                <w:left w:val="nil"/>
                <w:bottom w:val="nil"/>
                <w:right w:val="nil"/>
                <w:between w:val="nil"/>
              </w:pBdr>
              <w:spacing w:after="60"/>
              <w:ind w:left="283"/>
              <w:rPr>
                <w:color w:val="000000"/>
              </w:rPr>
            </w:pPr>
            <w:r>
              <w:rPr>
                <w:color w:val="000000"/>
              </w:rPr>
              <w:t>Accurate assessment judgements made which will be tracked throughout the year.</w:t>
            </w:r>
          </w:p>
          <w:p w:rsidR="008836B8" w:rsidRDefault="00766D6D">
            <w:pPr>
              <w:numPr>
                <w:ilvl w:val="0"/>
                <w:numId w:val="7"/>
              </w:numPr>
              <w:pBdr>
                <w:top w:val="nil"/>
                <w:left w:val="nil"/>
                <w:bottom w:val="nil"/>
                <w:right w:val="nil"/>
                <w:between w:val="nil"/>
              </w:pBdr>
              <w:spacing w:after="60"/>
              <w:ind w:left="283"/>
              <w:rPr>
                <w:color w:val="000000"/>
              </w:rPr>
            </w:pPr>
            <w:r>
              <w:rPr>
                <w:color w:val="000000"/>
              </w:rPr>
              <w:t>Learning gaps identified and planning adjusted accordingly.</w:t>
            </w:r>
          </w:p>
        </w:tc>
        <w:tc>
          <w:tcPr>
            <w:tcW w:w="3510" w:type="dxa"/>
          </w:tcPr>
          <w:p w:rsidR="008836B8" w:rsidRDefault="00766D6D">
            <w:pPr>
              <w:numPr>
                <w:ilvl w:val="0"/>
                <w:numId w:val="6"/>
              </w:numPr>
              <w:pBdr>
                <w:top w:val="nil"/>
                <w:left w:val="nil"/>
                <w:bottom w:val="nil"/>
                <w:right w:val="nil"/>
                <w:between w:val="nil"/>
              </w:pBdr>
              <w:spacing w:after="60"/>
              <w:ind w:left="283"/>
              <w:rPr>
                <w:color w:val="000000"/>
              </w:rPr>
            </w:pPr>
            <w:r>
              <w:rPr>
                <w:color w:val="000000"/>
              </w:rPr>
              <w:t>Assessments can help teachers determine how to most effectively support their pupils.</w:t>
            </w:r>
          </w:p>
          <w:p w:rsidR="008836B8" w:rsidRDefault="00766D6D">
            <w:pPr>
              <w:numPr>
                <w:ilvl w:val="0"/>
                <w:numId w:val="6"/>
              </w:numPr>
              <w:pBdr>
                <w:top w:val="nil"/>
                <w:left w:val="nil"/>
                <w:bottom w:val="nil"/>
                <w:right w:val="nil"/>
                <w:between w:val="nil"/>
              </w:pBdr>
              <w:spacing w:after="60"/>
              <w:ind w:left="283"/>
              <w:rPr>
                <w:color w:val="000000"/>
              </w:rPr>
            </w:pPr>
            <w:r>
              <w:rPr>
                <w:color w:val="000000"/>
              </w:rPr>
              <w:t>Setting aside time for assessing pupils’ learning needs will enable teachers to provide effective support.</w:t>
            </w:r>
          </w:p>
          <w:p w:rsidR="008836B8" w:rsidRDefault="00766D6D">
            <w:pPr>
              <w:numPr>
                <w:ilvl w:val="0"/>
                <w:numId w:val="6"/>
              </w:numPr>
              <w:pBdr>
                <w:top w:val="nil"/>
                <w:left w:val="nil"/>
                <w:bottom w:val="nil"/>
                <w:right w:val="nil"/>
                <w:between w:val="nil"/>
              </w:pBdr>
              <w:spacing w:after="60"/>
              <w:ind w:left="283"/>
              <w:rPr>
                <w:color w:val="000000"/>
              </w:rPr>
            </w:pPr>
            <w:r>
              <w:rPr>
                <w:color w:val="000000"/>
              </w:rPr>
              <w:t>Assessments can be used to identify which pupils would benefit from additional catch up support.</w:t>
            </w:r>
          </w:p>
        </w:tc>
        <w:tc>
          <w:tcPr>
            <w:tcW w:w="3510" w:type="dxa"/>
          </w:tcPr>
          <w:p w:rsidR="008836B8" w:rsidRDefault="00766D6D">
            <w:pPr>
              <w:numPr>
                <w:ilvl w:val="0"/>
                <w:numId w:val="6"/>
              </w:numPr>
              <w:pBdr>
                <w:top w:val="nil"/>
                <w:left w:val="nil"/>
                <w:bottom w:val="nil"/>
                <w:right w:val="nil"/>
                <w:between w:val="nil"/>
              </w:pBdr>
              <w:spacing w:after="60"/>
              <w:ind w:left="283"/>
              <w:rPr>
                <w:color w:val="000000"/>
              </w:rPr>
            </w:pPr>
            <w:r>
              <w:rPr>
                <w:color w:val="000000"/>
              </w:rPr>
              <w:t>Assessment weeks built into the school monitoring schedule.</w:t>
            </w:r>
          </w:p>
          <w:p w:rsidR="008836B8" w:rsidRDefault="00766D6D">
            <w:pPr>
              <w:numPr>
                <w:ilvl w:val="0"/>
                <w:numId w:val="6"/>
              </w:numPr>
              <w:pBdr>
                <w:top w:val="nil"/>
                <w:left w:val="nil"/>
                <w:bottom w:val="nil"/>
                <w:right w:val="nil"/>
                <w:between w:val="nil"/>
              </w:pBdr>
              <w:spacing w:after="60"/>
              <w:ind w:left="283"/>
              <w:rPr>
                <w:color w:val="000000"/>
              </w:rPr>
            </w:pPr>
            <w:r>
              <w:rPr>
                <w:color w:val="000000"/>
              </w:rPr>
              <w:t>Purchase of test materials to assist teachers in highlighting gaps in subject knowledge and children for targeted intervention.</w:t>
            </w:r>
          </w:p>
          <w:p w:rsidR="008836B8" w:rsidRDefault="00766D6D">
            <w:pPr>
              <w:numPr>
                <w:ilvl w:val="0"/>
                <w:numId w:val="6"/>
              </w:numPr>
              <w:pBdr>
                <w:top w:val="nil"/>
                <w:left w:val="nil"/>
                <w:bottom w:val="nil"/>
                <w:right w:val="nil"/>
                <w:between w:val="nil"/>
              </w:pBdr>
              <w:spacing w:after="60"/>
              <w:ind w:left="283"/>
              <w:rPr>
                <w:color w:val="000000"/>
              </w:rPr>
            </w:pPr>
            <w:r>
              <w:rPr>
                <w:color w:val="000000"/>
              </w:rPr>
              <w:t xml:space="preserve">Staff meeting time dedicated to marking of </w:t>
            </w:r>
            <w:r>
              <w:t>assessments</w:t>
            </w:r>
            <w:r>
              <w:rPr>
                <w:color w:val="000000"/>
              </w:rPr>
              <w:t>.</w:t>
            </w:r>
          </w:p>
        </w:tc>
        <w:tc>
          <w:tcPr>
            <w:tcW w:w="1620" w:type="dxa"/>
          </w:tcPr>
          <w:p w:rsidR="008836B8" w:rsidRDefault="00766D6D">
            <w:pPr>
              <w:pBdr>
                <w:top w:val="nil"/>
                <w:left w:val="nil"/>
                <w:bottom w:val="nil"/>
                <w:right w:val="nil"/>
                <w:between w:val="nil"/>
              </w:pBdr>
              <w:spacing w:after="60"/>
              <w:rPr>
                <w:color w:val="000000"/>
              </w:rPr>
            </w:pPr>
            <w:r>
              <w:rPr>
                <w:color w:val="000000"/>
              </w:rPr>
              <w:t>All teachers and SLT</w:t>
            </w:r>
          </w:p>
        </w:tc>
        <w:tc>
          <w:tcPr>
            <w:tcW w:w="1530" w:type="dxa"/>
          </w:tcPr>
          <w:p w:rsidR="008836B8" w:rsidRPr="0034496C" w:rsidRDefault="0034496C">
            <w:pPr>
              <w:pBdr>
                <w:top w:val="nil"/>
                <w:left w:val="nil"/>
                <w:bottom w:val="nil"/>
                <w:right w:val="nil"/>
                <w:between w:val="nil"/>
              </w:pBdr>
              <w:spacing w:after="60"/>
              <w:rPr>
                <w:color w:val="000000" w:themeColor="text1"/>
              </w:rPr>
            </w:pPr>
            <w:r>
              <w:rPr>
                <w:color w:val="000000" w:themeColor="text1"/>
              </w:rPr>
              <w:t>Termly</w:t>
            </w:r>
          </w:p>
        </w:tc>
      </w:tr>
      <w:tr w:rsidR="008836B8">
        <w:tc>
          <w:tcPr>
            <w:tcW w:w="2419" w:type="dxa"/>
            <w:tcMar>
              <w:top w:w="113" w:type="dxa"/>
              <w:bottom w:w="113" w:type="dxa"/>
            </w:tcMar>
          </w:tcPr>
          <w:p w:rsidR="008836B8" w:rsidRDefault="00766D6D">
            <w:pPr>
              <w:pBdr>
                <w:top w:val="nil"/>
                <w:left w:val="nil"/>
                <w:bottom w:val="nil"/>
                <w:right w:val="nil"/>
                <w:between w:val="nil"/>
              </w:pBdr>
              <w:spacing w:after="60"/>
              <w:rPr>
                <w:color w:val="000000"/>
              </w:rPr>
            </w:pPr>
            <w:r>
              <w:t>Replacement of / increase the capacity of school reading books for children to read in KS1</w:t>
            </w:r>
          </w:p>
        </w:tc>
        <w:tc>
          <w:tcPr>
            <w:tcW w:w="2175" w:type="dxa"/>
            <w:tcMar>
              <w:top w:w="113" w:type="dxa"/>
              <w:bottom w:w="113" w:type="dxa"/>
            </w:tcMar>
          </w:tcPr>
          <w:p w:rsidR="008836B8" w:rsidRDefault="00766D6D">
            <w:pPr>
              <w:numPr>
                <w:ilvl w:val="0"/>
                <w:numId w:val="11"/>
              </w:numPr>
              <w:pBdr>
                <w:top w:val="nil"/>
                <w:left w:val="nil"/>
                <w:bottom w:val="nil"/>
                <w:right w:val="nil"/>
                <w:between w:val="nil"/>
              </w:pBdr>
              <w:ind w:right="122"/>
              <w:rPr>
                <w:color w:val="000000"/>
              </w:rPr>
            </w:pPr>
            <w:r>
              <w:t xml:space="preserve">To improve reading attainment / progress </w:t>
            </w:r>
          </w:p>
          <w:p w:rsidR="008836B8" w:rsidRDefault="00766D6D">
            <w:pPr>
              <w:numPr>
                <w:ilvl w:val="0"/>
                <w:numId w:val="11"/>
              </w:numPr>
              <w:pBdr>
                <w:top w:val="nil"/>
                <w:left w:val="nil"/>
                <w:bottom w:val="nil"/>
                <w:right w:val="nil"/>
                <w:between w:val="nil"/>
              </w:pBdr>
              <w:spacing w:after="60"/>
              <w:ind w:right="122"/>
            </w:pPr>
            <w:r>
              <w:lastRenderedPageBreak/>
              <w:t>to improve literacy skills</w:t>
            </w:r>
          </w:p>
        </w:tc>
        <w:tc>
          <w:tcPr>
            <w:tcW w:w="3510" w:type="dxa"/>
          </w:tcPr>
          <w:p w:rsidR="008836B8" w:rsidRDefault="00766D6D">
            <w:pPr>
              <w:numPr>
                <w:ilvl w:val="0"/>
                <w:numId w:val="8"/>
              </w:numPr>
              <w:pBdr>
                <w:top w:val="nil"/>
                <w:left w:val="nil"/>
                <w:bottom w:val="nil"/>
                <w:right w:val="nil"/>
                <w:between w:val="nil"/>
              </w:pBdr>
              <w:rPr>
                <w:color w:val="000000"/>
              </w:rPr>
            </w:pPr>
            <w:r>
              <w:lastRenderedPageBreak/>
              <w:t>to ensure children have access to books</w:t>
            </w:r>
          </w:p>
          <w:p w:rsidR="008836B8" w:rsidRDefault="008836B8">
            <w:pPr>
              <w:numPr>
                <w:ilvl w:val="0"/>
                <w:numId w:val="8"/>
              </w:numPr>
              <w:pBdr>
                <w:top w:val="nil"/>
                <w:left w:val="nil"/>
                <w:bottom w:val="nil"/>
                <w:right w:val="nil"/>
                <w:between w:val="nil"/>
              </w:pBdr>
              <w:spacing w:after="60"/>
            </w:pPr>
          </w:p>
        </w:tc>
        <w:tc>
          <w:tcPr>
            <w:tcW w:w="3510" w:type="dxa"/>
          </w:tcPr>
          <w:p w:rsidR="008836B8" w:rsidRDefault="00766D6D">
            <w:pPr>
              <w:numPr>
                <w:ilvl w:val="0"/>
                <w:numId w:val="4"/>
              </w:numPr>
              <w:pBdr>
                <w:top w:val="nil"/>
                <w:left w:val="nil"/>
                <w:bottom w:val="nil"/>
                <w:right w:val="nil"/>
                <w:between w:val="nil"/>
              </w:pBdr>
              <w:rPr>
                <w:color w:val="000000"/>
              </w:rPr>
            </w:pPr>
            <w:r>
              <w:t>Monitoring of reading</w:t>
            </w:r>
          </w:p>
          <w:p w:rsidR="008836B8" w:rsidRDefault="00766D6D">
            <w:pPr>
              <w:numPr>
                <w:ilvl w:val="0"/>
                <w:numId w:val="4"/>
              </w:numPr>
              <w:pBdr>
                <w:top w:val="nil"/>
                <w:left w:val="nil"/>
                <w:bottom w:val="nil"/>
                <w:right w:val="nil"/>
                <w:between w:val="nil"/>
              </w:pBdr>
              <w:spacing w:after="60"/>
            </w:pPr>
            <w:r>
              <w:t>ensuring there are enough books in each band to allow progression through the book bands.</w:t>
            </w:r>
          </w:p>
        </w:tc>
        <w:tc>
          <w:tcPr>
            <w:tcW w:w="1620" w:type="dxa"/>
          </w:tcPr>
          <w:p w:rsidR="008836B8" w:rsidRDefault="00766D6D">
            <w:pPr>
              <w:pBdr>
                <w:top w:val="nil"/>
                <w:left w:val="nil"/>
                <w:bottom w:val="nil"/>
                <w:right w:val="nil"/>
                <w:between w:val="nil"/>
              </w:pBdr>
              <w:spacing w:after="60"/>
              <w:rPr>
                <w:color w:val="000000"/>
              </w:rPr>
            </w:pPr>
            <w:proofErr w:type="spellStart"/>
            <w:r>
              <w:t>CMcG</w:t>
            </w:r>
            <w:proofErr w:type="spellEnd"/>
          </w:p>
        </w:tc>
        <w:tc>
          <w:tcPr>
            <w:tcW w:w="1530" w:type="dxa"/>
          </w:tcPr>
          <w:p w:rsidR="008836B8" w:rsidRDefault="00766D6D">
            <w:pPr>
              <w:pBdr>
                <w:top w:val="nil"/>
                <w:left w:val="nil"/>
                <w:bottom w:val="nil"/>
                <w:right w:val="nil"/>
                <w:between w:val="nil"/>
              </w:pBdr>
              <w:spacing w:after="60"/>
            </w:pPr>
            <w:r>
              <w:t>Dec and Mar</w:t>
            </w:r>
          </w:p>
          <w:p w:rsidR="008836B8" w:rsidRDefault="008836B8">
            <w:pPr>
              <w:pBdr>
                <w:top w:val="nil"/>
                <w:left w:val="nil"/>
                <w:bottom w:val="nil"/>
                <w:right w:val="nil"/>
                <w:between w:val="nil"/>
              </w:pBdr>
              <w:spacing w:after="60"/>
              <w:rPr>
                <w:color w:val="980000"/>
              </w:rPr>
            </w:pPr>
          </w:p>
        </w:tc>
      </w:tr>
      <w:tr w:rsidR="008836B8">
        <w:tc>
          <w:tcPr>
            <w:tcW w:w="13234" w:type="dxa"/>
            <w:gridSpan w:val="5"/>
            <w:tcMar>
              <w:top w:w="113" w:type="dxa"/>
              <w:bottom w:w="113" w:type="dxa"/>
            </w:tcMar>
          </w:tcPr>
          <w:p w:rsidR="008836B8" w:rsidRDefault="00766D6D">
            <w:pPr>
              <w:pBdr>
                <w:top w:val="nil"/>
                <w:left w:val="nil"/>
                <w:bottom w:val="nil"/>
                <w:right w:val="nil"/>
                <w:between w:val="nil"/>
              </w:pBdr>
              <w:spacing w:after="60"/>
              <w:jc w:val="right"/>
              <w:rPr>
                <w:color w:val="000000"/>
              </w:rPr>
            </w:pPr>
            <w:r>
              <w:rPr>
                <w:color w:val="000000"/>
              </w:rPr>
              <w:lastRenderedPageBreak/>
              <w:t>Total budgeted cost:</w:t>
            </w:r>
          </w:p>
        </w:tc>
        <w:tc>
          <w:tcPr>
            <w:tcW w:w="1530" w:type="dxa"/>
          </w:tcPr>
          <w:p w:rsidR="008836B8" w:rsidRDefault="00766D6D">
            <w:pPr>
              <w:pBdr>
                <w:top w:val="nil"/>
                <w:left w:val="nil"/>
                <w:bottom w:val="nil"/>
                <w:right w:val="nil"/>
                <w:between w:val="nil"/>
              </w:pBdr>
              <w:spacing w:after="60"/>
              <w:rPr>
                <w:color w:val="000000"/>
              </w:rPr>
            </w:pPr>
            <w:r>
              <w:t>£7000</w:t>
            </w:r>
          </w:p>
        </w:tc>
      </w:tr>
      <w:tr w:rsidR="008836B8">
        <w:tc>
          <w:tcPr>
            <w:tcW w:w="14764" w:type="dxa"/>
            <w:gridSpan w:val="6"/>
            <w:shd w:val="clear" w:color="auto" w:fill="9CC2E5"/>
            <w:tcMar>
              <w:top w:w="113" w:type="dxa"/>
              <w:bottom w:w="113" w:type="dxa"/>
            </w:tcMar>
          </w:tcPr>
          <w:p w:rsidR="008836B8" w:rsidRDefault="00766D6D">
            <w:pPr>
              <w:pBdr>
                <w:top w:val="nil"/>
                <w:left w:val="nil"/>
                <w:bottom w:val="nil"/>
                <w:right w:val="nil"/>
                <w:between w:val="nil"/>
              </w:pBdr>
              <w:spacing w:after="60"/>
              <w:rPr>
                <w:color w:val="000000"/>
              </w:rPr>
            </w:pPr>
            <w:r>
              <w:rPr>
                <w:color w:val="000000"/>
              </w:rPr>
              <w:t>Targeted support</w:t>
            </w:r>
          </w:p>
        </w:tc>
      </w:tr>
      <w:tr w:rsidR="008836B8">
        <w:tc>
          <w:tcPr>
            <w:tcW w:w="2419" w:type="dxa"/>
            <w:tcMar>
              <w:top w:w="113" w:type="dxa"/>
              <w:bottom w:w="113" w:type="dxa"/>
            </w:tcMar>
          </w:tcPr>
          <w:p w:rsidR="008836B8" w:rsidRDefault="00766D6D">
            <w:pPr>
              <w:pBdr>
                <w:top w:val="nil"/>
                <w:left w:val="nil"/>
                <w:bottom w:val="nil"/>
                <w:right w:val="nil"/>
                <w:between w:val="nil"/>
              </w:pBdr>
              <w:spacing w:after="60"/>
              <w:rPr>
                <w:color w:val="000000"/>
              </w:rPr>
            </w:pPr>
            <w:r>
              <w:rPr>
                <w:color w:val="000000"/>
              </w:rPr>
              <w:t>Action</w:t>
            </w:r>
          </w:p>
        </w:tc>
        <w:tc>
          <w:tcPr>
            <w:tcW w:w="2175" w:type="dxa"/>
            <w:tcMar>
              <w:top w:w="113" w:type="dxa"/>
              <w:bottom w:w="113" w:type="dxa"/>
            </w:tcMar>
          </w:tcPr>
          <w:p w:rsidR="008836B8" w:rsidRDefault="00766D6D">
            <w:pPr>
              <w:pBdr>
                <w:top w:val="nil"/>
                <w:left w:val="nil"/>
                <w:bottom w:val="nil"/>
                <w:right w:val="nil"/>
                <w:between w:val="nil"/>
              </w:pBdr>
              <w:spacing w:after="60"/>
              <w:rPr>
                <w:color w:val="000000"/>
              </w:rPr>
            </w:pPr>
            <w:r>
              <w:rPr>
                <w:color w:val="000000"/>
              </w:rPr>
              <w:t>Intended outcome and success criteria</w:t>
            </w:r>
          </w:p>
        </w:tc>
        <w:tc>
          <w:tcPr>
            <w:tcW w:w="3510" w:type="dxa"/>
          </w:tcPr>
          <w:p w:rsidR="008836B8" w:rsidRDefault="00766D6D">
            <w:pPr>
              <w:pBdr>
                <w:top w:val="nil"/>
                <w:left w:val="nil"/>
                <w:bottom w:val="nil"/>
                <w:right w:val="nil"/>
                <w:between w:val="nil"/>
              </w:pBdr>
              <w:spacing w:after="120"/>
              <w:ind w:left="141" w:right="284" w:hanging="180"/>
              <w:rPr>
                <w:color w:val="000000"/>
              </w:rPr>
            </w:pPr>
            <w:r>
              <w:rPr>
                <w:color w:val="000000"/>
              </w:rPr>
              <w:t>What’s the evidence and rationale for this choice?</w:t>
            </w:r>
          </w:p>
        </w:tc>
        <w:tc>
          <w:tcPr>
            <w:tcW w:w="3510" w:type="dxa"/>
          </w:tcPr>
          <w:p w:rsidR="008836B8" w:rsidRDefault="00766D6D">
            <w:pPr>
              <w:pBdr>
                <w:top w:val="nil"/>
                <w:left w:val="nil"/>
                <w:bottom w:val="nil"/>
                <w:right w:val="nil"/>
                <w:between w:val="nil"/>
              </w:pBdr>
              <w:spacing w:after="120"/>
              <w:ind w:left="141" w:right="27" w:hanging="180"/>
              <w:rPr>
                <w:color w:val="000000"/>
              </w:rPr>
            </w:pPr>
            <w:r>
              <w:rPr>
                <w:color w:val="000000"/>
              </w:rPr>
              <w:t>How will you make sure it’s implemented well?</w:t>
            </w:r>
          </w:p>
        </w:tc>
        <w:tc>
          <w:tcPr>
            <w:tcW w:w="1620" w:type="dxa"/>
          </w:tcPr>
          <w:p w:rsidR="008836B8" w:rsidRDefault="00766D6D">
            <w:pPr>
              <w:pBdr>
                <w:top w:val="nil"/>
                <w:left w:val="nil"/>
                <w:bottom w:val="nil"/>
                <w:right w:val="nil"/>
                <w:between w:val="nil"/>
              </w:pBdr>
              <w:spacing w:after="120"/>
              <w:ind w:left="340" w:right="284" w:hanging="170"/>
              <w:rPr>
                <w:color w:val="000000"/>
              </w:rPr>
            </w:pPr>
            <w:r>
              <w:rPr>
                <w:color w:val="000000"/>
              </w:rPr>
              <w:t>Staff lead</w:t>
            </w:r>
          </w:p>
        </w:tc>
        <w:tc>
          <w:tcPr>
            <w:tcW w:w="1530" w:type="dxa"/>
          </w:tcPr>
          <w:p w:rsidR="008836B8" w:rsidRDefault="00766D6D">
            <w:pPr>
              <w:pBdr>
                <w:top w:val="nil"/>
                <w:left w:val="nil"/>
                <w:bottom w:val="nil"/>
                <w:right w:val="nil"/>
                <w:between w:val="nil"/>
              </w:pBdr>
              <w:spacing w:after="120"/>
              <w:ind w:left="340" w:right="-18" w:hanging="170"/>
              <w:rPr>
                <w:color w:val="000000"/>
              </w:rPr>
            </w:pPr>
            <w:r>
              <w:rPr>
                <w:color w:val="000000"/>
              </w:rPr>
              <w:t>When will you review this?</w:t>
            </w:r>
          </w:p>
        </w:tc>
      </w:tr>
      <w:tr w:rsidR="008836B8">
        <w:trPr>
          <w:trHeight w:val="3369"/>
        </w:trPr>
        <w:tc>
          <w:tcPr>
            <w:tcW w:w="2419" w:type="dxa"/>
            <w:tcMar>
              <w:top w:w="113" w:type="dxa"/>
              <w:bottom w:w="113" w:type="dxa"/>
            </w:tcMar>
          </w:tcPr>
          <w:p w:rsidR="008836B8" w:rsidRDefault="00766D6D">
            <w:pPr>
              <w:numPr>
                <w:ilvl w:val="0"/>
                <w:numId w:val="2"/>
              </w:numPr>
              <w:ind w:left="283"/>
            </w:pPr>
            <w:r>
              <w:t>One to one and small group catch up sessions.</w:t>
            </w:r>
          </w:p>
          <w:p w:rsidR="008836B8" w:rsidRDefault="00766D6D">
            <w:pPr>
              <w:numPr>
                <w:ilvl w:val="0"/>
                <w:numId w:val="2"/>
              </w:numPr>
              <w:ind w:left="283"/>
            </w:pPr>
            <w:r>
              <w:t xml:space="preserve">English and </w:t>
            </w:r>
            <w:proofErr w:type="spellStart"/>
            <w:r>
              <w:t>Maths</w:t>
            </w:r>
            <w:proofErr w:type="spellEnd"/>
            <w:r>
              <w:t xml:space="preserve"> structured intervention </w:t>
            </w:r>
            <w:proofErr w:type="spellStart"/>
            <w:r>
              <w:t>programmes</w:t>
            </w:r>
            <w:proofErr w:type="spellEnd"/>
          </w:p>
          <w:p w:rsidR="008836B8" w:rsidRDefault="00766D6D">
            <w:pPr>
              <w:numPr>
                <w:ilvl w:val="0"/>
                <w:numId w:val="2"/>
              </w:numPr>
              <w:ind w:left="283"/>
            </w:pPr>
            <w:proofErr w:type="spellStart"/>
            <w:r>
              <w:t>Maths</w:t>
            </w:r>
            <w:proofErr w:type="spellEnd"/>
            <w:r>
              <w:t xml:space="preserve"> tuition for identified Year 6 pupil premium children</w:t>
            </w:r>
          </w:p>
          <w:p w:rsidR="008836B8" w:rsidRDefault="00766D6D">
            <w:pPr>
              <w:numPr>
                <w:ilvl w:val="0"/>
                <w:numId w:val="2"/>
              </w:numPr>
              <w:ind w:left="283"/>
            </w:pPr>
            <w:r>
              <w:t xml:space="preserve">Appointment of additional staff to support intervention </w:t>
            </w:r>
            <w:proofErr w:type="spellStart"/>
            <w:r>
              <w:t>programmes</w:t>
            </w:r>
            <w:proofErr w:type="spellEnd"/>
          </w:p>
          <w:p w:rsidR="008836B8" w:rsidRDefault="00766D6D">
            <w:pPr>
              <w:numPr>
                <w:ilvl w:val="0"/>
                <w:numId w:val="2"/>
              </w:numPr>
              <w:ind w:left="283"/>
            </w:pPr>
            <w:proofErr w:type="spellStart"/>
            <w:r>
              <w:t>Wellcom</w:t>
            </w:r>
            <w:proofErr w:type="spellEnd"/>
            <w:r>
              <w:t xml:space="preserve"> interventions following baseline assessments.</w:t>
            </w:r>
          </w:p>
        </w:tc>
        <w:tc>
          <w:tcPr>
            <w:tcW w:w="2175" w:type="dxa"/>
            <w:tcMar>
              <w:top w:w="113" w:type="dxa"/>
              <w:bottom w:w="113" w:type="dxa"/>
            </w:tcMar>
          </w:tcPr>
          <w:p w:rsidR="008836B8" w:rsidRDefault="00766D6D">
            <w:pPr>
              <w:numPr>
                <w:ilvl w:val="0"/>
                <w:numId w:val="2"/>
              </w:numPr>
              <w:pBdr>
                <w:top w:val="nil"/>
                <w:left w:val="nil"/>
                <w:bottom w:val="nil"/>
                <w:right w:val="nil"/>
                <w:between w:val="nil"/>
              </w:pBdr>
              <w:spacing w:after="60"/>
              <w:ind w:left="283"/>
              <w:rPr>
                <w:color w:val="000000"/>
              </w:rPr>
            </w:pPr>
            <w:r>
              <w:rPr>
                <w:color w:val="000000"/>
              </w:rPr>
              <w:t xml:space="preserve">To raise the attainment of targeted pupils to close the gap created by </w:t>
            </w:r>
            <w:proofErr w:type="spellStart"/>
            <w:r>
              <w:rPr>
                <w:color w:val="000000"/>
              </w:rPr>
              <w:t>Covid</w:t>
            </w:r>
            <w:proofErr w:type="spellEnd"/>
            <w:r>
              <w:rPr>
                <w:color w:val="000000"/>
              </w:rPr>
              <w:t xml:space="preserve"> 19 school closures.</w:t>
            </w:r>
          </w:p>
          <w:p w:rsidR="008836B8" w:rsidRDefault="00766D6D">
            <w:pPr>
              <w:numPr>
                <w:ilvl w:val="0"/>
                <w:numId w:val="2"/>
              </w:numPr>
              <w:pBdr>
                <w:top w:val="nil"/>
                <w:left w:val="nil"/>
                <w:bottom w:val="nil"/>
                <w:right w:val="nil"/>
                <w:between w:val="nil"/>
              </w:pBdr>
              <w:spacing w:after="60"/>
              <w:ind w:left="283"/>
              <w:rPr>
                <w:color w:val="000000"/>
              </w:rPr>
            </w:pPr>
            <w:r>
              <w:rPr>
                <w:color w:val="000000"/>
              </w:rPr>
              <w:t xml:space="preserve">All classes to have access to teaching assistants to help deliver catch up </w:t>
            </w:r>
            <w:proofErr w:type="spellStart"/>
            <w:r>
              <w:rPr>
                <w:color w:val="000000"/>
              </w:rPr>
              <w:t>programmes</w:t>
            </w:r>
            <w:proofErr w:type="spellEnd"/>
          </w:p>
          <w:p w:rsidR="008836B8" w:rsidRDefault="00766D6D">
            <w:pPr>
              <w:numPr>
                <w:ilvl w:val="0"/>
                <w:numId w:val="2"/>
              </w:numPr>
              <w:pBdr>
                <w:top w:val="nil"/>
                <w:left w:val="nil"/>
                <w:bottom w:val="nil"/>
                <w:right w:val="nil"/>
                <w:between w:val="nil"/>
              </w:pBdr>
              <w:spacing w:after="60"/>
              <w:ind w:left="283"/>
            </w:pPr>
            <w:r>
              <w:t xml:space="preserve">To raise levels of </w:t>
            </w:r>
            <w:proofErr w:type="spellStart"/>
            <w:r>
              <w:t>oracy</w:t>
            </w:r>
            <w:proofErr w:type="spellEnd"/>
          </w:p>
        </w:tc>
        <w:tc>
          <w:tcPr>
            <w:tcW w:w="3510" w:type="dxa"/>
          </w:tcPr>
          <w:p w:rsidR="008836B8" w:rsidRDefault="00766D6D">
            <w:pPr>
              <w:numPr>
                <w:ilvl w:val="0"/>
                <w:numId w:val="2"/>
              </w:numPr>
              <w:ind w:left="283"/>
            </w:pPr>
            <w:r>
              <w:t>There is extensive evidence for supporting the impact of high quality one to one and small group tuition as a catch up strategy.</w:t>
            </w:r>
          </w:p>
          <w:p w:rsidR="008836B8" w:rsidRDefault="00766D6D">
            <w:pPr>
              <w:numPr>
                <w:ilvl w:val="0"/>
                <w:numId w:val="2"/>
              </w:numPr>
              <w:ind w:left="283"/>
            </w:pPr>
            <w:r>
              <w:t>There is extensive evidence showing the long term negative impact of beginning secondary school without secure literacy skills.</w:t>
            </w:r>
          </w:p>
          <w:p w:rsidR="008836B8" w:rsidRDefault="00766D6D">
            <w:pPr>
              <w:numPr>
                <w:ilvl w:val="0"/>
                <w:numId w:val="2"/>
              </w:numPr>
              <w:ind w:left="283"/>
            </w:pPr>
            <w:r>
              <w:t>Effective intervention follows assessment to ensure that support is well targeted and monitors pupil progress.</w:t>
            </w:r>
          </w:p>
        </w:tc>
        <w:tc>
          <w:tcPr>
            <w:tcW w:w="3510" w:type="dxa"/>
          </w:tcPr>
          <w:p w:rsidR="008836B8" w:rsidRDefault="00766D6D">
            <w:pPr>
              <w:numPr>
                <w:ilvl w:val="0"/>
                <w:numId w:val="2"/>
              </w:numPr>
              <w:pBdr>
                <w:top w:val="nil"/>
                <w:left w:val="nil"/>
                <w:bottom w:val="nil"/>
                <w:right w:val="nil"/>
                <w:between w:val="nil"/>
              </w:pBdr>
              <w:spacing w:after="60"/>
              <w:ind w:left="283"/>
              <w:rPr>
                <w:color w:val="000000"/>
              </w:rPr>
            </w:pPr>
            <w:r>
              <w:rPr>
                <w:color w:val="000000"/>
              </w:rPr>
              <w:t>Pupil attainment and progress monitored to ensure the correct children are targeted.</w:t>
            </w:r>
          </w:p>
          <w:p w:rsidR="008836B8" w:rsidRDefault="00766D6D">
            <w:pPr>
              <w:numPr>
                <w:ilvl w:val="0"/>
                <w:numId w:val="2"/>
              </w:numPr>
              <w:pBdr>
                <w:top w:val="nil"/>
                <w:left w:val="nil"/>
                <w:bottom w:val="nil"/>
                <w:right w:val="nil"/>
                <w:between w:val="nil"/>
              </w:pBdr>
              <w:spacing w:after="60"/>
              <w:ind w:left="283"/>
              <w:rPr>
                <w:color w:val="000000"/>
              </w:rPr>
            </w:pPr>
            <w:r>
              <w:rPr>
                <w:color w:val="000000"/>
              </w:rPr>
              <w:t>Teaching is structured to the needs of the identified children.</w:t>
            </w:r>
          </w:p>
          <w:p w:rsidR="008836B8" w:rsidRDefault="00766D6D">
            <w:pPr>
              <w:numPr>
                <w:ilvl w:val="0"/>
                <w:numId w:val="2"/>
              </w:numPr>
              <w:pBdr>
                <w:top w:val="nil"/>
                <w:left w:val="nil"/>
                <w:bottom w:val="nil"/>
                <w:right w:val="nil"/>
                <w:between w:val="nil"/>
              </w:pBdr>
              <w:spacing w:after="60"/>
              <w:ind w:left="283"/>
              <w:rPr>
                <w:color w:val="000000"/>
              </w:rPr>
            </w:pPr>
            <w:r>
              <w:rPr>
                <w:color w:val="000000"/>
              </w:rPr>
              <w:t>Timetables drawn up detailing intervention, children involved, who and where it will be delivered.</w:t>
            </w:r>
          </w:p>
          <w:p w:rsidR="008836B8" w:rsidRDefault="008836B8">
            <w:pPr>
              <w:pBdr>
                <w:top w:val="nil"/>
                <w:left w:val="nil"/>
                <w:bottom w:val="nil"/>
                <w:right w:val="nil"/>
                <w:between w:val="nil"/>
              </w:pBdr>
              <w:spacing w:after="60"/>
            </w:pPr>
          </w:p>
        </w:tc>
        <w:tc>
          <w:tcPr>
            <w:tcW w:w="1620" w:type="dxa"/>
          </w:tcPr>
          <w:p w:rsidR="008836B8" w:rsidRDefault="00766D6D">
            <w:pPr>
              <w:pBdr>
                <w:top w:val="nil"/>
                <w:left w:val="nil"/>
                <w:bottom w:val="nil"/>
                <w:right w:val="nil"/>
                <w:between w:val="nil"/>
              </w:pBdr>
              <w:spacing w:after="60"/>
              <w:rPr>
                <w:color w:val="000000"/>
              </w:rPr>
            </w:pPr>
            <w:r>
              <w:rPr>
                <w:color w:val="000000"/>
              </w:rPr>
              <w:t>SLT</w:t>
            </w:r>
          </w:p>
        </w:tc>
        <w:tc>
          <w:tcPr>
            <w:tcW w:w="1530" w:type="dxa"/>
          </w:tcPr>
          <w:p w:rsidR="008836B8" w:rsidRDefault="00766D6D">
            <w:pPr>
              <w:pBdr>
                <w:top w:val="nil"/>
                <w:left w:val="nil"/>
                <w:bottom w:val="nil"/>
                <w:right w:val="nil"/>
                <w:between w:val="nil"/>
              </w:pBdr>
              <w:spacing w:after="60"/>
              <w:rPr>
                <w:color w:val="000000"/>
              </w:rPr>
            </w:pPr>
            <w:r>
              <w:rPr>
                <w:color w:val="000000"/>
              </w:rPr>
              <w:t>December and March following assessments</w:t>
            </w:r>
          </w:p>
          <w:p w:rsidR="008836B8" w:rsidRDefault="008836B8">
            <w:pPr>
              <w:pBdr>
                <w:top w:val="nil"/>
                <w:left w:val="nil"/>
                <w:bottom w:val="nil"/>
                <w:right w:val="nil"/>
                <w:between w:val="nil"/>
              </w:pBdr>
              <w:spacing w:after="60"/>
              <w:rPr>
                <w:color w:val="00FF00"/>
              </w:rPr>
            </w:pPr>
          </w:p>
        </w:tc>
      </w:tr>
      <w:tr w:rsidR="008836B8">
        <w:tc>
          <w:tcPr>
            <w:tcW w:w="2419" w:type="dxa"/>
            <w:tcMar>
              <w:top w:w="113" w:type="dxa"/>
              <w:bottom w:w="113" w:type="dxa"/>
            </w:tcMar>
          </w:tcPr>
          <w:p w:rsidR="008836B8" w:rsidRDefault="00766D6D">
            <w:pPr>
              <w:numPr>
                <w:ilvl w:val="0"/>
                <w:numId w:val="2"/>
              </w:numPr>
              <w:ind w:left="283"/>
            </w:pPr>
            <w:r>
              <w:t xml:space="preserve">Extending the length of the day for some pupils in Year 3 and 6 to provide additional academic </w:t>
            </w:r>
            <w:r>
              <w:lastRenderedPageBreak/>
              <w:t xml:space="preserve">support in English and </w:t>
            </w:r>
            <w:proofErr w:type="spellStart"/>
            <w:r>
              <w:t>maths</w:t>
            </w:r>
            <w:proofErr w:type="spellEnd"/>
            <w:r>
              <w:t>.</w:t>
            </w:r>
          </w:p>
          <w:p w:rsidR="008836B8" w:rsidRDefault="008836B8">
            <w:pPr>
              <w:pBdr>
                <w:top w:val="nil"/>
                <w:left w:val="nil"/>
                <w:bottom w:val="nil"/>
                <w:right w:val="nil"/>
                <w:between w:val="nil"/>
              </w:pBdr>
              <w:spacing w:after="60"/>
              <w:ind w:left="283" w:hanging="360"/>
              <w:rPr>
                <w:color w:val="000000"/>
              </w:rPr>
            </w:pPr>
          </w:p>
        </w:tc>
        <w:tc>
          <w:tcPr>
            <w:tcW w:w="2175" w:type="dxa"/>
            <w:tcMar>
              <w:top w:w="113" w:type="dxa"/>
              <w:bottom w:w="113" w:type="dxa"/>
            </w:tcMar>
          </w:tcPr>
          <w:p w:rsidR="008836B8" w:rsidRDefault="00766D6D">
            <w:pPr>
              <w:numPr>
                <w:ilvl w:val="0"/>
                <w:numId w:val="2"/>
              </w:numPr>
              <w:pBdr>
                <w:top w:val="nil"/>
                <w:left w:val="nil"/>
                <w:bottom w:val="nil"/>
                <w:right w:val="nil"/>
                <w:between w:val="nil"/>
              </w:pBdr>
              <w:spacing w:after="60"/>
              <w:ind w:left="283"/>
              <w:rPr>
                <w:color w:val="000000"/>
              </w:rPr>
            </w:pPr>
            <w:r>
              <w:rPr>
                <w:color w:val="000000"/>
              </w:rPr>
              <w:lastRenderedPageBreak/>
              <w:t xml:space="preserve">To raise the attainment of targeted pupils to close the gap created by </w:t>
            </w:r>
            <w:proofErr w:type="spellStart"/>
            <w:r>
              <w:rPr>
                <w:color w:val="000000"/>
              </w:rPr>
              <w:t>Covid</w:t>
            </w:r>
            <w:proofErr w:type="spellEnd"/>
            <w:r>
              <w:rPr>
                <w:color w:val="000000"/>
              </w:rPr>
              <w:t xml:space="preserve"> </w:t>
            </w:r>
            <w:r>
              <w:rPr>
                <w:color w:val="000000"/>
              </w:rPr>
              <w:lastRenderedPageBreak/>
              <w:t>19 school closures.</w:t>
            </w:r>
          </w:p>
        </w:tc>
        <w:tc>
          <w:tcPr>
            <w:tcW w:w="3510" w:type="dxa"/>
          </w:tcPr>
          <w:p w:rsidR="008836B8" w:rsidRDefault="00766D6D">
            <w:pPr>
              <w:numPr>
                <w:ilvl w:val="0"/>
                <w:numId w:val="2"/>
              </w:numPr>
              <w:ind w:left="283"/>
            </w:pPr>
            <w:r>
              <w:lastRenderedPageBreak/>
              <w:t>There is extensive evidence for supporting the impact of high quality one to one and small group tuition as a catch up strategy.</w:t>
            </w:r>
          </w:p>
          <w:p w:rsidR="008836B8" w:rsidRDefault="00766D6D">
            <w:pPr>
              <w:numPr>
                <w:ilvl w:val="0"/>
                <w:numId w:val="2"/>
              </w:numPr>
              <w:ind w:left="283"/>
            </w:pPr>
            <w:r>
              <w:lastRenderedPageBreak/>
              <w:t>There is extensive evidence showing the long term negative impact of beginning secondary school without secure literacy skills.</w:t>
            </w:r>
          </w:p>
          <w:p w:rsidR="008836B8" w:rsidRDefault="00766D6D">
            <w:pPr>
              <w:numPr>
                <w:ilvl w:val="0"/>
                <w:numId w:val="2"/>
              </w:numPr>
              <w:pBdr>
                <w:top w:val="nil"/>
                <w:left w:val="nil"/>
                <w:bottom w:val="nil"/>
                <w:right w:val="nil"/>
                <w:between w:val="nil"/>
              </w:pBdr>
              <w:spacing w:after="60"/>
              <w:ind w:left="283"/>
              <w:rPr>
                <w:color w:val="000000"/>
              </w:rPr>
            </w:pPr>
            <w:r>
              <w:rPr>
                <w:color w:val="000000"/>
              </w:rPr>
              <w:t>Effective intervention follows assessment to ensure that support is well targeted and monitors pupil progress.</w:t>
            </w:r>
          </w:p>
          <w:p w:rsidR="008836B8" w:rsidRDefault="00766D6D">
            <w:pPr>
              <w:numPr>
                <w:ilvl w:val="0"/>
                <w:numId w:val="2"/>
              </w:numPr>
              <w:pBdr>
                <w:top w:val="nil"/>
                <w:left w:val="nil"/>
                <w:bottom w:val="nil"/>
                <w:right w:val="nil"/>
                <w:between w:val="nil"/>
              </w:pBdr>
              <w:spacing w:after="60"/>
              <w:ind w:left="283"/>
              <w:rPr>
                <w:color w:val="000000"/>
              </w:rPr>
            </w:pPr>
            <w:r>
              <w:rPr>
                <w:color w:val="000000"/>
              </w:rPr>
              <w:t xml:space="preserve">There is some evidence that extending school time can have a small positive impact on learning as well as some other outcomes such as attendance and </w:t>
            </w:r>
            <w:proofErr w:type="spellStart"/>
            <w:r>
              <w:rPr>
                <w:color w:val="000000"/>
              </w:rPr>
              <w:t>behaviour</w:t>
            </w:r>
            <w:proofErr w:type="spellEnd"/>
            <w:r>
              <w:rPr>
                <w:color w:val="000000"/>
              </w:rPr>
              <w:t>.</w:t>
            </w:r>
          </w:p>
        </w:tc>
        <w:tc>
          <w:tcPr>
            <w:tcW w:w="3510" w:type="dxa"/>
          </w:tcPr>
          <w:p w:rsidR="008836B8" w:rsidRDefault="00766D6D">
            <w:pPr>
              <w:numPr>
                <w:ilvl w:val="0"/>
                <w:numId w:val="2"/>
              </w:numPr>
              <w:pBdr>
                <w:top w:val="nil"/>
                <w:left w:val="nil"/>
                <w:bottom w:val="nil"/>
                <w:right w:val="nil"/>
                <w:between w:val="nil"/>
              </w:pBdr>
              <w:spacing w:after="60"/>
              <w:ind w:left="283"/>
              <w:rPr>
                <w:color w:val="000000"/>
              </w:rPr>
            </w:pPr>
            <w:r>
              <w:rPr>
                <w:color w:val="000000"/>
              </w:rPr>
              <w:lastRenderedPageBreak/>
              <w:t>Pupil attainment and progress monitored to ensure the correct children are targeted.</w:t>
            </w:r>
          </w:p>
          <w:p w:rsidR="008836B8" w:rsidRDefault="00766D6D">
            <w:pPr>
              <w:numPr>
                <w:ilvl w:val="0"/>
                <w:numId w:val="2"/>
              </w:numPr>
              <w:pBdr>
                <w:top w:val="nil"/>
                <w:left w:val="nil"/>
                <w:bottom w:val="nil"/>
                <w:right w:val="nil"/>
                <w:between w:val="nil"/>
              </w:pBdr>
              <w:spacing w:after="60"/>
              <w:ind w:left="283"/>
              <w:rPr>
                <w:color w:val="000000"/>
              </w:rPr>
            </w:pPr>
            <w:r>
              <w:rPr>
                <w:color w:val="000000"/>
              </w:rPr>
              <w:t>Teaching is structured to the needs of the identified children.</w:t>
            </w:r>
          </w:p>
          <w:p w:rsidR="008836B8" w:rsidRDefault="00766D6D">
            <w:pPr>
              <w:numPr>
                <w:ilvl w:val="0"/>
                <w:numId w:val="2"/>
              </w:numPr>
              <w:pBdr>
                <w:top w:val="nil"/>
                <w:left w:val="nil"/>
                <w:bottom w:val="nil"/>
                <w:right w:val="nil"/>
                <w:between w:val="nil"/>
              </w:pBdr>
              <w:spacing w:after="60"/>
              <w:ind w:left="283"/>
              <w:rPr>
                <w:color w:val="000000"/>
              </w:rPr>
            </w:pPr>
            <w:r>
              <w:rPr>
                <w:color w:val="000000"/>
              </w:rPr>
              <w:lastRenderedPageBreak/>
              <w:t>Timetables drawn up detailing intervention, children involved, who and where it will be delivered.</w:t>
            </w:r>
          </w:p>
          <w:p w:rsidR="008836B8" w:rsidRDefault="00766D6D">
            <w:pPr>
              <w:numPr>
                <w:ilvl w:val="0"/>
                <w:numId w:val="2"/>
              </w:numPr>
              <w:pBdr>
                <w:top w:val="nil"/>
                <w:left w:val="nil"/>
                <w:bottom w:val="nil"/>
                <w:right w:val="nil"/>
                <w:between w:val="nil"/>
              </w:pBdr>
              <w:spacing w:after="60"/>
              <w:ind w:left="283"/>
              <w:rPr>
                <w:color w:val="000000"/>
              </w:rPr>
            </w:pPr>
            <w:r>
              <w:rPr>
                <w:color w:val="000000"/>
              </w:rPr>
              <w:t xml:space="preserve">Parents informed of the </w:t>
            </w:r>
            <w:proofErr w:type="spellStart"/>
            <w:r>
              <w:rPr>
                <w:color w:val="000000"/>
              </w:rPr>
              <w:t>programmes</w:t>
            </w:r>
            <w:proofErr w:type="spellEnd"/>
          </w:p>
        </w:tc>
        <w:tc>
          <w:tcPr>
            <w:tcW w:w="1620" w:type="dxa"/>
          </w:tcPr>
          <w:p w:rsidR="008836B8" w:rsidRDefault="00766D6D">
            <w:pPr>
              <w:pBdr>
                <w:top w:val="nil"/>
                <w:left w:val="nil"/>
                <w:bottom w:val="nil"/>
                <w:right w:val="nil"/>
                <w:between w:val="nil"/>
              </w:pBdr>
              <w:spacing w:after="60"/>
              <w:rPr>
                <w:color w:val="000000"/>
              </w:rPr>
            </w:pPr>
            <w:r>
              <w:rPr>
                <w:color w:val="000000"/>
              </w:rPr>
              <w:lastRenderedPageBreak/>
              <w:t>SLT</w:t>
            </w:r>
          </w:p>
        </w:tc>
        <w:tc>
          <w:tcPr>
            <w:tcW w:w="1530" w:type="dxa"/>
          </w:tcPr>
          <w:p w:rsidR="008836B8" w:rsidRDefault="00766D6D">
            <w:pPr>
              <w:pBdr>
                <w:top w:val="nil"/>
                <w:left w:val="nil"/>
                <w:bottom w:val="nil"/>
                <w:right w:val="nil"/>
                <w:between w:val="nil"/>
              </w:pBdr>
              <w:spacing w:after="60"/>
              <w:rPr>
                <w:color w:val="000000"/>
              </w:rPr>
            </w:pPr>
            <w:r>
              <w:rPr>
                <w:color w:val="000000"/>
              </w:rPr>
              <w:t>December and March following assessments</w:t>
            </w:r>
          </w:p>
          <w:p w:rsidR="008836B8" w:rsidRDefault="008836B8">
            <w:pPr>
              <w:pBdr>
                <w:top w:val="nil"/>
                <w:left w:val="nil"/>
                <w:bottom w:val="nil"/>
                <w:right w:val="nil"/>
                <w:between w:val="nil"/>
              </w:pBdr>
              <w:spacing w:after="60"/>
              <w:rPr>
                <w:color w:val="00FF00"/>
              </w:rPr>
            </w:pPr>
          </w:p>
        </w:tc>
      </w:tr>
      <w:tr w:rsidR="008836B8">
        <w:tc>
          <w:tcPr>
            <w:tcW w:w="13234" w:type="dxa"/>
            <w:gridSpan w:val="5"/>
            <w:tcMar>
              <w:top w:w="113" w:type="dxa"/>
              <w:bottom w:w="113" w:type="dxa"/>
            </w:tcMar>
          </w:tcPr>
          <w:p w:rsidR="008836B8" w:rsidRDefault="00766D6D">
            <w:pPr>
              <w:pBdr>
                <w:top w:val="nil"/>
                <w:left w:val="nil"/>
                <w:bottom w:val="nil"/>
                <w:right w:val="nil"/>
                <w:between w:val="nil"/>
              </w:pBdr>
              <w:spacing w:after="60"/>
              <w:jc w:val="right"/>
              <w:rPr>
                <w:color w:val="000000"/>
              </w:rPr>
            </w:pPr>
            <w:r>
              <w:rPr>
                <w:color w:val="000000"/>
              </w:rPr>
              <w:lastRenderedPageBreak/>
              <w:t>Total budgeted cost:</w:t>
            </w:r>
          </w:p>
        </w:tc>
        <w:tc>
          <w:tcPr>
            <w:tcW w:w="1530" w:type="dxa"/>
          </w:tcPr>
          <w:p w:rsidR="008836B8" w:rsidRDefault="00766D6D">
            <w:pPr>
              <w:pBdr>
                <w:top w:val="nil"/>
                <w:left w:val="nil"/>
                <w:bottom w:val="nil"/>
                <w:right w:val="nil"/>
                <w:between w:val="nil"/>
              </w:pBdr>
              <w:spacing w:after="60"/>
              <w:rPr>
                <w:color w:val="000000"/>
              </w:rPr>
            </w:pPr>
            <w:r>
              <w:t>£27000</w:t>
            </w:r>
          </w:p>
        </w:tc>
      </w:tr>
      <w:tr w:rsidR="008836B8">
        <w:trPr>
          <w:trHeight w:val="319"/>
        </w:trPr>
        <w:tc>
          <w:tcPr>
            <w:tcW w:w="2419" w:type="dxa"/>
            <w:shd w:val="clear" w:color="auto" w:fill="9CC2E5"/>
            <w:tcMar>
              <w:top w:w="113" w:type="dxa"/>
              <w:bottom w:w="113" w:type="dxa"/>
            </w:tcMar>
          </w:tcPr>
          <w:p w:rsidR="008836B8" w:rsidRDefault="00766D6D">
            <w:pPr>
              <w:pBdr>
                <w:top w:val="nil"/>
                <w:left w:val="nil"/>
                <w:bottom w:val="nil"/>
                <w:right w:val="nil"/>
                <w:between w:val="nil"/>
              </w:pBdr>
              <w:spacing w:after="60"/>
              <w:rPr>
                <w:color w:val="000000"/>
              </w:rPr>
            </w:pPr>
            <w:r>
              <w:rPr>
                <w:color w:val="000000"/>
              </w:rPr>
              <w:t>Other approaches</w:t>
            </w:r>
          </w:p>
        </w:tc>
        <w:tc>
          <w:tcPr>
            <w:tcW w:w="2175" w:type="dxa"/>
            <w:shd w:val="clear" w:color="auto" w:fill="9CC2E5"/>
            <w:tcMar>
              <w:top w:w="113" w:type="dxa"/>
              <w:bottom w:w="113" w:type="dxa"/>
            </w:tcMar>
          </w:tcPr>
          <w:p w:rsidR="008836B8" w:rsidRDefault="008836B8">
            <w:pPr>
              <w:pBdr>
                <w:top w:val="nil"/>
                <w:left w:val="nil"/>
                <w:bottom w:val="nil"/>
                <w:right w:val="nil"/>
                <w:between w:val="nil"/>
              </w:pBdr>
              <w:spacing w:after="60"/>
              <w:rPr>
                <w:color w:val="000000"/>
              </w:rPr>
            </w:pPr>
          </w:p>
        </w:tc>
        <w:tc>
          <w:tcPr>
            <w:tcW w:w="3510" w:type="dxa"/>
            <w:shd w:val="clear" w:color="auto" w:fill="9CC2E5"/>
          </w:tcPr>
          <w:p w:rsidR="008836B8" w:rsidRDefault="008836B8">
            <w:pPr>
              <w:pBdr>
                <w:top w:val="nil"/>
                <w:left w:val="nil"/>
                <w:bottom w:val="nil"/>
                <w:right w:val="nil"/>
                <w:between w:val="nil"/>
              </w:pBdr>
              <w:spacing w:after="60"/>
              <w:rPr>
                <w:color w:val="000000"/>
              </w:rPr>
            </w:pPr>
          </w:p>
        </w:tc>
        <w:tc>
          <w:tcPr>
            <w:tcW w:w="3510" w:type="dxa"/>
            <w:shd w:val="clear" w:color="auto" w:fill="9CC2E5"/>
          </w:tcPr>
          <w:p w:rsidR="008836B8" w:rsidRDefault="008836B8">
            <w:pPr>
              <w:pBdr>
                <w:top w:val="nil"/>
                <w:left w:val="nil"/>
                <w:bottom w:val="nil"/>
                <w:right w:val="nil"/>
                <w:between w:val="nil"/>
              </w:pBdr>
              <w:spacing w:after="60"/>
              <w:rPr>
                <w:color w:val="000000"/>
              </w:rPr>
            </w:pPr>
          </w:p>
        </w:tc>
        <w:tc>
          <w:tcPr>
            <w:tcW w:w="1620" w:type="dxa"/>
            <w:shd w:val="clear" w:color="auto" w:fill="9CC2E5"/>
          </w:tcPr>
          <w:p w:rsidR="008836B8" w:rsidRDefault="008836B8">
            <w:pPr>
              <w:pBdr>
                <w:top w:val="nil"/>
                <w:left w:val="nil"/>
                <w:bottom w:val="nil"/>
                <w:right w:val="nil"/>
                <w:between w:val="nil"/>
              </w:pBdr>
              <w:spacing w:after="60"/>
              <w:rPr>
                <w:color w:val="000000"/>
              </w:rPr>
            </w:pPr>
          </w:p>
        </w:tc>
        <w:tc>
          <w:tcPr>
            <w:tcW w:w="1530" w:type="dxa"/>
            <w:shd w:val="clear" w:color="auto" w:fill="9CC2E5"/>
          </w:tcPr>
          <w:p w:rsidR="008836B8" w:rsidRDefault="008836B8">
            <w:pPr>
              <w:pBdr>
                <w:top w:val="nil"/>
                <w:left w:val="nil"/>
                <w:bottom w:val="nil"/>
                <w:right w:val="nil"/>
                <w:between w:val="nil"/>
              </w:pBdr>
              <w:spacing w:after="60"/>
              <w:rPr>
                <w:color w:val="000000"/>
              </w:rPr>
            </w:pPr>
          </w:p>
        </w:tc>
      </w:tr>
      <w:tr w:rsidR="008836B8">
        <w:trPr>
          <w:trHeight w:val="599"/>
        </w:trPr>
        <w:tc>
          <w:tcPr>
            <w:tcW w:w="2419" w:type="dxa"/>
            <w:tcMar>
              <w:top w:w="113" w:type="dxa"/>
              <w:bottom w:w="113" w:type="dxa"/>
            </w:tcMar>
          </w:tcPr>
          <w:p w:rsidR="008836B8" w:rsidRDefault="00766D6D">
            <w:pPr>
              <w:pBdr>
                <w:top w:val="nil"/>
                <w:left w:val="nil"/>
                <w:bottom w:val="nil"/>
                <w:right w:val="nil"/>
                <w:between w:val="nil"/>
              </w:pBdr>
              <w:spacing w:after="60"/>
              <w:rPr>
                <w:color w:val="000000"/>
              </w:rPr>
            </w:pPr>
            <w:r>
              <w:rPr>
                <w:color w:val="000000"/>
              </w:rPr>
              <w:t>Action</w:t>
            </w:r>
          </w:p>
        </w:tc>
        <w:tc>
          <w:tcPr>
            <w:tcW w:w="2175" w:type="dxa"/>
            <w:tcMar>
              <w:top w:w="113" w:type="dxa"/>
              <w:bottom w:w="113" w:type="dxa"/>
            </w:tcMar>
          </w:tcPr>
          <w:p w:rsidR="008836B8" w:rsidRDefault="00766D6D">
            <w:pPr>
              <w:pBdr>
                <w:top w:val="nil"/>
                <w:left w:val="nil"/>
                <w:bottom w:val="nil"/>
                <w:right w:val="nil"/>
                <w:between w:val="nil"/>
              </w:pBdr>
              <w:spacing w:after="60"/>
              <w:rPr>
                <w:color w:val="000000"/>
              </w:rPr>
            </w:pPr>
            <w:r>
              <w:rPr>
                <w:color w:val="000000"/>
              </w:rPr>
              <w:t>Intended outcome and success criteria</w:t>
            </w:r>
          </w:p>
        </w:tc>
        <w:tc>
          <w:tcPr>
            <w:tcW w:w="3510" w:type="dxa"/>
          </w:tcPr>
          <w:p w:rsidR="008836B8" w:rsidRDefault="00766D6D">
            <w:pPr>
              <w:pBdr>
                <w:top w:val="nil"/>
                <w:left w:val="nil"/>
                <w:bottom w:val="nil"/>
                <w:right w:val="nil"/>
                <w:between w:val="nil"/>
              </w:pBdr>
              <w:spacing w:after="120"/>
              <w:ind w:left="340" w:right="284" w:hanging="170"/>
              <w:rPr>
                <w:color w:val="000000"/>
              </w:rPr>
            </w:pPr>
            <w:r>
              <w:rPr>
                <w:color w:val="000000"/>
              </w:rPr>
              <w:t>What’s the evidence and rationale for this choice?</w:t>
            </w:r>
          </w:p>
        </w:tc>
        <w:tc>
          <w:tcPr>
            <w:tcW w:w="3510" w:type="dxa"/>
          </w:tcPr>
          <w:p w:rsidR="008836B8" w:rsidRDefault="00766D6D">
            <w:pPr>
              <w:pBdr>
                <w:top w:val="nil"/>
                <w:left w:val="nil"/>
                <w:bottom w:val="nil"/>
                <w:right w:val="nil"/>
                <w:between w:val="nil"/>
              </w:pBdr>
              <w:spacing w:after="120"/>
              <w:ind w:left="340" w:right="27" w:hanging="170"/>
              <w:rPr>
                <w:color w:val="000000"/>
              </w:rPr>
            </w:pPr>
            <w:r>
              <w:rPr>
                <w:color w:val="000000"/>
              </w:rPr>
              <w:t>How will you make sure it’s implemented well?</w:t>
            </w:r>
          </w:p>
        </w:tc>
        <w:tc>
          <w:tcPr>
            <w:tcW w:w="1620" w:type="dxa"/>
          </w:tcPr>
          <w:p w:rsidR="008836B8" w:rsidRDefault="00766D6D">
            <w:pPr>
              <w:pBdr>
                <w:top w:val="nil"/>
                <w:left w:val="nil"/>
                <w:bottom w:val="nil"/>
                <w:right w:val="nil"/>
                <w:between w:val="nil"/>
              </w:pBdr>
              <w:spacing w:after="120"/>
              <w:ind w:left="340" w:right="284" w:hanging="170"/>
              <w:rPr>
                <w:color w:val="000000"/>
              </w:rPr>
            </w:pPr>
            <w:r>
              <w:rPr>
                <w:color w:val="000000"/>
              </w:rPr>
              <w:t>Staff lead</w:t>
            </w:r>
          </w:p>
        </w:tc>
        <w:tc>
          <w:tcPr>
            <w:tcW w:w="1530" w:type="dxa"/>
          </w:tcPr>
          <w:p w:rsidR="008836B8" w:rsidRDefault="00766D6D">
            <w:pPr>
              <w:pBdr>
                <w:top w:val="nil"/>
                <w:left w:val="nil"/>
                <w:bottom w:val="nil"/>
                <w:right w:val="nil"/>
                <w:between w:val="nil"/>
              </w:pBdr>
              <w:spacing w:after="120"/>
              <w:ind w:left="340" w:right="-18" w:hanging="170"/>
              <w:rPr>
                <w:color w:val="000000"/>
              </w:rPr>
            </w:pPr>
            <w:r>
              <w:rPr>
                <w:color w:val="000000"/>
              </w:rPr>
              <w:t>When will you review this?</w:t>
            </w:r>
          </w:p>
        </w:tc>
      </w:tr>
      <w:tr w:rsidR="008836B8">
        <w:trPr>
          <w:trHeight w:val="2639"/>
        </w:trPr>
        <w:tc>
          <w:tcPr>
            <w:tcW w:w="2419" w:type="dxa"/>
            <w:tcMar>
              <w:top w:w="113" w:type="dxa"/>
              <w:bottom w:w="113" w:type="dxa"/>
            </w:tcMar>
          </w:tcPr>
          <w:p w:rsidR="008836B8" w:rsidRDefault="00766D6D">
            <w:pPr>
              <w:pBdr>
                <w:top w:val="nil"/>
                <w:left w:val="nil"/>
                <w:bottom w:val="nil"/>
                <w:right w:val="nil"/>
                <w:between w:val="nil"/>
              </w:pBdr>
              <w:spacing w:after="60"/>
              <w:rPr>
                <w:color w:val="000000"/>
              </w:rPr>
            </w:pPr>
            <w:r>
              <w:rPr>
                <w:color w:val="000000"/>
              </w:rPr>
              <w:t>To provide regular and supportive communications with parents to increase engagement with learning</w:t>
            </w:r>
          </w:p>
        </w:tc>
        <w:tc>
          <w:tcPr>
            <w:tcW w:w="2175" w:type="dxa"/>
            <w:tcMar>
              <w:top w:w="113" w:type="dxa"/>
              <w:bottom w:w="113" w:type="dxa"/>
            </w:tcMar>
          </w:tcPr>
          <w:p w:rsidR="008836B8" w:rsidRDefault="00766D6D">
            <w:pPr>
              <w:numPr>
                <w:ilvl w:val="0"/>
                <w:numId w:val="9"/>
              </w:numPr>
              <w:pBdr>
                <w:top w:val="nil"/>
                <w:left w:val="nil"/>
                <w:bottom w:val="nil"/>
                <w:right w:val="nil"/>
                <w:between w:val="nil"/>
              </w:pBdr>
              <w:spacing w:after="60"/>
              <w:ind w:left="283"/>
              <w:rPr>
                <w:color w:val="000000"/>
              </w:rPr>
            </w:pPr>
            <w:r>
              <w:rPr>
                <w:color w:val="000000"/>
              </w:rPr>
              <w:t>Children attend interventions offered outside of the normal school working day.</w:t>
            </w:r>
          </w:p>
          <w:p w:rsidR="008836B8" w:rsidRDefault="00766D6D">
            <w:pPr>
              <w:numPr>
                <w:ilvl w:val="0"/>
                <w:numId w:val="9"/>
              </w:numPr>
              <w:pBdr>
                <w:top w:val="nil"/>
                <w:left w:val="nil"/>
                <w:bottom w:val="nil"/>
                <w:right w:val="nil"/>
                <w:between w:val="nil"/>
              </w:pBdr>
              <w:spacing w:after="60"/>
              <w:ind w:left="283"/>
              <w:rPr>
                <w:color w:val="000000"/>
              </w:rPr>
            </w:pPr>
            <w:r>
              <w:rPr>
                <w:color w:val="000000"/>
              </w:rPr>
              <w:t>Increased engagement with remote learning.</w:t>
            </w:r>
          </w:p>
          <w:p w:rsidR="008836B8" w:rsidRDefault="00766D6D">
            <w:pPr>
              <w:numPr>
                <w:ilvl w:val="0"/>
                <w:numId w:val="9"/>
              </w:numPr>
              <w:pBdr>
                <w:top w:val="nil"/>
                <w:left w:val="nil"/>
                <w:bottom w:val="nil"/>
                <w:right w:val="nil"/>
                <w:between w:val="nil"/>
              </w:pBdr>
              <w:spacing w:after="60"/>
              <w:ind w:left="283"/>
              <w:rPr>
                <w:color w:val="000000"/>
              </w:rPr>
            </w:pPr>
            <w:r>
              <w:rPr>
                <w:color w:val="000000"/>
              </w:rPr>
              <w:t>Parents understand school’s approach to remote learning</w:t>
            </w:r>
          </w:p>
        </w:tc>
        <w:tc>
          <w:tcPr>
            <w:tcW w:w="3510" w:type="dxa"/>
          </w:tcPr>
          <w:p w:rsidR="008836B8" w:rsidRDefault="00766D6D">
            <w:pPr>
              <w:numPr>
                <w:ilvl w:val="0"/>
                <w:numId w:val="9"/>
              </w:numPr>
              <w:pBdr>
                <w:top w:val="nil"/>
                <w:left w:val="nil"/>
                <w:bottom w:val="nil"/>
                <w:right w:val="nil"/>
                <w:between w:val="nil"/>
              </w:pBdr>
              <w:spacing w:after="60"/>
              <w:ind w:left="283"/>
              <w:rPr>
                <w:color w:val="000000"/>
              </w:rPr>
            </w:pPr>
            <w:r>
              <w:rPr>
                <w:color w:val="000000"/>
              </w:rPr>
              <w:t>Parents play a key role in supporting children to learn at home and it is essential that schools and families work together.</w:t>
            </w:r>
          </w:p>
        </w:tc>
        <w:tc>
          <w:tcPr>
            <w:tcW w:w="3510" w:type="dxa"/>
          </w:tcPr>
          <w:p w:rsidR="008836B8" w:rsidRDefault="00766D6D">
            <w:pPr>
              <w:numPr>
                <w:ilvl w:val="0"/>
                <w:numId w:val="9"/>
              </w:numPr>
              <w:pBdr>
                <w:top w:val="nil"/>
                <w:left w:val="nil"/>
                <w:bottom w:val="nil"/>
                <w:right w:val="nil"/>
                <w:between w:val="nil"/>
              </w:pBdr>
              <w:spacing w:after="60"/>
              <w:ind w:left="283"/>
              <w:rPr>
                <w:color w:val="000000"/>
              </w:rPr>
            </w:pPr>
            <w:r>
              <w:rPr>
                <w:color w:val="000000"/>
              </w:rPr>
              <w:t>Parents kept up to date via newsletter</w:t>
            </w:r>
          </w:p>
          <w:p w:rsidR="008836B8" w:rsidRDefault="00766D6D">
            <w:pPr>
              <w:numPr>
                <w:ilvl w:val="0"/>
                <w:numId w:val="9"/>
              </w:numPr>
              <w:pBdr>
                <w:top w:val="nil"/>
                <w:left w:val="nil"/>
                <w:bottom w:val="nil"/>
                <w:right w:val="nil"/>
                <w:between w:val="nil"/>
              </w:pBdr>
              <w:spacing w:after="60"/>
              <w:ind w:left="283"/>
              <w:rPr>
                <w:color w:val="000000"/>
              </w:rPr>
            </w:pPr>
            <w:r>
              <w:rPr>
                <w:color w:val="000000"/>
              </w:rPr>
              <w:t>School approach to remote learning and remote learning policy shared with parents on the school website.</w:t>
            </w:r>
          </w:p>
          <w:p w:rsidR="008836B8" w:rsidRDefault="00766D6D">
            <w:pPr>
              <w:numPr>
                <w:ilvl w:val="0"/>
                <w:numId w:val="9"/>
              </w:numPr>
              <w:pBdr>
                <w:top w:val="nil"/>
                <w:left w:val="nil"/>
                <w:bottom w:val="nil"/>
                <w:right w:val="nil"/>
                <w:between w:val="nil"/>
              </w:pBdr>
              <w:spacing w:after="60"/>
              <w:ind w:left="283"/>
              <w:rPr>
                <w:color w:val="000000"/>
              </w:rPr>
            </w:pPr>
            <w:r>
              <w:rPr>
                <w:color w:val="000000"/>
              </w:rPr>
              <w:t>Parents given instructions on how to access Google Classroom / Tapestry for remote learning.</w:t>
            </w:r>
          </w:p>
          <w:p w:rsidR="008836B8" w:rsidRDefault="008836B8">
            <w:pPr>
              <w:pBdr>
                <w:top w:val="nil"/>
                <w:left w:val="nil"/>
                <w:bottom w:val="nil"/>
                <w:right w:val="nil"/>
                <w:between w:val="nil"/>
              </w:pBdr>
              <w:spacing w:after="60"/>
              <w:ind w:left="720"/>
            </w:pPr>
          </w:p>
        </w:tc>
        <w:tc>
          <w:tcPr>
            <w:tcW w:w="1620" w:type="dxa"/>
          </w:tcPr>
          <w:p w:rsidR="008836B8" w:rsidRDefault="00766D6D">
            <w:pPr>
              <w:pBdr>
                <w:top w:val="nil"/>
                <w:left w:val="nil"/>
                <w:bottom w:val="nil"/>
                <w:right w:val="nil"/>
                <w:between w:val="nil"/>
              </w:pBdr>
              <w:spacing w:after="60"/>
              <w:rPr>
                <w:color w:val="000000"/>
              </w:rPr>
            </w:pPr>
            <w:r>
              <w:rPr>
                <w:color w:val="000000"/>
              </w:rPr>
              <w:t>CH / JF / EM</w:t>
            </w:r>
          </w:p>
        </w:tc>
        <w:tc>
          <w:tcPr>
            <w:tcW w:w="1530" w:type="dxa"/>
          </w:tcPr>
          <w:p w:rsidR="008836B8" w:rsidRDefault="00766D6D">
            <w:pPr>
              <w:pBdr>
                <w:top w:val="nil"/>
                <w:left w:val="nil"/>
                <w:bottom w:val="nil"/>
                <w:right w:val="nil"/>
                <w:between w:val="nil"/>
              </w:pBdr>
              <w:spacing w:after="60"/>
              <w:rPr>
                <w:color w:val="000000"/>
              </w:rPr>
            </w:pPr>
            <w:r>
              <w:rPr>
                <w:color w:val="000000"/>
              </w:rPr>
              <w:t>December and March</w:t>
            </w:r>
          </w:p>
          <w:p w:rsidR="008836B8" w:rsidRDefault="008836B8">
            <w:pPr>
              <w:pBdr>
                <w:top w:val="nil"/>
                <w:left w:val="nil"/>
                <w:bottom w:val="nil"/>
                <w:right w:val="nil"/>
                <w:between w:val="nil"/>
              </w:pBdr>
              <w:spacing w:after="60"/>
              <w:rPr>
                <w:color w:val="00FF00"/>
              </w:rPr>
            </w:pPr>
            <w:bookmarkStart w:id="0" w:name="_GoBack"/>
            <w:bookmarkEnd w:id="0"/>
          </w:p>
        </w:tc>
      </w:tr>
      <w:tr w:rsidR="008836B8">
        <w:tc>
          <w:tcPr>
            <w:tcW w:w="13234" w:type="dxa"/>
            <w:gridSpan w:val="5"/>
            <w:tcMar>
              <w:top w:w="113" w:type="dxa"/>
              <w:bottom w:w="113" w:type="dxa"/>
            </w:tcMar>
          </w:tcPr>
          <w:p w:rsidR="008836B8" w:rsidRDefault="00766D6D">
            <w:pPr>
              <w:pBdr>
                <w:top w:val="nil"/>
                <w:left w:val="nil"/>
                <w:bottom w:val="nil"/>
                <w:right w:val="nil"/>
                <w:between w:val="nil"/>
              </w:pBdr>
              <w:spacing w:after="60"/>
              <w:jc w:val="right"/>
              <w:rPr>
                <w:color w:val="000000"/>
              </w:rPr>
            </w:pPr>
            <w:r>
              <w:rPr>
                <w:color w:val="000000"/>
              </w:rPr>
              <w:lastRenderedPageBreak/>
              <w:t>Total budgeted cost:</w:t>
            </w:r>
          </w:p>
        </w:tc>
        <w:tc>
          <w:tcPr>
            <w:tcW w:w="1530" w:type="dxa"/>
          </w:tcPr>
          <w:p w:rsidR="008836B8" w:rsidRDefault="00766D6D">
            <w:pPr>
              <w:pBdr>
                <w:top w:val="nil"/>
                <w:left w:val="nil"/>
                <w:bottom w:val="nil"/>
                <w:right w:val="nil"/>
                <w:between w:val="nil"/>
              </w:pBdr>
              <w:spacing w:after="60"/>
              <w:rPr>
                <w:color w:val="000000"/>
              </w:rPr>
            </w:pPr>
            <w:r>
              <w:t>0</w:t>
            </w:r>
          </w:p>
        </w:tc>
      </w:tr>
    </w:tbl>
    <w:p w:rsidR="008836B8" w:rsidRDefault="008836B8">
      <w:pPr>
        <w:pBdr>
          <w:top w:val="nil"/>
          <w:left w:val="nil"/>
          <w:bottom w:val="nil"/>
          <w:right w:val="nil"/>
          <w:between w:val="nil"/>
        </w:pBdr>
        <w:spacing w:after="120"/>
        <w:rPr>
          <w:color w:val="000000"/>
        </w:rPr>
      </w:pPr>
    </w:p>
    <w:tbl>
      <w:tblPr>
        <w:tblStyle w:val="a4"/>
        <w:tblW w:w="14879"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14879"/>
      </w:tblGrid>
      <w:tr w:rsidR="008836B8">
        <w:tc>
          <w:tcPr>
            <w:tcW w:w="14879" w:type="dxa"/>
            <w:tcBorders>
              <w:top w:val="single" w:sz="4" w:space="0" w:color="12263F"/>
              <w:left w:val="single" w:sz="4" w:space="0" w:color="12263F"/>
              <w:bottom w:val="single" w:sz="4" w:space="0" w:color="12263F"/>
              <w:right w:val="single" w:sz="4" w:space="0" w:color="12263F"/>
            </w:tcBorders>
            <w:shd w:val="clear" w:color="auto" w:fill="12263F"/>
            <w:tcMar>
              <w:top w:w="113" w:type="dxa"/>
              <w:bottom w:w="113" w:type="dxa"/>
            </w:tcMar>
          </w:tcPr>
          <w:p w:rsidR="008836B8" w:rsidRDefault="00766D6D">
            <w:pPr>
              <w:pBdr>
                <w:top w:val="nil"/>
                <w:left w:val="nil"/>
                <w:bottom w:val="nil"/>
                <w:right w:val="nil"/>
                <w:between w:val="nil"/>
              </w:pBdr>
              <w:rPr>
                <w:color w:val="F8F8F8"/>
              </w:rPr>
            </w:pPr>
            <w:r>
              <w:rPr>
                <w:smallCaps/>
                <w:color w:val="F8F8F8"/>
              </w:rPr>
              <w:t>ADDITIONAL INFORMATION</w:t>
            </w:r>
          </w:p>
        </w:tc>
      </w:tr>
      <w:tr w:rsidR="008836B8">
        <w:trPr>
          <w:trHeight w:val="1429"/>
        </w:trPr>
        <w:tc>
          <w:tcPr>
            <w:tcW w:w="14879" w:type="dxa"/>
            <w:tcMar>
              <w:top w:w="113" w:type="dxa"/>
              <w:bottom w:w="113" w:type="dxa"/>
            </w:tcMar>
          </w:tcPr>
          <w:p w:rsidR="008836B8" w:rsidRDefault="00766D6D">
            <w:pPr>
              <w:pBdr>
                <w:top w:val="nil"/>
                <w:left w:val="nil"/>
                <w:bottom w:val="nil"/>
                <w:right w:val="nil"/>
                <w:between w:val="nil"/>
              </w:pBdr>
              <w:spacing w:after="120"/>
              <w:ind w:right="284"/>
              <w:rPr>
                <w:color w:val="000000"/>
              </w:rPr>
            </w:pPr>
            <w:r>
              <w:rPr>
                <w:color w:val="000000"/>
              </w:rPr>
              <w:t>Information used to support the above sections:</w:t>
            </w:r>
          </w:p>
          <w:p w:rsidR="008836B8" w:rsidRDefault="00766D6D">
            <w:pPr>
              <w:numPr>
                <w:ilvl w:val="0"/>
                <w:numId w:val="5"/>
              </w:numPr>
              <w:pBdr>
                <w:top w:val="nil"/>
                <w:left w:val="nil"/>
                <w:bottom w:val="nil"/>
                <w:right w:val="nil"/>
                <w:between w:val="nil"/>
              </w:pBdr>
              <w:spacing w:after="120"/>
              <w:ind w:right="284"/>
              <w:rPr>
                <w:color w:val="000000"/>
              </w:rPr>
            </w:pPr>
            <w:r>
              <w:rPr>
                <w:color w:val="000000"/>
              </w:rPr>
              <w:t>Internal assessment and reporting software</w:t>
            </w:r>
          </w:p>
          <w:p w:rsidR="008836B8" w:rsidRDefault="00766D6D">
            <w:pPr>
              <w:numPr>
                <w:ilvl w:val="0"/>
                <w:numId w:val="5"/>
              </w:numPr>
              <w:pBdr>
                <w:top w:val="nil"/>
                <w:left w:val="nil"/>
                <w:bottom w:val="nil"/>
                <w:right w:val="nil"/>
                <w:between w:val="nil"/>
              </w:pBdr>
              <w:spacing w:after="120"/>
              <w:ind w:right="284"/>
              <w:rPr>
                <w:color w:val="000000"/>
              </w:rPr>
            </w:pPr>
            <w:r>
              <w:rPr>
                <w:color w:val="000000"/>
              </w:rPr>
              <w:t xml:space="preserve">Evidence from the EEF families of </w:t>
            </w:r>
            <w:proofErr w:type="gramStart"/>
            <w:r>
              <w:rPr>
                <w:color w:val="000000"/>
              </w:rPr>
              <w:t>schools</w:t>
            </w:r>
            <w:proofErr w:type="gramEnd"/>
            <w:r>
              <w:rPr>
                <w:color w:val="000000"/>
              </w:rPr>
              <w:t xml:space="preserve"> database</w:t>
            </w:r>
          </w:p>
          <w:p w:rsidR="008836B8" w:rsidRDefault="00766D6D">
            <w:pPr>
              <w:numPr>
                <w:ilvl w:val="0"/>
                <w:numId w:val="5"/>
              </w:numPr>
              <w:pBdr>
                <w:top w:val="nil"/>
                <w:left w:val="nil"/>
                <w:bottom w:val="nil"/>
                <w:right w:val="nil"/>
                <w:between w:val="nil"/>
              </w:pBdr>
              <w:spacing w:after="120"/>
              <w:ind w:right="284"/>
              <w:rPr>
                <w:color w:val="000000"/>
              </w:rPr>
            </w:pPr>
            <w:r>
              <w:rPr>
                <w:color w:val="000000"/>
              </w:rPr>
              <w:t>Parental surveys re remote learning</w:t>
            </w:r>
          </w:p>
        </w:tc>
      </w:tr>
    </w:tbl>
    <w:p w:rsidR="008836B8" w:rsidRDefault="008836B8">
      <w:pPr>
        <w:pBdr>
          <w:top w:val="nil"/>
          <w:left w:val="nil"/>
          <w:bottom w:val="nil"/>
          <w:right w:val="nil"/>
          <w:between w:val="nil"/>
        </w:pBdr>
        <w:spacing w:after="120"/>
        <w:rPr>
          <w:color w:val="000000"/>
        </w:rPr>
      </w:pPr>
      <w:bookmarkStart w:id="1" w:name="_30j0zll" w:colFirst="0" w:colLast="0"/>
      <w:bookmarkEnd w:id="1"/>
    </w:p>
    <w:sectPr w:rsidR="008836B8">
      <w:headerReference w:type="even" r:id="rId8"/>
      <w:headerReference w:type="default" r:id="rId9"/>
      <w:footerReference w:type="default" r:id="rId10"/>
      <w:headerReference w:type="first" r:id="rId11"/>
      <w:footerReference w:type="first" r:id="rId12"/>
      <w:pgSz w:w="16840" w:h="11900" w:orient="landscape"/>
      <w:pgMar w:top="992" w:right="992" w:bottom="857" w:left="708" w:header="737"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7A0" w:rsidRDefault="00766D6D">
      <w:r>
        <w:separator/>
      </w:r>
    </w:p>
  </w:endnote>
  <w:endnote w:type="continuationSeparator" w:id="0">
    <w:p w:rsidR="000517A0" w:rsidRDefault="0076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6B8" w:rsidRDefault="008836B8">
    <w:pPr>
      <w:widowControl w:val="0"/>
      <w:pBdr>
        <w:top w:val="nil"/>
        <w:left w:val="nil"/>
        <w:bottom w:val="nil"/>
        <w:right w:val="nil"/>
        <w:between w:val="nil"/>
      </w:pBdr>
      <w:spacing w:line="276" w:lineRule="auto"/>
      <w:rPr>
        <w:color w:val="808080"/>
        <w:sz w:val="16"/>
        <w:szCs w:val="16"/>
      </w:rPr>
    </w:pPr>
  </w:p>
  <w:tbl>
    <w:tblPr>
      <w:tblStyle w:val="a5"/>
      <w:tblW w:w="14760" w:type="dxa"/>
      <w:tblBorders>
        <w:top w:val="single" w:sz="8" w:space="0" w:color="FF1F64"/>
        <w:left w:val="nil"/>
        <w:bottom w:val="nil"/>
        <w:right w:val="nil"/>
        <w:insideH w:val="nil"/>
        <w:insideV w:val="nil"/>
      </w:tblBorders>
      <w:tblLayout w:type="fixed"/>
      <w:tblLook w:val="0000" w:firstRow="0" w:lastRow="0" w:firstColumn="0" w:lastColumn="0" w:noHBand="0" w:noVBand="0"/>
    </w:tblPr>
    <w:tblGrid>
      <w:gridCol w:w="6379"/>
      <w:gridCol w:w="8381"/>
    </w:tblGrid>
    <w:tr w:rsidR="008836B8">
      <w:tc>
        <w:tcPr>
          <w:tcW w:w="6379" w:type="dxa"/>
        </w:tcPr>
        <w:p w:rsidR="008836B8" w:rsidRDefault="008836B8">
          <w:pPr>
            <w:shd w:val="clear" w:color="auto" w:fill="FFFFFF"/>
            <w:rPr>
              <w:color w:val="808080"/>
              <w:sz w:val="16"/>
              <w:szCs w:val="16"/>
            </w:rPr>
          </w:pPr>
        </w:p>
      </w:tc>
      <w:tc>
        <w:tcPr>
          <w:tcW w:w="8381" w:type="dxa"/>
        </w:tcPr>
        <w:p w:rsidR="008836B8" w:rsidRDefault="008836B8">
          <w:pPr>
            <w:shd w:val="clear" w:color="auto" w:fill="FFFFFF"/>
            <w:jc w:val="right"/>
            <w:rPr>
              <w:color w:val="BFBFBF"/>
              <w:sz w:val="17"/>
              <w:szCs w:val="17"/>
            </w:rPr>
          </w:pPr>
        </w:p>
      </w:tc>
    </w:tr>
  </w:tbl>
  <w:p w:rsidR="008836B8" w:rsidRDefault="00766D6D">
    <w:pPr>
      <w:pBdr>
        <w:top w:val="nil"/>
        <w:left w:val="nil"/>
        <w:bottom w:val="nil"/>
        <w:right w:val="nil"/>
        <w:between w:val="nil"/>
      </w:pBdr>
      <w:shd w:val="clear" w:color="auto" w:fill="FFFFFF"/>
      <w:rPr>
        <w:color w:val="808080"/>
        <w:sz w:val="16"/>
        <w:szCs w:val="16"/>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sidR="0034496C">
      <w:rPr>
        <w:noProof/>
        <w:color w:val="000000"/>
        <w:sz w:val="16"/>
        <w:szCs w:val="16"/>
      </w:rPr>
      <w:t>6</w:t>
    </w:r>
    <w:r>
      <w:rPr>
        <w:color w:val="000000"/>
        <w:sz w:val="16"/>
        <w:szCs w:val="16"/>
      </w:rPr>
      <w:fldChar w:fldCharType="end"/>
    </w:r>
  </w:p>
  <w:p w:rsidR="008836B8" w:rsidRDefault="008836B8">
    <w:pPr>
      <w:pBdr>
        <w:top w:val="nil"/>
        <w:left w:val="nil"/>
        <w:bottom w:val="nil"/>
        <w:right w:val="nil"/>
        <w:between w:val="nil"/>
      </w:pBdr>
      <w:shd w:val="clear" w:color="auto" w:fill="FFFFFF"/>
      <w:rPr>
        <w:color w:val="000000"/>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6B8" w:rsidRDefault="008836B8">
    <w:pPr>
      <w:pBdr>
        <w:top w:val="nil"/>
        <w:left w:val="nil"/>
        <w:bottom w:val="nil"/>
        <w:right w:val="nil"/>
        <w:between w:val="nil"/>
      </w:pBdr>
      <w:shd w:val="clear" w:color="auto" w:fill="FFFFFF"/>
      <w:rPr>
        <w:color w:val="808080"/>
        <w:sz w:val="16"/>
        <w:szCs w:val="16"/>
      </w:rPr>
    </w:pPr>
  </w:p>
  <w:p w:rsidR="008836B8" w:rsidRDefault="008836B8">
    <w:pPr>
      <w:pBdr>
        <w:top w:val="nil"/>
        <w:left w:val="nil"/>
        <w:bottom w:val="nil"/>
        <w:right w:val="nil"/>
        <w:between w:val="nil"/>
      </w:pBdr>
      <w:shd w:val="clear" w:color="auto" w:fill="FFFFFF"/>
      <w:rPr>
        <w:color w:val="808080"/>
        <w:sz w:val="16"/>
        <w:szCs w:val="16"/>
      </w:rPr>
    </w:pPr>
  </w:p>
  <w:p w:rsidR="008836B8" w:rsidRDefault="00766D6D">
    <w:pPr>
      <w:pBdr>
        <w:top w:val="nil"/>
        <w:left w:val="nil"/>
        <w:bottom w:val="nil"/>
        <w:right w:val="nil"/>
        <w:between w:val="nil"/>
      </w:pBdr>
      <w:shd w:val="clear" w:color="auto" w:fill="FFFFFF"/>
      <w:rPr>
        <w:color w:val="808080"/>
        <w:sz w:val="16"/>
        <w:szCs w:val="16"/>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sidR="0034496C">
      <w:rPr>
        <w:noProof/>
        <w:color w:val="000000"/>
        <w:sz w:val="16"/>
        <w:szCs w:val="16"/>
      </w:rPr>
      <w:t>1</w:t>
    </w:r>
    <w:r>
      <w:rPr>
        <w:color w:val="000000"/>
        <w:sz w:val="16"/>
        <w:szCs w:val="16"/>
      </w:rPr>
      <w:fldChar w:fldCharType="end"/>
    </w:r>
  </w:p>
  <w:p w:rsidR="008836B8" w:rsidRDefault="008836B8">
    <w:pPr>
      <w:pBdr>
        <w:top w:val="nil"/>
        <w:left w:val="nil"/>
        <w:bottom w:val="nil"/>
        <w:right w:val="nil"/>
        <w:between w:val="nil"/>
      </w:pBdr>
      <w:shd w:val="clear" w:color="auto" w:fill="FFFFFF"/>
      <w:rPr>
        <w:color w:val="80808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7A0" w:rsidRDefault="00766D6D">
      <w:r>
        <w:separator/>
      </w:r>
    </w:p>
  </w:footnote>
  <w:footnote w:type="continuationSeparator" w:id="0">
    <w:p w:rsidR="000517A0" w:rsidRDefault="00766D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6B8" w:rsidRDefault="008836B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6B8" w:rsidRDefault="008836B8"/>
  <w:p w:rsidR="008836B8" w:rsidRDefault="008836B8"/>
  <w:p w:rsidR="008836B8" w:rsidRDefault="008836B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6B8" w:rsidRDefault="008836B8"/>
  <w:p w:rsidR="008836B8" w:rsidRDefault="008836B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262B9"/>
    <w:multiLevelType w:val="multilevel"/>
    <w:tmpl w:val="3A426D56"/>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F6C1CAC"/>
    <w:multiLevelType w:val="multilevel"/>
    <w:tmpl w:val="590A6C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6827E55"/>
    <w:multiLevelType w:val="multilevel"/>
    <w:tmpl w:val="AE929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CF0667"/>
    <w:multiLevelType w:val="multilevel"/>
    <w:tmpl w:val="BB4862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B725210"/>
    <w:multiLevelType w:val="multilevel"/>
    <w:tmpl w:val="0B3A05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C9D019E"/>
    <w:multiLevelType w:val="multilevel"/>
    <w:tmpl w:val="794E4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E20E4E"/>
    <w:multiLevelType w:val="multilevel"/>
    <w:tmpl w:val="0366C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AF757E"/>
    <w:multiLevelType w:val="multilevel"/>
    <w:tmpl w:val="6F0222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E586DF3"/>
    <w:multiLevelType w:val="multilevel"/>
    <w:tmpl w:val="8EE09F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97C6BC8"/>
    <w:multiLevelType w:val="multilevel"/>
    <w:tmpl w:val="6076E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0E5E0B"/>
    <w:multiLevelType w:val="multilevel"/>
    <w:tmpl w:val="37AAEC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3"/>
  </w:num>
  <w:num w:numId="3">
    <w:abstractNumId w:val="10"/>
  </w:num>
  <w:num w:numId="4">
    <w:abstractNumId w:val="9"/>
  </w:num>
  <w:num w:numId="5">
    <w:abstractNumId w:val="0"/>
  </w:num>
  <w:num w:numId="6">
    <w:abstractNumId w:val="8"/>
  </w:num>
  <w:num w:numId="7">
    <w:abstractNumId w:val="4"/>
  </w:num>
  <w:num w:numId="8">
    <w:abstractNumId w:val="5"/>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6B8"/>
    <w:rsid w:val="000517A0"/>
    <w:rsid w:val="0034496C"/>
    <w:rsid w:val="00766D6D"/>
    <w:rsid w:val="00883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9DD1B"/>
  <w15:docId w15:val="{70DAD4B0-4D15-4F49-A6A9-5675B21A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after="60"/>
      <w:outlineLvl w:val="1"/>
    </w:pPr>
    <w:rPr>
      <w:rFonts w:ascii="Calibri" w:eastAsia="Calibri" w:hAnsi="Calibri" w:cs="Calibri"/>
      <w:b/>
      <w:i/>
      <w:sz w:val="28"/>
      <w:szCs w:val="28"/>
    </w:rPr>
  </w:style>
  <w:style w:type="paragraph" w:styleId="Heading3">
    <w:name w:val="heading 3"/>
    <w:basedOn w:val="Normal"/>
    <w:next w:val="Normal"/>
    <w:pPr>
      <w:keepNext/>
      <w:keepLines/>
      <w:spacing w:before="200"/>
      <w:outlineLvl w:val="2"/>
    </w:pPr>
    <w:rPr>
      <w:rFonts w:ascii="Calibri" w:eastAsia="Calibri" w:hAnsi="Calibri" w:cs="Calibri"/>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42" w:type="dxa"/>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Howe</dc:creator>
  <cp:lastModifiedBy>Colette Howe</cp:lastModifiedBy>
  <cp:revision>3</cp:revision>
  <dcterms:created xsi:type="dcterms:W3CDTF">2021-03-17T15:28:00Z</dcterms:created>
  <dcterms:modified xsi:type="dcterms:W3CDTF">2021-03-17T15:36:00Z</dcterms:modified>
</cp:coreProperties>
</file>