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F2EE" w14:textId="77777777" w:rsidR="00902145" w:rsidRDefault="00052C27">
      <w:pPr>
        <w:jc w:val="center"/>
        <w:rPr>
          <w:rFonts w:cs="Arial"/>
          <w:b/>
          <w:sz w:val="44"/>
          <w:szCs w:val="44"/>
        </w:rPr>
      </w:pPr>
      <w:r>
        <w:rPr>
          <w:b/>
          <w:noProof/>
          <w:sz w:val="52"/>
          <w:szCs w:val="52"/>
        </w:rPr>
        <w:drawing>
          <wp:anchor distT="0" distB="0" distL="114300" distR="114300" simplePos="0" relativeHeight="251663360" behindDoc="0" locked="0" layoutInCell="1" allowOverlap="1" wp14:anchorId="679FFB5A" wp14:editId="7F7AA407">
            <wp:simplePos x="0" y="0"/>
            <wp:positionH relativeFrom="column">
              <wp:posOffset>1316990</wp:posOffset>
            </wp:positionH>
            <wp:positionV relativeFrom="paragraph">
              <wp:posOffset>1063625</wp:posOffset>
            </wp:positionV>
            <wp:extent cx="3784600" cy="3835400"/>
            <wp:effectExtent l="0" t="0" r="0" b="0"/>
            <wp:wrapSquare wrapText="bothSides"/>
            <wp:docPr id="2" name="Picture 2" descr="Macintosh HD:Users:Admin:Dropbox:Teacher Folder:All Teachers:School Logo: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dmin:Dropbox:Teacher Folder:All Teachers:School Logo:logo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4600" cy="383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BF03D3C" wp14:editId="1A69CB11">
            <wp:simplePos x="0" y="0"/>
            <wp:positionH relativeFrom="column">
              <wp:posOffset>59902</wp:posOffset>
            </wp:positionH>
            <wp:positionV relativeFrom="paragraph">
              <wp:posOffset>155363</wp:posOffset>
            </wp:positionV>
            <wp:extent cx="6149975" cy="918845"/>
            <wp:effectExtent l="0" t="0" r="0" b="0"/>
            <wp:wrapSquare wrapText="bothSides"/>
            <wp:docPr id="1" name="Picture 1" descr="Macintosh HD:Users:Admin:Dropbox:Teacher Folder:All Teachers:School Logo:bann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dmin:Dropbox:Teacher Folder:All Teachers:School Logo:banner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9975" cy="91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A7BB5" w14:textId="77777777" w:rsidR="00902145" w:rsidRDefault="00902145">
      <w:pPr>
        <w:jc w:val="center"/>
        <w:rPr>
          <w:rFonts w:cs="Arial"/>
          <w:b/>
          <w:sz w:val="44"/>
          <w:szCs w:val="44"/>
        </w:rPr>
      </w:pPr>
    </w:p>
    <w:p w14:paraId="1388DA80" w14:textId="77777777" w:rsidR="00902145" w:rsidRDefault="00902145">
      <w:pPr>
        <w:jc w:val="center"/>
        <w:rPr>
          <w:color w:val="4472C4"/>
        </w:rPr>
      </w:pPr>
    </w:p>
    <w:p w14:paraId="04330AD7" w14:textId="77777777" w:rsidR="00052C27" w:rsidRDefault="00052C27">
      <w:pPr>
        <w:jc w:val="center"/>
        <w:rPr>
          <w:rFonts w:cs="Arial"/>
          <w:b/>
          <w:color w:val="4472C4"/>
          <w:sz w:val="56"/>
          <w:szCs w:val="56"/>
        </w:rPr>
      </w:pPr>
    </w:p>
    <w:p w14:paraId="35337F45" w14:textId="77777777" w:rsidR="00052C27" w:rsidRDefault="00052C27">
      <w:pPr>
        <w:jc w:val="center"/>
        <w:rPr>
          <w:rFonts w:cs="Arial"/>
          <w:b/>
          <w:color w:val="4472C4"/>
          <w:sz w:val="56"/>
          <w:szCs w:val="56"/>
        </w:rPr>
      </w:pPr>
    </w:p>
    <w:p w14:paraId="13A65781" w14:textId="77777777" w:rsidR="00052C27" w:rsidRDefault="00052C27">
      <w:pPr>
        <w:jc w:val="center"/>
        <w:rPr>
          <w:rFonts w:cs="Arial"/>
          <w:b/>
          <w:color w:val="4472C4"/>
          <w:sz w:val="56"/>
          <w:szCs w:val="56"/>
        </w:rPr>
      </w:pPr>
    </w:p>
    <w:p w14:paraId="6F77B6BE" w14:textId="77777777" w:rsidR="00052C27" w:rsidRDefault="00052C27">
      <w:pPr>
        <w:jc w:val="center"/>
        <w:rPr>
          <w:rFonts w:cs="Arial"/>
          <w:b/>
          <w:color w:val="4472C4"/>
          <w:sz w:val="56"/>
          <w:szCs w:val="56"/>
        </w:rPr>
      </w:pPr>
    </w:p>
    <w:p w14:paraId="5EAA90C8" w14:textId="77777777" w:rsidR="00052C27" w:rsidRDefault="00052C27">
      <w:pPr>
        <w:jc w:val="center"/>
        <w:rPr>
          <w:rFonts w:cs="Arial"/>
          <w:b/>
          <w:color w:val="4472C4"/>
          <w:sz w:val="56"/>
          <w:szCs w:val="56"/>
        </w:rPr>
      </w:pPr>
    </w:p>
    <w:p w14:paraId="508128F0" w14:textId="77777777" w:rsidR="00902145" w:rsidRPr="00052C27" w:rsidRDefault="00052C27" w:rsidP="00052C27">
      <w:pPr>
        <w:jc w:val="center"/>
        <w:rPr>
          <w:rFonts w:ascii="Century Gothic" w:hAnsi="Century Gothic" w:cs="Arial"/>
          <w:b/>
          <w:sz w:val="56"/>
          <w:szCs w:val="56"/>
        </w:rPr>
      </w:pPr>
      <w:r w:rsidRPr="00052C27">
        <w:rPr>
          <w:rFonts w:ascii="Century Gothic" w:hAnsi="Century Gothic" w:cs="Arial"/>
          <w:b/>
          <w:sz w:val="56"/>
          <w:szCs w:val="56"/>
        </w:rPr>
        <w:t>St Cuthbert’s RC Primary School</w:t>
      </w:r>
    </w:p>
    <w:p w14:paraId="060C68B1" w14:textId="224DAB29" w:rsidR="00902145" w:rsidRDefault="000C46FD" w:rsidP="00052C27">
      <w:pPr>
        <w:pStyle w:val="Heading1"/>
        <w:tabs>
          <w:tab w:val="left" w:pos="6946"/>
        </w:tabs>
        <w:jc w:val="center"/>
        <w:rPr>
          <w:rFonts w:ascii="Century Gothic" w:hAnsi="Century Gothic"/>
          <w:color w:val="auto"/>
          <w:sz w:val="56"/>
          <w:szCs w:val="56"/>
        </w:rPr>
      </w:pPr>
      <w:r>
        <w:rPr>
          <w:rFonts w:ascii="Century Gothic" w:hAnsi="Century Gothic"/>
          <w:color w:val="auto"/>
          <w:sz w:val="56"/>
          <w:szCs w:val="56"/>
        </w:rPr>
        <w:t>Prevent Policy</w:t>
      </w:r>
    </w:p>
    <w:p w14:paraId="15420F32" w14:textId="18AC0E00" w:rsidR="000C46FD" w:rsidRPr="000C46FD" w:rsidRDefault="000C46FD" w:rsidP="000C46FD">
      <w:pPr>
        <w:jc w:val="center"/>
        <w:rPr>
          <w:rFonts w:ascii="Century Gothic" w:hAnsi="Century Gothic"/>
          <w:sz w:val="42"/>
        </w:rPr>
      </w:pPr>
      <w:r w:rsidRPr="000C46FD">
        <w:rPr>
          <w:rFonts w:ascii="Century Gothic" w:hAnsi="Century Gothic"/>
          <w:sz w:val="42"/>
        </w:rPr>
        <w:t>(Anti Radicalisation)</w:t>
      </w:r>
    </w:p>
    <w:p w14:paraId="2518F830" w14:textId="77777777" w:rsidR="00902145" w:rsidRDefault="00902145">
      <w:pPr>
        <w:jc w:val="center"/>
        <w:rPr>
          <w:rFonts w:cs="Arial"/>
          <w:bCs/>
          <w:sz w:val="48"/>
          <w:szCs w:val="48"/>
        </w:rPr>
      </w:pPr>
    </w:p>
    <w:p w14:paraId="000AEB1F" w14:textId="77777777" w:rsidR="00902145" w:rsidRDefault="00902145" w:rsidP="00052C27">
      <w:pPr>
        <w:rPr>
          <w:rFonts w:cs="Arial"/>
          <w:b/>
          <w:bCs/>
          <w:sz w:val="28"/>
        </w:rPr>
      </w:pPr>
    </w:p>
    <w:tbl>
      <w:tblPr>
        <w:tblW w:w="6203" w:type="dxa"/>
        <w:tblInd w:w="3539" w:type="dxa"/>
        <w:tblCellMar>
          <w:left w:w="10" w:type="dxa"/>
          <w:right w:w="10" w:type="dxa"/>
        </w:tblCellMar>
        <w:tblLook w:val="0000" w:firstRow="0" w:lastRow="0" w:firstColumn="0" w:lastColumn="0" w:noHBand="0" w:noVBand="0"/>
      </w:tblPr>
      <w:tblGrid>
        <w:gridCol w:w="3260"/>
        <w:gridCol w:w="2943"/>
      </w:tblGrid>
      <w:tr w:rsidR="00902145" w14:paraId="14C3F960"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A289" w14:textId="77777777" w:rsidR="00902145" w:rsidRPr="00052C27" w:rsidRDefault="00902145">
            <w:pPr>
              <w:spacing w:after="0"/>
              <w:rPr>
                <w:rFonts w:ascii="Century Gothic" w:hAnsi="Century Gothic"/>
                <w:sz w:val="4"/>
                <w:szCs w:val="4"/>
              </w:rPr>
            </w:pPr>
          </w:p>
          <w:p w14:paraId="6D6A23EE" w14:textId="77777777" w:rsidR="00902145" w:rsidRPr="00052C27" w:rsidRDefault="00830271">
            <w:pPr>
              <w:spacing w:after="0"/>
              <w:rPr>
                <w:rFonts w:ascii="Century Gothic" w:hAnsi="Century Gothic"/>
              </w:rPr>
            </w:pPr>
            <w:r w:rsidRPr="00052C27">
              <w:rPr>
                <w:rFonts w:ascii="Century Gothic" w:hAnsi="Century Gothic"/>
              </w:rPr>
              <w:t>Date Procedure Adopted by Governing Body</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42E77" w14:textId="77777777" w:rsidR="00902145" w:rsidRDefault="004F1B4E">
            <w:pPr>
              <w:spacing w:after="0"/>
              <w:jc w:val="center"/>
              <w:rPr>
                <w:rFonts w:ascii="Century Gothic" w:hAnsi="Century Gothic"/>
              </w:rPr>
            </w:pPr>
            <w:r>
              <w:rPr>
                <w:rFonts w:ascii="Century Gothic" w:hAnsi="Century Gothic"/>
              </w:rPr>
              <w:t>January 2020</w:t>
            </w:r>
          </w:p>
          <w:p w14:paraId="1BF157DA" w14:textId="12BAC4B0" w:rsidR="00AE2132" w:rsidRPr="00052C27" w:rsidRDefault="00AE2132">
            <w:pPr>
              <w:spacing w:after="0"/>
              <w:jc w:val="center"/>
              <w:rPr>
                <w:rFonts w:ascii="Century Gothic" w:hAnsi="Century Gothic"/>
              </w:rPr>
            </w:pPr>
            <w:r>
              <w:rPr>
                <w:rFonts w:ascii="Century Gothic" w:hAnsi="Century Gothic"/>
              </w:rPr>
              <w:t>Reviewed January 2022</w:t>
            </w:r>
          </w:p>
        </w:tc>
      </w:tr>
      <w:tr w:rsidR="00902145" w14:paraId="7EC3FAA4"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28DAD" w14:textId="77777777" w:rsidR="00902145" w:rsidRPr="00052C27" w:rsidRDefault="00902145">
            <w:pPr>
              <w:spacing w:after="0"/>
              <w:rPr>
                <w:rFonts w:ascii="Century Gothic" w:hAnsi="Century Gothic"/>
                <w:sz w:val="4"/>
                <w:szCs w:val="4"/>
              </w:rPr>
            </w:pPr>
          </w:p>
          <w:p w14:paraId="3D41E95C" w14:textId="77777777" w:rsidR="00902145" w:rsidRPr="00052C27" w:rsidRDefault="00830271">
            <w:pPr>
              <w:spacing w:after="0"/>
              <w:rPr>
                <w:rFonts w:ascii="Century Gothic" w:hAnsi="Century Gothic"/>
                <w:szCs w:val="22"/>
              </w:rPr>
            </w:pPr>
            <w:r w:rsidRPr="00052C27">
              <w:rPr>
                <w:rFonts w:ascii="Century Gothic" w:hAnsi="Century Gothic"/>
                <w:szCs w:val="22"/>
              </w:rPr>
              <w:t>Procedure Review Period</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23B27" w14:textId="77777777" w:rsidR="00902145" w:rsidRPr="00052C27" w:rsidRDefault="00830271">
            <w:pPr>
              <w:spacing w:after="0"/>
              <w:jc w:val="center"/>
              <w:rPr>
                <w:rFonts w:ascii="Century Gothic" w:hAnsi="Century Gothic"/>
              </w:rPr>
            </w:pPr>
            <w:r w:rsidRPr="00052C27">
              <w:rPr>
                <w:rFonts w:ascii="Century Gothic" w:hAnsi="Century Gothic"/>
              </w:rPr>
              <w:t>Biennial</w:t>
            </w:r>
          </w:p>
        </w:tc>
      </w:tr>
      <w:tr w:rsidR="00902145" w14:paraId="73D9262F"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35D9D" w14:textId="77777777" w:rsidR="00902145" w:rsidRPr="00052C27" w:rsidRDefault="00902145">
            <w:pPr>
              <w:spacing w:after="0"/>
              <w:rPr>
                <w:rFonts w:ascii="Century Gothic" w:hAnsi="Century Gothic"/>
                <w:sz w:val="4"/>
                <w:szCs w:val="4"/>
              </w:rPr>
            </w:pPr>
          </w:p>
          <w:p w14:paraId="47DB2993" w14:textId="77777777" w:rsidR="00902145" w:rsidRPr="00052C27" w:rsidRDefault="00830271">
            <w:pPr>
              <w:spacing w:after="0"/>
              <w:rPr>
                <w:rFonts w:ascii="Century Gothic" w:hAnsi="Century Gothic"/>
                <w:szCs w:val="22"/>
              </w:rPr>
            </w:pPr>
            <w:r w:rsidRPr="00052C27">
              <w:rPr>
                <w:rFonts w:ascii="Century Gothic" w:hAnsi="Century Gothic"/>
                <w:szCs w:val="22"/>
              </w:rPr>
              <w:t>Procedure Review Date</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6C891" w14:textId="75036B02" w:rsidR="00902145" w:rsidRPr="00052C27" w:rsidRDefault="004F1B4E">
            <w:pPr>
              <w:spacing w:after="0"/>
              <w:jc w:val="center"/>
              <w:rPr>
                <w:rFonts w:ascii="Century Gothic" w:hAnsi="Century Gothic"/>
              </w:rPr>
            </w:pPr>
            <w:r>
              <w:rPr>
                <w:rFonts w:ascii="Century Gothic" w:hAnsi="Century Gothic"/>
              </w:rPr>
              <w:t>January</w:t>
            </w:r>
            <w:r w:rsidR="00052C27" w:rsidRPr="00052C27">
              <w:rPr>
                <w:rFonts w:ascii="Century Gothic" w:hAnsi="Century Gothic"/>
              </w:rPr>
              <w:t xml:space="preserve"> 20</w:t>
            </w:r>
            <w:r w:rsidR="00AE2132">
              <w:rPr>
                <w:rFonts w:ascii="Century Gothic" w:hAnsi="Century Gothic"/>
              </w:rPr>
              <w:t>24</w:t>
            </w:r>
          </w:p>
        </w:tc>
      </w:tr>
    </w:tbl>
    <w:p w14:paraId="4FC12F9C" w14:textId="77777777" w:rsidR="00593D5D" w:rsidRDefault="00593D5D" w:rsidP="000C46FD">
      <w:pPr>
        <w:suppressAutoHyphens w:val="0"/>
        <w:autoSpaceDN/>
        <w:spacing w:after="0" w:line="240" w:lineRule="auto"/>
        <w:textAlignment w:val="auto"/>
        <w:rPr>
          <w:rFonts w:ascii="Century Gothic" w:hAnsi="Century Gothic"/>
          <w:b/>
          <w:color w:val="104F75"/>
          <w:sz w:val="32"/>
          <w:szCs w:val="32"/>
        </w:rPr>
      </w:pPr>
    </w:p>
    <w:p w14:paraId="414C638A" w14:textId="77777777" w:rsidR="00593D5D" w:rsidRDefault="00593D5D" w:rsidP="000C46FD">
      <w:pPr>
        <w:suppressAutoHyphens w:val="0"/>
        <w:autoSpaceDN/>
        <w:spacing w:after="0" w:line="240" w:lineRule="auto"/>
        <w:textAlignment w:val="auto"/>
        <w:rPr>
          <w:rFonts w:ascii="Century Gothic" w:hAnsi="Century Gothic"/>
          <w:b/>
          <w:color w:val="104F75"/>
          <w:sz w:val="32"/>
          <w:szCs w:val="32"/>
        </w:rPr>
      </w:pPr>
    </w:p>
    <w:p w14:paraId="6B3F2CDD" w14:textId="77777777" w:rsidR="00593D5D" w:rsidRPr="00593D5D" w:rsidRDefault="000C46FD" w:rsidP="000C46FD">
      <w:pPr>
        <w:suppressAutoHyphens w:val="0"/>
        <w:autoSpaceDN/>
        <w:spacing w:after="0" w:line="240" w:lineRule="auto"/>
        <w:textAlignment w:val="auto"/>
        <w:rPr>
          <w:rFonts w:ascii="Century Gothic" w:hAnsi="Century Gothic"/>
          <w:b/>
        </w:rPr>
      </w:pPr>
      <w:r w:rsidRPr="000C46FD">
        <w:rPr>
          <w:rFonts w:ascii="Century Gothic" w:hAnsi="Century Gothic"/>
          <w:b/>
        </w:rPr>
        <w:t xml:space="preserve">Rationale </w:t>
      </w:r>
    </w:p>
    <w:p w14:paraId="77ED07E2"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St </w:t>
      </w:r>
      <w:r w:rsidR="00593D5D">
        <w:rPr>
          <w:rFonts w:ascii="Century Gothic" w:hAnsi="Century Gothic"/>
        </w:rPr>
        <w:t>Cuthbert’s</w:t>
      </w:r>
      <w:r w:rsidRPr="000C46FD">
        <w:rPr>
          <w:rFonts w:ascii="Century Gothic" w:hAnsi="Century Gothic"/>
        </w:rPr>
        <w:t xml:space="preserve"> RC Primary School is fully committed to safeguarding and promoting the welfare of all its pupils. As a school we recognise that safeguarding against radicalisation is as </w:t>
      </w:r>
    </w:p>
    <w:p w14:paraId="0B65089C" w14:textId="5B545C91"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important as safeguarding against any other vulnerability. </w:t>
      </w:r>
    </w:p>
    <w:p w14:paraId="52B7771B" w14:textId="77777777" w:rsidR="00593D5D" w:rsidRDefault="00593D5D" w:rsidP="000C46FD">
      <w:pPr>
        <w:suppressAutoHyphens w:val="0"/>
        <w:autoSpaceDN/>
        <w:spacing w:after="0" w:line="240" w:lineRule="auto"/>
        <w:textAlignment w:val="auto"/>
        <w:rPr>
          <w:rFonts w:ascii="Century Gothic" w:hAnsi="Century Gothic"/>
        </w:rPr>
      </w:pPr>
    </w:p>
    <w:p w14:paraId="4E6FFD11" w14:textId="73974104" w:rsidR="00593D5D" w:rsidRDefault="00DE606E" w:rsidP="000C46FD">
      <w:pPr>
        <w:suppressAutoHyphens w:val="0"/>
        <w:autoSpaceDN/>
        <w:spacing w:after="0" w:line="240" w:lineRule="auto"/>
        <w:textAlignment w:val="auto"/>
        <w:rPr>
          <w:rFonts w:ascii="Century Gothic" w:hAnsi="Century Gothic"/>
        </w:rPr>
      </w:pPr>
      <w:r>
        <w:rPr>
          <w:rFonts w:ascii="Century Gothic" w:hAnsi="Century Gothic"/>
        </w:rPr>
        <w:t xml:space="preserve">At </w:t>
      </w:r>
      <w:r w:rsidR="00593D5D">
        <w:rPr>
          <w:rFonts w:ascii="Century Gothic" w:hAnsi="Century Gothic"/>
        </w:rPr>
        <w:t>St Cuthbert’</w:t>
      </w:r>
      <w:r w:rsidR="000C46FD" w:rsidRPr="000C46FD">
        <w:rPr>
          <w:rFonts w:ascii="Century Gothic" w:hAnsi="Century Gothic"/>
        </w:rPr>
        <w:t xml:space="preserve">s RC Primary School all staff are expected to uphold and promote the </w:t>
      </w:r>
    </w:p>
    <w:p w14:paraId="216F3ED9" w14:textId="394C5F93"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fundamental principles of British values, including democracy, the rule of law, individual liberty and mutual respect, and tolerance of those with different faiths and beliefs. We also uphold the teachings of the Roman Catholic Church and promote gospel values. </w:t>
      </w:r>
    </w:p>
    <w:p w14:paraId="539D80A3" w14:textId="77777777" w:rsidR="00593D5D" w:rsidRDefault="00593D5D" w:rsidP="000C46FD">
      <w:pPr>
        <w:suppressAutoHyphens w:val="0"/>
        <w:autoSpaceDN/>
        <w:spacing w:after="0" w:line="240" w:lineRule="auto"/>
        <w:textAlignment w:val="auto"/>
        <w:rPr>
          <w:rFonts w:ascii="Century Gothic" w:hAnsi="Century Gothic"/>
        </w:rPr>
      </w:pPr>
    </w:p>
    <w:p w14:paraId="6927D7DE"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The Governing Body has a </w:t>
      </w:r>
      <w:proofErr w:type="gramStart"/>
      <w:r w:rsidRPr="000C46FD">
        <w:rPr>
          <w:rFonts w:ascii="Century Gothic" w:hAnsi="Century Gothic"/>
        </w:rPr>
        <w:t>zero tolerance</w:t>
      </w:r>
      <w:proofErr w:type="gramEnd"/>
      <w:r w:rsidRPr="000C46FD">
        <w:rPr>
          <w:rFonts w:ascii="Century Gothic" w:hAnsi="Century Gothic"/>
        </w:rPr>
        <w:t xml:space="preserve"> approach to extremist behaviour for all </w:t>
      </w:r>
    </w:p>
    <w:p w14:paraId="5C5CCA59" w14:textId="3891573C"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community members. We rely on our strong values to steer our work and ensure the pastoral care of our pupils protects them from exposure to negative influences. Furthermore, our positive promotion of our behaviour policy equips our pupils with the skills to reject violence in all its forms. </w:t>
      </w:r>
    </w:p>
    <w:p w14:paraId="172E600F" w14:textId="77777777" w:rsidR="00593D5D" w:rsidRDefault="00593D5D" w:rsidP="000C46FD">
      <w:pPr>
        <w:suppressAutoHyphens w:val="0"/>
        <w:autoSpaceDN/>
        <w:spacing w:after="0" w:line="240" w:lineRule="auto"/>
        <w:textAlignment w:val="auto"/>
        <w:rPr>
          <w:rFonts w:ascii="Century Gothic" w:hAnsi="Century Gothic"/>
        </w:rPr>
      </w:pPr>
    </w:p>
    <w:p w14:paraId="2A93863E"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b/>
        </w:rPr>
        <w:t>Links to other Policies</w:t>
      </w:r>
      <w:r w:rsidRPr="000C46FD">
        <w:rPr>
          <w:rFonts w:ascii="Century Gothic" w:hAnsi="Century Gothic"/>
        </w:rPr>
        <w:t xml:space="preserve"> </w:t>
      </w:r>
    </w:p>
    <w:p w14:paraId="09D632C7"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Links can be made to the following policies: </w:t>
      </w:r>
    </w:p>
    <w:p w14:paraId="716C8184"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Child Protection and Safeguarding Policies </w:t>
      </w:r>
    </w:p>
    <w:p w14:paraId="345F5985"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Equality Policies </w:t>
      </w:r>
    </w:p>
    <w:p w14:paraId="383CEDC4" w14:textId="48FA259F"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Anti-bullying Policy </w:t>
      </w:r>
    </w:p>
    <w:p w14:paraId="3F822A97"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The Whistle Blowing Policy </w:t>
      </w:r>
    </w:p>
    <w:p w14:paraId="067E744C"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E Safety Policy </w:t>
      </w:r>
    </w:p>
    <w:p w14:paraId="08A8BB57" w14:textId="77777777" w:rsidR="00593D5D" w:rsidRDefault="00593D5D" w:rsidP="000C46FD">
      <w:pPr>
        <w:suppressAutoHyphens w:val="0"/>
        <w:autoSpaceDN/>
        <w:spacing w:after="0" w:line="240" w:lineRule="auto"/>
        <w:textAlignment w:val="auto"/>
        <w:rPr>
          <w:rFonts w:ascii="Century Gothic" w:hAnsi="Century Gothic"/>
        </w:rPr>
      </w:pPr>
    </w:p>
    <w:p w14:paraId="4C279C7F"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b/>
        </w:rPr>
        <w:t>Aims and Principles</w:t>
      </w:r>
      <w:r w:rsidRPr="000C46FD">
        <w:rPr>
          <w:rFonts w:ascii="Century Gothic" w:hAnsi="Century Gothic"/>
        </w:rPr>
        <w:t xml:space="preserve"> </w:t>
      </w:r>
    </w:p>
    <w:p w14:paraId="1E7B211B"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The main aims of this policy statement are to ensure that: </w:t>
      </w:r>
    </w:p>
    <w:p w14:paraId="65654217"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staff are fully engaged in being vigilant about radicalisation; </w:t>
      </w:r>
    </w:p>
    <w:p w14:paraId="7993A609"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they overcome professional disbelief that such issues will not happen here </w:t>
      </w:r>
    </w:p>
    <w:p w14:paraId="14719E7E"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ensure that we work alongside other professional bodies and agencies to ensure that </w:t>
      </w:r>
      <w:proofErr w:type="gramStart"/>
      <w:r w:rsidRPr="000C46FD">
        <w:rPr>
          <w:rFonts w:ascii="Century Gothic" w:hAnsi="Century Gothic"/>
        </w:rPr>
        <w:t>our</w:t>
      </w:r>
      <w:proofErr w:type="gramEnd"/>
      <w:r w:rsidRPr="000C46FD">
        <w:rPr>
          <w:rFonts w:ascii="Century Gothic" w:hAnsi="Century Gothic"/>
        </w:rPr>
        <w:t xml:space="preserve"> </w:t>
      </w:r>
    </w:p>
    <w:p w14:paraId="62540FB3" w14:textId="65DA048A"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pupils are safe from harm. </w:t>
      </w:r>
    </w:p>
    <w:p w14:paraId="5445CA60" w14:textId="77777777" w:rsidR="00593D5D" w:rsidRDefault="00593D5D" w:rsidP="000C46FD">
      <w:pPr>
        <w:suppressAutoHyphens w:val="0"/>
        <w:autoSpaceDN/>
        <w:spacing w:after="0" w:line="240" w:lineRule="auto"/>
        <w:textAlignment w:val="auto"/>
        <w:rPr>
          <w:rFonts w:ascii="Century Gothic" w:hAnsi="Century Gothic"/>
        </w:rPr>
      </w:pPr>
    </w:p>
    <w:p w14:paraId="41FB618B"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t xml:space="preserve">The </w:t>
      </w:r>
      <w:proofErr w:type="gramStart"/>
      <w:r w:rsidRPr="000C46FD">
        <w:rPr>
          <w:rFonts w:ascii="Century Gothic" w:hAnsi="Century Gothic"/>
        </w:rPr>
        <w:t>principle</w:t>
      </w:r>
      <w:proofErr w:type="gramEnd"/>
      <w:r w:rsidRPr="000C46FD">
        <w:rPr>
          <w:rFonts w:ascii="Century Gothic" w:hAnsi="Century Gothic"/>
        </w:rPr>
        <w:t xml:space="preserve"> objectives are that: </w:t>
      </w:r>
    </w:p>
    <w:p w14:paraId="3B93237E" w14:textId="60D6C07E"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All governors, teachers, teaching assistants and non-teaching staff will have an understanding of what radicalisation and extremism are and why we</w:t>
      </w:r>
      <w:r w:rsidR="00593D5D">
        <w:rPr>
          <w:rFonts w:ascii="Century Gothic" w:hAnsi="Century Gothic"/>
        </w:rPr>
        <w:t xml:space="preserve"> need to be vigilant in school.</w:t>
      </w:r>
    </w:p>
    <w:p w14:paraId="4987961D" w14:textId="29A398E9" w:rsidR="000C46FD" w:rsidRPr="000C46F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All governors, teachers, teaching assistants and non-teaching staff will know what the school policy is on anti-radicalisation and extremism and will foll</w:t>
      </w:r>
      <w:r w:rsidR="00593D5D">
        <w:rPr>
          <w:rFonts w:ascii="Century Gothic" w:hAnsi="Century Gothic"/>
        </w:rPr>
        <w:t>ow the policy when issues arise.</w:t>
      </w:r>
      <w:r w:rsidRPr="000C46FD">
        <w:rPr>
          <w:rFonts w:ascii="Century Gothic" w:hAnsi="Century Gothic"/>
        </w:rPr>
        <w:t xml:space="preserve"> </w:t>
      </w:r>
    </w:p>
    <w:p w14:paraId="7836CEB1" w14:textId="52F65AA1"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All parents and pupils will know that the school has policies in place to keep pupils safe from harm and that the school regularly reviews its systems to ensure they</w:t>
      </w:r>
      <w:r w:rsidR="00593D5D">
        <w:rPr>
          <w:rFonts w:ascii="Century Gothic" w:hAnsi="Century Gothic"/>
        </w:rPr>
        <w:t xml:space="preserve"> are appropriate and effective.</w:t>
      </w:r>
    </w:p>
    <w:p w14:paraId="4FFFC3DB"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Pupils are encouraged to adopt and live out our Core Values. These complement the key “British Values” of tolerance, respect, understanding, compassion and harmonious living. </w:t>
      </w:r>
    </w:p>
    <w:p w14:paraId="042DF525"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Pupils are helped to understand the importance of democracy and freedom of speech, through assemblies and through the elected School Council members </w:t>
      </w:r>
    </w:p>
    <w:p w14:paraId="26E6CCF3"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Pupils are taught how to keep themselves safe, in school and when using the internet. </w:t>
      </w:r>
    </w:p>
    <w:p w14:paraId="6E65C1A4"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Pupils participate in local community events so that they appreciate and value their neighbours and friends who may not share their faith background. </w:t>
      </w:r>
    </w:p>
    <w:p w14:paraId="5341F13D"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Pupil’s wellbeing, confidence and resilience is promoted through our planned curriculum and out of hours learning opportunities. </w:t>
      </w:r>
    </w:p>
    <w:p w14:paraId="10D0836D" w14:textId="77777777" w:rsidR="00593D5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Pupils are supported in making good choices from a very young age, so they understand the impact and consequences of their actions on others. </w:t>
      </w:r>
    </w:p>
    <w:p w14:paraId="5141A7FB" w14:textId="2A4EB5BB" w:rsidR="000C46FD" w:rsidRDefault="000C46FD" w:rsidP="000C46FD">
      <w:pPr>
        <w:suppressAutoHyphens w:val="0"/>
        <w:autoSpaceDN/>
        <w:spacing w:after="0" w:line="240" w:lineRule="auto"/>
        <w:textAlignment w:val="auto"/>
        <w:rPr>
          <w:rFonts w:ascii="Century Gothic" w:hAnsi="Century Gothic"/>
        </w:rPr>
      </w:pPr>
      <w:r w:rsidRPr="000C46FD">
        <w:rPr>
          <w:rFonts w:ascii="Century Gothic" w:hAnsi="Century Gothic"/>
        </w:rPr>
        <w:sym w:font="Symbol" w:char="F0B7"/>
      </w:r>
      <w:r w:rsidRPr="000C46FD">
        <w:rPr>
          <w:rFonts w:ascii="Century Gothic" w:hAnsi="Century Gothic"/>
        </w:rPr>
        <w:t xml:space="preserve"> The Office for Security &amp; Counter Terrorism works to counter the threat from terrorism and their work is detailed in the counter terrorism strategy. </w:t>
      </w:r>
    </w:p>
    <w:p w14:paraId="289E8533" w14:textId="77777777" w:rsidR="00593D5D" w:rsidRDefault="00593D5D" w:rsidP="000C46FD">
      <w:pPr>
        <w:suppressAutoHyphens w:val="0"/>
        <w:autoSpaceDN/>
        <w:spacing w:after="0" w:line="240" w:lineRule="auto"/>
        <w:textAlignment w:val="auto"/>
        <w:rPr>
          <w:rFonts w:ascii="Century Gothic" w:hAnsi="Century Gothic"/>
        </w:rPr>
      </w:pPr>
    </w:p>
    <w:p w14:paraId="2AC37B38"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lastRenderedPageBreak/>
        <w:t xml:space="preserve">This strategy is based on four areas of work: </w:t>
      </w:r>
    </w:p>
    <w:p w14:paraId="415B8BFE"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Pursue - To stop terrorist attacks </w:t>
      </w:r>
    </w:p>
    <w:p w14:paraId="23B7B2A5"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Prevent - To stop people becoming terrorists or supporting terrorism </w:t>
      </w:r>
    </w:p>
    <w:p w14:paraId="7FF5199B"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Protect - To strengthen our protection against a terrorist attack </w:t>
      </w:r>
    </w:p>
    <w:p w14:paraId="2F242D26"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Prepare - To mitigate the impact of a terrorist attack </w:t>
      </w:r>
    </w:p>
    <w:p w14:paraId="7872D5AB" w14:textId="77777777" w:rsidR="00593D5D" w:rsidRPr="00593D5D" w:rsidRDefault="00593D5D" w:rsidP="00593D5D">
      <w:pPr>
        <w:suppressAutoHyphens w:val="0"/>
        <w:autoSpaceDN/>
        <w:spacing w:after="0" w:line="240" w:lineRule="auto"/>
        <w:textAlignment w:val="auto"/>
        <w:rPr>
          <w:rFonts w:ascii="Century Gothic" w:hAnsi="Century Gothic"/>
        </w:rPr>
      </w:pPr>
    </w:p>
    <w:p w14:paraId="688EF48F" w14:textId="19E4C554" w:rsidR="00593D5D" w:rsidRPr="00593D5D" w:rsidRDefault="00593D5D" w:rsidP="00593D5D">
      <w:pPr>
        <w:suppressAutoHyphens w:val="0"/>
        <w:autoSpaceDN/>
        <w:spacing w:after="0" w:line="240" w:lineRule="auto"/>
        <w:textAlignment w:val="auto"/>
        <w:rPr>
          <w:rFonts w:ascii="Century Gothic" w:hAnsi="Century Gothic"/>
          <w:b/>
        </w:rPr>
      </w:pPr>
      <w:r w:rsidRPr="00593D5D">
        <w:rPr>
          <w:rFonts w:ascii="Century Gothic" w:hAnsi="Century Gothic"/>
          <w:b/>
        </w:rPr>
        <w:t xml:space="preserve">Definitions and Indicators </w:t>
      </w:r>
    </w:p>
    <w:p w14:paraId="4138F49E"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Radicalisation is defined as the act or process of making a person more radical or favouring of extreme or fundamental changes in political, economic or social conditions, institutions or habits of the mind. </w:t>
      </w:r>
    </w:p>
    <w:p w14:paraId="687BFD20"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Extremism is defined as the holding of extreme political or religious views. </w:t>
      </w:r>
    </w:p>
    <w:p w14:paraId="68B49408" w14:textId="77777777" w:rsidR="00593D5D" w:rsidRPr="00593D5D" w:rsidRDefault="00593D5D" w:rsidP="00593D5D">
      <w:pPr>
        <w:suppressAutoHyphens w:val="0"/>
        <w:autoSpaceDN/>
        <w:spacing w:after="0" w:line="240" w:lineRule="auto"/>
        <w:textAlignment w:val="auto"/>
        <w:rPr>
          <w:rFonts w:ascii="Century Gothic" w:hAnsi="Century Gothic"/>
        </w:rPr>
      </w:pPr>
    </w:p>
    <w:p w14:paraId="729FF8E7"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b/>
        </w:rPr>
        <w:t>Procedures and Referrals</w:t>
      </w:r>
      <w:r w:rsidRPr="00593D5D">
        <w:rPr>
          <w:rFonts w:ascii="Century Gothic" w:hAnsi="Century Gothic"/>
        </w:rPr>
        <w:t xml:space="preserve"> </w:t>
      </w:r>
    </w:p>
    <w:p w14:paraId="2B55C743" w14:textId="77777777" w:rsid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t xml:space="preserve">Although serious incidents involving radicalisation have not occurred at St Cuthbert’s to date, it is important for us to be constantly vigilant and remain fully informed about the issues which </w:t>
      </w:r>
    </w:p>
    <w:p w14:paraId="45AC06A6" w14:textId="14CA316E"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t xml:space="preserve">affect the region in which we teach. </w:t>
      </w:r>
    </w:p>
    <w:p w14:paraId="407CDE21" w14:textId="77777777" w:rsidR="00593D5D" w:rsidRPr="00593D5D" w:rsidRDefault="00593D5D" w:rsidP="00593D5D">
      <w:pPr>
        <w:suppressAutoHyphens w:val="0"/>
        <w:autoSpaceDN/>
        <w:spacing w:after="0" w:line="240" w:lineRule="auto"/>
        <w:textAlignment w:val="auto"/>
        <w:rPr>
          <w:rFonts w:ascii="Century Gothic" w:hAnsi="Century Gothic"/>
        </w:rPr>
      </w:pPr>
    </w:p>
    <w:p w14:paraId="3DF5E2C2" w14:textId="7387EC30"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t xml:space="preserve">Staff are reminded to suspend any professional disbelief that instances of radicalisation ‘could not happen here’ and to refer any concerns through the 4 appropriate channels (currently via the Designated Person for Child Protection and Safe Guarding) </w:t>
      </w:r>
    </w:p>
    <w:p w14:paraId="7ED0FCC2" w14:textId="77777777" w:rsidR="00593D5D" w:rsidRPr="00593D5D" w:rsidRDefault="00593D5D" w:rsidP="00593D5D">
      <w:pPr>
        <w:suppressAutoHyphens w:val="0"/>
        <w:autoSpaceDN/>
        <w:spacing w:after="0" w:line="240" w:lineRule="auto"/>
        <w:textAlignment w:val="auto"/>
        <w:rPr>
          <w:rFonts w:ascii="Century Gothic" w:hAnsi="Century Gothic"/>
        </w:rPr>
      </w:pPr>
    </w:p>
    <w:p w14:paraId="327D941D"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b/>
        </w:rPr>
        <w:t>The Role of the Curriculum</w:t>
      </w:r>
      <w:r w:rsidRPr="00593D5D">
        <w:rPr>
          <w:rFonts w:ascii="Century Gothic" w:hAnsi="Century Gothic"/>
        </w:rPr>
        <w:t xml:space="preserve"> </w:t>
      </w:r>
    </w:p>
    <w:p w14:paraId="15BD25D5" w14:textId="77777777"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Our curriculum promotes respect, tolerance and diversity. Children are encouraged to share their views and recognise that they are entitled to have their own different beliefs which should not be used to influence others. </w:t>
      </w:r>
    </w:p>
    <w:p w14:paraId="6E504C32" w14:textId="72FAF6B5"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Our Citizenship and SMSC (Spirit</w:t>
      </w:r>
      <w:r>
        <w:rPr>
          <w:rFonts w:ascii="Century Gothic" w:hAnsi="Century Gothic"/>
        </w:rPr>
        <w:t>ual, Moral, Social and Cultural</w:t>
      </w:r>
      <w:r w:rsidRPr="00593D5D">
        <w:rPr>
          <w:rFonts w:ascii="Century Gothic" w:hAnsi="Century Gothic"/>
        </w:rPr>
        <w:t xml:space="preserve">) provision </w:t>
      </w:r>
      <w:proofErr w:type="gramStart"/>
      <w:r w:rsidRPr="00593D5D">
        <w:rPr>
          <w:rFonts w:ascii="Century Gothic" w:hAnsi="Century Gothic"/>
        </w:rPr>
        <w:t>is</w:t>
      </w:r>
      <w:proofErr w:type="gramEnd"/>
      <w:r w:rsidRPr="00593D5D">
        <w:rPr>
          <w:rFonts w:ascii="Century Gothic" w:hAnsi="Century Gothic"/>
        </w:rPr>
        <w:t xml:space="preserve"> embedded across the curriculum, and underpins the ethos of the school. </w:t>
      </w:r>
    </w:p>
    <w:p w14:paraId="15D874EE" w14:textId="2B163B20"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It is recognised that children with low aspirations are more vulnerable to radicalisation and therefore we strive to equip our pupils with confidence, </w:t>
      </w:r>
      <w:proofErr w:type="spellStart"/>
      <w:r w:rsidRPr="00593D5D">
        <w:rPr>
          <w:rFonts w:ascii="Century Gothic" w:hAnsi="Century Gothic"/>
        </w:rPr>
        <w:t>self belief</w:t>
      </w:r>
      <w:proofErr w:type="spellEnd"/>
      <w:r w:rsidRPr="00593D5D">
        <w:rPr>
          <w:rFonts w:ascii="Century Gothic" w:hAnsi="Century Gothic"/>
        </w:rPr>
        <w:t xml:space="preserve">, respect and tolerance as well as setting high standards and expectations for themselves. </w:t>
      </w:r>
    </w:p>
    <w:p w14:paraId="20D77D95" w14:textId="77777777" w:rsid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sym w:font="Symbol" w:char="F0B7"/>
      </w:r>
      <w:r w:rsidRPr="00593D5D">
        <w:rPr>
          <w:rFonts w:ascii="Century Gothic" w:hAnsi="Century Gothic"/>
        </w:rPr>
        <w:t xml:space="preserve"> Children are regularly taught about how to stay safe when using the Internet and are </w:t>
      </w:r>
    </w:p>
    <w:p w14:paraId="5507E405" w14:textId="05F9927A"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t xml:space="preserve">encouraged to recognise that people are not always who they say they are online. They are taught to seek adult help if they are upset or concerned about anything they read or see on the Internet. </w:t>
      </w:r>
    </w:p>
    <w:p w14:paraId="6468CD31" w14:textId="77777777" w:rsidR="00593D5D" w:rsidRPr="000C46FD" w:rsidRDefault="00593D5D" w:rsidP="000C46FD">
      <w:pPr>
        <w:suppressAutoHyphens w:val="0"/>
        <w:autoSpaceDN/>
        <w:spacing w:after="0" w:line="240" w:lineRule="auto"/>
        <w:textAlignment w:val="auto"/>
        <w:rPr>
          <w:rFonts w:ascii="Century Gothic" w:hAnsi="Century Gothic"/>
          <w:sz w:val="20"/>
        </w:rPr>
      </w:pPr>
    </w:p>
    <w:p w14:paraId="7262EE4D" w14:textId="77777777" w:rsidR="00593D5D" w:rsidRPr="00593D5D" w:rsidRDefault="00593D5D" w:rsidP="00593D5D">
      <w:pPr>
        <w:suppressAutoHyphens w:val="0"/>
        <w:autoSpaceDN/>
        <w:spacing w:after="0" w:line="240" w:lineRule="auto"/>
        <w:textAlignment w:val="auto"/>
        <w:rPr>
          <w:rFonts w:ascii="Century Gothic" w:hAnsi="Century Gothic"/>
          <w:b/>
        </w:rPr>
      </w:pPr>
      <w:r w:rsidRPr="00593D5D">
        <w:rPr>
          <w:rFonts w:ascii="Century Gothic" w:hAnsi="Century Gothic"/>
          <w:b/>
        </w:rPr>
        <w:t xml:space="preserve">Staff Training </w:t>
      </w:r>
    </w:p>
    <w:p w14:paraId="328E99CD" w14:textId="77777777" w:rsidR="00DE606E"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t xml:space="preserve">Through INSET opportunities in school, we will ensure that our staff are fully aware of the threats, risks and vulnerabilities that are linked to radicalisation; are aware of the process of </w:t>
      </w:r>
    </w:p>
    <w:p w14:paraId="02CB50E0" w14:textId="23AF1ABA"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t xml:space="preserve">radicalisation and how this might be identified early on. All teaching staff have completed the Prevent online training. </w:t>
      </w:r>
    </w:p>
    <w:p w14:paraId="53B4ED28" w14:textId="77777777" w:rsidR="00593D5D" w:rsidRPr="00593D5D" w:rsidRDefault="00593D5D" w:rsidP="00593D5D">
      <w:pPr>
        <w:suppressAutoHyphens w:val="0"/>
        <w:autoSpaceDN/>
        <w:spacing w:after="0" w:line="240" w:lineRule="auto"/>
        <w:textAlignment w:val="auto"/>
        <w:rPr>
          <w:rFonts w:ascii="Century Gothic" w:hAnsi="Century Gothic"/>
        </w:rPr>
      </w:pPr>
    </w:p>
    <w:p w14:paraId="5EFAE96D" w14:textId="77777777" w:rsidR="00593D5D" w:rsidRPr="00593D5D" w:rsidRDefault="00593D5D" w:rsidP="00593D5D">
      <w:pPr>
        <w:suppressAutoHyphens w:val="0"/>
        <w:autoSpaceDN/>
        <w:spacing w:after="0" w:line="240" w:lineRule="auto"/>
        <w:textAlignment w:val="auto"/>
        <w:rPr>
          <w:rFonts w:ascii="Century Gothic" w:hAnsi="Century Gothic"/>
          <w:b/>
        </w:rPr>
      </w:pPr>
      <w:r w:rsidRPr="00593D5D">
        <w:rPr>
          <w:rFonts w:ascii="Century Gothic" w:hAnsi="Century Gothic"/>
          <w:b/>
        </w:rPr>
        <w:t xml:space="preserve">Policy Review </w:t>
      </w:r>
    </w:p>
    <w:p w14:paraId="0FA10F77" w14:textId="77777777" w:rsidR="00DE606E"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t xml:space="preserve">The Anti-Radicalisation Policy statement will be reviewed biannually as part of the overall </w:t>
      </w:r>
    </w:p>
    <w:p w14:paraId="41D73D59" w14:textId="30DAFD0E" w:rsidR="00593D5D" w:rsidRPr="00593D5D" w:rsidRDefault="00593D5D" w:rsidP="00593D5D">
      <w:pPr>
        <w:suppressAutoHyphens w:val="0"/>
        <w:autoSpaceDN/>
        <w:spacing w:after="0" w:line="240" w:lineRule="auto"/>
        <w:textAlignment w:val="auto"/>
        <w:rPr>
          <w:rFonts w:ascii="Century Gothic" w:hAnsi="Century Gothic"/>
        </w:rPr>
      </w:pPr>
      <w:r w:rsidRPr="00593D5D">
        <w:rPr>
          <w:rFonts w:ascii="Century Gothic" w:hAnsi="Century Gothic"/>
        </w:rPr>
        <w:t xml:space="preserve">Safeguarding Procedures. </w:t>
      </w:r>
    </w:p>
    <w:p w14:paraId="7196BDA2" w14:textId="77777777" w:rsidR="000C46FD" w:rsidRPr="00593D5D" w:rsidRDefault="000C46FD" w:rsidP="000C46FD">
      <w:pPr>
        <w:rPr>
          <w:rFonts w:ascii="Century Gothic" w:hAnsi="Century Gothic"/>
          <w:sz w:val="20"/>
        </w:rPr>
      </w:pPr>
    </w:p>
    <w:sectPr w:rsidR="000C46FD" w:rsidRPr="00593D5D" w:rsidSect="00593D5D">
      <w:footerReference w:type="default" r:id="rId9"/>
      <w:footerReference w:type="first" r:id="rId10"/>
      <w:pgSz w:w="11906" w:h="16838"/>
      <w:pgMar w:top="851" w:right="659"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8B25" w14:textId="77777777" w:rsidR="00842B79" w:rsidRDefault="00842B79">
      <w:pPr>
        <w:spacing w:after="0" w:line="240" w:lineRule="auto"/>
      </w:pPr>
      <w:r>
        <w:separator/>
      </w:r>
    </w:p>
  </w:endnote>
  <w:endnote w:type="continuationSeparator" w:id="0">
    <w:p w14:paraId="4D33C095" w14:textId="77777777" w:rsidR="00842B79" w:rsidRDefault="0084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C923" w14:textId="77777777" w:rsidR="00B376DE" w:rsidRDefault="00830271">
    <w:pPr>
      <w:pStyle w:val="BodyText"/>
      <w:tabs>
        <w:tab w:val="center" w:pos="4820"/>
        <w:tab w:val="right" w:pos="9746"/>
      </w:tabs>
    </w:pPr>
    <w:r>
      <w:rPr>
        <w:szCs w:val="20"/>
      </w:rPr>
      <w:tab/>
    </w:r>
    <w:r>
      <w:fldChar w:fldCharType="begin"/>
    </w:r>
    <w:r>
      <w:instrText xml:space="preserve"> PAGE </w:instrText>
    </w:r>
    <w:r>
      <w:fldChar w:fldCharType="separate"/>
    </w:r>
    <w:r w:rsidR="004F1B4E">
      <w:rPr>
        <w:noProof/>
      </w:rPr>
      <w:t>2</w:t>
    </w:r>
    <w:r>
      <w:fldChar w:fldCharType="end"/>
    </w:r>
  </w:p>
  <w:p w14:paraId="56E5287E" w14:textId="77777777" w:rsidR="00B376DE" w:rsidRDefault="00842B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FB66" w14:textId="77777777" w:rsidR="00B376DE" w:rsidRDefault="00830271">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7470" w14:textId="77777777" w:rsidR="00842B79" w:rsidRDefault="00842B79">
      <w:pPr>
        <w:spacing w:after="0" w:line="240" w:lineRule="auto"/>
      </w:pPr>
      <w:r>
        <w:rPr>
          <w:color w:val="000000"/>
        </w:rPr>
        <w:separator/>
      </w:r>
    </w:p>
  </w:footnote>
  <w:footnote w:type="continuationSeparator" w:id="0">
    <w:p w14:paraId="734F1E14" w14:textId="77777777" w:rsidR="00842B79" w:rsidRDefault="00842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A76"/>
    <w:multiLevelType w:val="multilevel"/>
    <w:tmpl w:val="53E270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A3297"/>
    <w:multiLevelType w:val="multilevel"/>
    <w:tmpl w:val="3248745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67564A2"/>
    <w:multiLevelType w:val="multilevel"/>
    <w:tmpl w:val="DCB82CB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BD6979"/>
    <w:multiLevelType w:val="multilevel"/>
    <w:tmpl w:val="3B2699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9F44DF6"/>
    <w:multiLevelType w:val="multilevel"/>
    <w:tmpl w:val="1D74319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0057A03"/>
    <w:multiLevelType w:val="multilevel"/>
    <w:tmpl w:val="2608602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26629F4"/>
    <w:multiLevelType w:val="multilevel"/>
    <w:tmpl w:val="833C37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54E2C28"/>
    <w:multiLevelType w:val="multilevel"/>
    <w:tmpl w:val="8F007D4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7EA5A64"/>
    <w:multiLevelType w:val="multilevel"/>
    <w:tmpl w:val="C8F8787E"/>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383D3D55"/>
    <w:multiLevelType w:val="multilevel"/>
    <w:tmpl w:val="69AC41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0C57ABB"/>
    <w:multiLevelType w:val="multilevel"/>
    <w:tmpl w:val="44C258C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4261957"/>
    <w:multiLevelType w:val="multilevel"/>
    <w:tmpl w:val="AB9E66C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5F64451"/>
    <w:multiLevelType w:val="multilevel"/>
    <w:tmpl w:val="3648B9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3E72ED"/>
    <w:multiLevelType w:val="multilevel"/>
    <w:tmpl w:val="6B68E5F0"/>
    <w:lvl w:ilvl="0">
      <w:numFmt w:val="bullet"/>
      <w:lvlText w:val=""/>
      <w:lvlJc w:val="left"/>
      <w:pPr>
        <w:ind w:left="717" w:hanging="360"/>
      </w:pPr>
      <w:rPr>
        <w:rFonts w:ascii="Symbol" w:hAnsi="Symbol"/>
      </w:rPr>
    </w:lvl>
    <w:lvl w:ilvl="1">
      <w:numFmt w:val="bullet"/>
      <w:lvlText w:val="o"/>
      <w:lvlJc w:val="left"/>
      <w:pPr>
        <w:ind w:left="1437" w:hanging="360"/>
      </w:pPr>
      <w:rPr>
        <w:rFonts w:ascii="Courier New" w:hAnsi="Courier New" w:cs="Courier New"/>
      </w:rPr>
    </w:lvl>
    <w:lvl w:ilvl="2">
      <w:numFmt w:val="bullet"/>
      <w:lvlText w:val=""/>
      <w:lvlJc w:val="left"/>
      <w:pPr>
        <w:ind w:left="2157" w:hanging="360"/>
      </w:pPr>
      <w:rPr>
        <w:rFonts w:ascii="Wingdings" w:hAnsi="Wingdings"/>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cs="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cs="Courier New"/>
      </w:rPr>
    </w:lvl>
    <w:lvl w:ilvl="8">
      <w:numFmt w:val="bullet"/>
      <w:lvlText w:val=""/>
      <w:lvlJc w:val="left"/>
      <w:pPr>
        <w:ind w:left="6477" w:hanging="360"/>
      </w:pPr>
      <w:rPr>
        <w:rFonts w:ascii="Wingdings" w:hAnsi="Wingdings"/>
      </w:rPr>
    </w:lvl>
  </w:abstractNum>
  <w:abstractNum w:abstractNumId="14" w15:restartNumberingAfterBreak="0">
    <w:nsid w:val="535E158D"/>
    <w:multiLevelType w:val="multilevel"/>
    <w:tmpl w:val="D2A6B3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4CA19BE"/>
    <w:multiLevelType w:val="multilevel"/>
    <w:tmpl w:val="A190AA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3E4882"/>
    <w:multiLevelType w:val="multilevel"/>
    <w:tmpl w:val="E16ED36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29B168C"/>
    <w:multiLevelType w:val="multilevel"/>
    <w:tmpl w:val="4C327F0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5925D3B"/>
    <w:multiLevelType w:val="multilevel"/>
    <w:tmpl w:val="B0CE83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6BD05896"/>
    <w:multiLevelType w:val="multilevel"/>
    <w:tmpl w:val="683C47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0" w15:restartNumberingAfterBreak="0">
    <w:nsid w:val="72AA3370"/>
    <w:multiLevelType w:val="multilevel"/>
    <w:tmpl w:val="FA3C587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75FB6DA4"/>
    <w:multiLevelType w:val="multilevel"/>
    <w:tmpl w:val="12D6112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AA735AA"/>
    <w:multiLevelType w:val="multilevel"/>
    <w:tmpl w:val="F672208C"/>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401B0A"/>
    <w:multiLevelType w:val="multilevel"/>
    <w:tmpl w:val="28B2AE7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C354460"/>
    <w:multiLevelType w:val="multilevel"/>
    <w:tmpl w:val="A71E93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7F8739BE"/>
    <w:multiLevelType w:val="multilevel"/>
    <w:tmpl w:val="E3DCF5C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FB04749"/>
    <w:multiLevelType w:val="multilevel"/>
    <w:tmpl w:val="FBE87F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25"/>
  </w:num>
  <w:num w:numId="3">
    <w:abstractNumId w:val="17"/>
  </w:num>
  <w:num w:numId="4">
    <w:abstractNumId w:val="11"/>
  </w:num>
  <w:num w:numId="5">
    <w:abstractNumId w:val="10"/>
  </w:num>
  <w:num w:numId="6">
    <w:abstractNumId w:val="2"/>
  </w:num>
  <w:num w:numId="7">
    <w:abstractNumId w:val="23"/>
  </w:num>
  <w:num w:numId="8">
    <w:abstractNumId w:val="8"/>
  </w:num>
  <w:num w:numId="9">
    <w:abstractNumId w:val="22"/>
  </w:num>
  <w:num w:numId="10">
    <w:abstractNumId w:val="21"/>
  </w:num>
  <w:num w:numId="11">
    <w:abstractNumId w:val="16"/>
  </w:num>
  <w:num w:numId="12">
    <w:abstractNumId w:val="4"/>
  </w:num>
  <w:num w:numId="13">
    <w:abstractNumId w:val="20"/>
  </w:num>
  <w:num w:numId="14">
    <w:abstractNumId w:val="5"/>
  </w:num>
  <w:num w:numId="15">
    <w:abstractNumId w:val="13"/>
  </w:num>
  <w:num w:numId="16">
    <w:abstractNumId w:val="9"/>
  </w:num>
  <w:num w:numId="17">
    <w:abstractNumId w:val="0"/>
  </w:num>
  <w:num w:numId="18">
    <w:abstractNumId w:val="18"/>
  </w:num>
  <w:num w:numId="19">
    <w:abstractNumId w:val="12"/>
  </w:num>
  <w:num w:numId="20">
    <w:abstractNumId w:val="15"/>
  </w:num>
  <w:num w:numId="21">
    <w:abstractNumId w:val="14"/>
  </w:num>
  <w:num w:numId="22">
    <w:abstractNumId w:val="26"/>
  </w:num>
  <w:num w:numId="23">
    <w:abstractNumId w:val="24"/>
  </w:num>
  <w:num w:numId="24">
    <w:abstractNumId w:val="19"/>
  </w:num>
  <w:num w:numId="25">
    <w:abstractNumId w:val="6"/>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45"/>
    <w:rsid w:val="00052C27"/>
    <w:rsid w:val="000B2681"/>
    <w:rsid w:val="000C46FD"/>
    <w:rsid w:val="001C631E"/>
    <w:rsid w:val="00477CEA"/>
    <w:rsid w:val="004F1B4E"/>
    <w:rsid w:val="00525AAD"/>
    <w:rsid w:val="00593D5D"/>
    <w:rsid w:val="00830271"/>
    <w:rsid w:val="00842B79"/>
    <w:rsid w:val="00902145"/>
    <w:rsid w:val="00AE2132"/>
    <w:rsid w:val="00C61CDA"/>
    <w:rsid w:val="00CC65A0"/>
    <w:rsid w:val="00DE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619550"/>
  <w15:docId w15:val="{EBB7825A-7690-0D41-B343-C80DC37F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8"/>
      </w:numPr>
      <w:tabs>
        <w:tab w:val="left" w:pos="-707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2"/>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0"/>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1"/>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3"/>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customStyle="1" w:styleId="UnresolvedMention1">
    <w:name w:val="Unresolved Mention1"/>
    <w:basedOn w:val="DefaultParagraphFont"/>
    <w:rPr>
      <w:color w:val="605E5C"/>
      <w:shd w:val="clear" w:color="auto" w:fill="E1DFDD"/>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5">
    <w:name w:val="LFO5"/>
    <w:basedOn w:val="NoList"/>
    <w:pPr>
      <w:numPr>
        <w:numId w:val="10"/>
      </w:numPr>
    </w:pPr>
  </w:style>
  <w:style w:type="numbering" w:customStyle="1" w:styleId="LFO11">
    <w:name w:val="LFO11"/>
    <w:basedOn w:val="NoList"/>
    <w:pPr>
      <w:numPr>
        <w:numId w:val="11"/>
      </w:numPr>
    </w:pPr>
  </w:style>
  <w:style w:type="numbering" w:customStyle="1" w:styleId="LFO12">
    <w:name w:val="LFO12"/>
    <w:basedOn w:val="NoList"/>
    <w:pPr>
      <w:numPr>
        <w:numId w:val="12"/>
      </w:numPr>
    </w:pPr>
  </w:style>
  <w:style w:type="numbering" w:customStyle="1" w:styleId="LFO13">
    <w:name w:val="LFO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59804">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1247619183">
      <w:bodyDiv w:val="1"/>
      <w:marLeft w:val="0"/>
      <w:marRight w:val="0"/>
      <w:marTop w:val="0"/>
      <w:marBottom w:val="0"/>
      <w:divBdr>
        <w:top w:val="none" w:sz="0" w:space="0" w:color="auto"/>
        <w:left w:val="none" w:sz="0" w:space="0" w:color="auto"/>
        <w:bottom w:val="none" w:sz="0" w:space="0" w:color="auto"/>
        <w:right w:val="none" w:sz="0" w:space="0" w:color="auto"/>
      </w:divBdr>
    </w:div>
    <w:div w:id="1275553460">
      <w:bodyDiv w:val="1"/>
      <w:marLeft w:val="0"/>
      <w:marRight w:val="0"/>
      <w:marTop w:val="0"/>
      <w:marBottom w:val="0"/>
      <w:divBdr>
        <w:top w:val="none" w:sz="0" w:space="0" w:color="auto"/>
        <w:left w:val="none" w:sz="0" w:space="0" w:color="auto"/>
        <w:bottom w:val="none" w:sz="0" w:space="0" w:color="auto"/>
        <w:right w:val="none" w:sz="0" w:space="0" w:color="auto"/>
      </w:divBdr>
    </w:div>
    <w:div w:id="1859075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Microsoft Office User</cp:lastModifiedBy>
  <cp:revision>2</cp:revision>
  <cp:lastPrinted>2013-07-11T10:35:00Z</cp:lastPrinted>
  <dcterms:created xsi:type="dcterms:W3CDTF">2022-04-26T10:08:00Z</dcterms:created>
  <dcterms:modified xsi:type="dcterms:W3CDTF">2022-04-26T10:08:00Z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