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808B6" w14:textId="133B427D" w:rsidR="00343C75" w:rsidRDefault="001B2AE2" w:rsidP="001B2AE2">
      <w:pPr>
        <w:jc w:val="center"/>
      </w:pPr>
      <w:r>
        <w:rPr>
          <w:rFonts w:ascii="Times New Roman"/>
          <w:noProof/>
          <w:sz w:val="20"/>
          <w:lang w:eastAsia="en-GB"/>
        </w:rPr>
        <w:drawing>
          <wp:inline distT="0" distB="0" distL="0" distR="0" wp14:anchorId="1E6B078B" wp14:editId="467D144A">
            <wp:extent cx="2178488" cy="2053390"/>
            <wp:effectExtent l="0" t="0" r="0"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6658" cy="2070517"/>
                    </a:xfrm>
                    <a:prstGeom prst="rect">
                      <a:avLst/>
                    </a:prstGeom>
                  </pic:spPr>
                </pic:pic>
              </a:graphicData>
            </a:graphic>
          </wp:inline>
        </w:drawing>
      </w:r>
    </w:p>
    <w:p w14:paraId="6372782B" w14:textId="2E72F209" w:rsidR="001B2AE2" w:rsidRDefault="001B2AE2" w:rsidP="001B2AE2">
      <w:pPr>
        <w:jc w:val="center"/>
      </w:pPr>
    </w:p>
    <w:p w14:paraId="0ABC0270" w14:textId="69B63AE2" w:rsidR="001B2AE2" w:rsidRDefault="001B2AE2" w:rsidP="001B2AE2">
      <w:pPr>
        <w:jc w:val="center"/>
      </w:pPr>
    </w:p>
    <w:p w14:paraId="0EFDD2C9" w14:textId="1780D99D" w:rsidR="001B2AE2" w:rsidRDefault="001B2AE2" w:rsidP="001B2AE2">
      <w:pPr>
        <w:jc w:val="center"/>
        <w:rPr>
          <w:rFonts w:ascii="Century Gothic" w:hAnsi="Century Gothic"/>
          <w:b/>
          <w:sz w:val="36"/>
        </w:rPr>
      </w:pPr>
      <w:r>
        <w:rPr>
          <w:rFonts w:ascii="Century Gothic" w:hAnsi="Century Gothic"/>
          <w:b/>
          <w:sz w:val="36"/>
        </w:rPr>
        <w:t xml:space="preserve">St Ignatius Catholic Primary School </w:t>
      </w:r>
    </w:p>
    <w:p w14:paraId="09350812" w14:textId="7AC2DF63" w:rsidR="005645A4" w:rsidRPr="001B2AE2" w:rsidRDefault="003C6F0D" w:rsidP="003C6F0D">
      <w:pPr>
        <w:jc w:val="center"/>
        <w:rPr>
          <w:rFonts w:ascii="Century Gothic" w:hAnsi="Century Gothic"/>
          <w:b/>
          <w:sz w:val="36"/>
        </w:rPr>
      </w:pPr>
      <w:r>
        <w:rPr>
          <w:rFonts w:ascii="Century Gothic" w:hAnsi="Century Gothic"/>
          <w:b/>
          <w:sz w:val="36"/>
        </w:rPr>
        <w:t xml:space="preserve">Pay </w:t>
      </w:r>
      <w:r w:rsidR="00E267C7">
        <w:rPr>
          <w:rFonts w:ascii="Century Gothic" w:hAnsi="Century Gothic"/>
          <w:b/>
          <w:sz w:val="36"/>
        </w:rPr>
        <w:t>Policy</w:t>
      </w:r>
    </w:p>
    <w:p w14:paraId="7291DFCC" w14:textId="4DAFD612" w:rsidR="001B2AE2" w:rsidRDefault="001B2AE2" w:rsidP="001B2AE2">
      <w:pPr>
        <w:jc w:val="center"/>
      </w:pPr>
      <w:bookmarkStart w:id="0" w:name="_GoBack"/>
      <w:bookmarkEnd w:id="0"/>
    </w:p>
    <w:p w14:paraId="15B76197" w14:textId="77777777" w:rsidR="001B2AE2" w:rsidRDefault="001B2AE2" w:rsidP="001B2AE2">
      <w:pPr>
        <w:pStyle w:val="BodyText"/>
        <w:ind w:left="0"/>
        <w:rPr>
          <w:b/>
          <w:sz w:val="20"/>
        </w:rPr>
      </w:pPr>
    </w:p>
    <w:tbl>
      <w:tblP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3"/>
      </w:tblGrid>
      <w:tr w:rsidR="001B2AE2" w14:paraId="2C4B06D9" w14:textId="77777777" w:rsidTr="00184964">
        <w:trPr>
          <w:trHeight w:val="1031"/>
        </w:trPr>
        <w:tc>
          <w:tcPr>
            <w:tcW w:w="4621" w:type="dxa"/>
          </w:tcPr>
          <w:p w14:paraId="38FF7A59" w14:textId="77777777" w:rsidR="001B2AE2" w:rsidRDefault="001B2AE2" w:rsidP="00277B54">
            <w:pPr>
              <w:pStyle w:val="TableParagraph"/>
              <w:spacing w:before="6"/>
              <w:rPr>
                <w:b/>
                <w:sz w:val="28"/>
              </w:rPr>
            </w:pPr>
          </w:p>
          <w:p w14:paraId="3C057C67" w14:textId="77777777" w:rsidR="001B2AE2" w:rsidRDefault="001B2AE2" w:rsidP="00277B54">
            <w:pPr>
              <w:pStyle w:val="TableParagraph"/>
              <w:ind w:left="259" w:right="251"/>
              <w:jc w:val="center"/>
              <w:rPr>
                <w:sz w:val="28"/>
              </w:rPr>
            </w:pPr>
            <w:r>
              <w:rPr>
                <w:sz w:val="28"/>
              </w:rPr>
              <w:t>Status</w:t>
            </w:r>
          </w:p>
        </w:tc>
        <w:tc>
          <w:tcPr>
            <w:tcW w:w="4623" w:type="dxa"/>
          </w:tcPr>
          <w:p w14:paraId="39824D9D" w14:textId="77777777" w:rsidR="001B2AE2" w:rsidRDefault="001B2AE2" w:rsidP="00277B54">
            <w:pPr>
              <w:pStyle w:val="TableParagraph"/>
              <w:spacing w:before="6"/>
              <w:rPr>
                <w:b/>
                <w:sz w:val="28"/>
              </w:rPr>
            </w:pPr>
          </w:p>
          <w:p w14:paraId="56E863D7" w14:textId="6C808763" w:rsidR="001B2AE2" w:rsidRDefault="00F75F6E" w:rsidP="00277B54">
            <w:pPr>
              <w:pStyle w:val="TableParagraph"/>
              <w:ind w:left="577" w:right="570"/>
              <w:jc w:val="center"/>
              <w:rPr>
                <w:sz w:val="28"/>
              </w:rPr>
            </w:pPr>
            <w:r>
              <w:rPr>
                <w:sz w:val="28"/>
              </w:rPr>
              <w:t>Statutory</w:t>
            </w:r>
          </w:p>
        </w:tc>
      </w:tr>
      <w:tr w:rsidR="00463F90" w14:paraId="205081B0" w14:textId="77777777" w:rsidTr="00463F90">
        <w:trPr>
          <w:trHeight w:val="1031"/>
        </w:trPr>
        <w:tc>
          <w:tcPr>
            <w:tcW w:w="4621" w:type="dxa"/>
            <w:vAlign w:val="center"/>
          </w:tcPr>
          <w:p w14:paraId="6AF66D2E" w14:textId="45637BBB" w:rsidR="00463F90" w:rsidRPr="00463F90" w:rsidRDefault="009A07B5" w:rsidP="00463F90">
            <w:pPr>
              <w:pStyle w:val="TableParagraph"/>
              <w:spacing w:before="6"/>
              <w:jc w:val="center"/>
              <w:rPr>
                <w:sz w:val="28"/>
              </w:rPr>
            </w:pPr>
            <w:r>
              <w:rPr>
                <w:sz w:val="28"/>
              </w:rPr>
              <w:t>Date of Adoption</w:t>
            </w:r>
          </w:p>
        </w:tc>
        <w:tc>
          <w:tcPr>
            <w:tcW w:w="4623" w:type="dxa"/>
            <w:vAlign w:val="center"/>
          </w:tcPr>
          <w:p w14:paraId="0AC77141" w14:textId="684E26A3" w:rsidR="00463F90" w:rsidRPr="00463F90" w:rsidRDefault="009A07B5" w:rsidP="00463F90">
            <w:pPr>
              <w:pStyle w:val="TableParagraph"/>
              <w:spacing w:before="6"/>
              <w:jc w:val="center"/>
              <w:rPr>
                <w:sz w:val="28"/>
              </w:rPr>
            </w:pPr>
            <w:r>
              <w:rPr>
                <w:sz w:val="28"/>
              </w:rPr>
              <w:t>MARCH 2023</w:t>
            </w:r>
          </w:p>
        </w:tc>
      </w:tr>
      <w:tr w:rsidR="001B2AE2" w14:paraId="5147A5A6" w14:textId="77777777" w:rsidTr="00184964">
        <w:trPr>
          <w:trHeight w:val="1029"/>
        </w:trPr>
        <w:tc>
          <w:tcPr>
            <w:tcW w:w="4621" w:type="dxa"/>
          </w:tcPr>
          <w:p w14:paraId="44F9EFEC" w14:textId="77777777" w:rsidR="001B2AE2" w:rsidRDefault="001B2AE2" w:rsidP="00277B54">
            <w:pPr>
              <w:pStyle w:val="TableParagraph"/>
              <w:spacing w:before="4"/>
              <w:rPr>
                <w:b/>
                <w:sz w:val="28"/>
              </w:rPr>
            </w:pPr>
          </w:p>
          <w:p w14:paraId="43760F72" w14:textId="2F0037F2" w:rsidR="001B2AE2" w:rsidRDefault="009A07B5" w:rsidP="00277B54">
            <w:pPr>
              <w:pStyle w:val="TableParagraph"/>
              <w:ind w:left="260" w:right="251"/>
              <w:jc w:val="center"/>
              <w:rPr>
                <w:sz w:val="28"/>
              </w:rPr>
            </w:pPr>
            <w:r>
              <w:rPr>
                <w:sz w:val="28"/>
              </w:rPr>
              <w:t>Date of Review</w:t>
            </w:r>
          </w:p>
        </w:tc>
        <w:tc>
          <w:tcPr>
            <w:tcW w:w="4623" w:type="dxa"/>
          </w:tcPr>
          <w:p w14:paraId="233B52AC" w14:textId="77777777" w:rsidR="001B2AE2" w:rsidRDefault="001B2AE2" w:rsidP="00277B54">
            <w:pPr>
              <w:pStyle w:val="TableParagraph"/>
              <w:spacing w:before="4"/>
              <w:rPr>
                <w:b/>
                <w:sz w:val="28"/>
              </w:rPr>
            </w:pPr>
          </w:p>
          <w:p w14:paraId="35DF4430" w14:textId="1F227644" w:rsidR="001B2AE2" w:rsidRDefault="009A07B5" w:rsidP="00277B54">
            <w:pPr>
              <w:pStyle w:val="TableParagraph"/>
              <w:ind w:left="577" w:right="572"/>
              <w:jc w:val="center"/>
              <w:rPr>
                <w:sz w:val="28"/>
              </w:rPr>
            </w:pPr>
            <w:r>
              <w:rPr>
                <w:sz w:val="28"/>
              </w:rPr>
              <w:t>MARCH 2024</w:t>
            </w:r>
          </w:p>
        </w:tc>
      </w:tr>
    </w:tbl>
    <w:p w14:paraId="7C02E4FA" w14:textId="77777777" w:rsidR="001B2AE2" w:rsidRDefault="001B2AE2" w:rsidP="001B2AE2">
      <w:pPr>
        <w:jc w:val="center"/>
      </w:pPr>
    </w:p>
    <w:p w14:paraId="7E0023AD" w14:textId="77777777" w:rsidR="008A564F" w:rsidRDefault="008A564F" w:rsidP="001B2AE2">
      <w:pPr>
        <w:jc w:val="center"/>
      </w:pPr>
    </w:p>
    <w:p w14:paraId="66659669" w14:textId="683F3EC9" w:rsidR="008A564F" w:rsidRDefault="008A564F" w:rsidP="001B2AE2">
      <w:pPr>
        <w:jc w:val="center"/>
      </w:pPr>
    </w:p>
    <w:p w14:paraId="5D58981C" w14:textId="2AD04403" w:rsidR="009A07B5" w:rsidRDefault="009A07B5" w:rsidP="001B2AE2">
      <w:pPr>
        <w:jc w:val="center"/>
      </w:pPr>
    </w:p>
    <w:p w14:paraId="12CDF8C4" w14:textId="02CD2A3C" w:rsidR="009A07B5" w:rsidRDefault="009A07B5" w:rsidP="001B2AE2">
      <w:pPr>
        <w:jc w:val="center"/>
      </w:pPr>
    </w:p>
    <w:p w14:paraId="13D9E7A9" w14:textId="29990A27" w:rsidR="009A07B5" w:rsidRDefault="009A07B5" w:rsidP="001B2AE2">
      <w:pPr>
        <w:jc w:val="center"/>
      </w:pPr>
    </w:p>
    <w:p w14:paraId="6F2736C8" w14:textId="4E6D94D6" w:rsidR="009A07B5" w:rsidRDefault="009A07B5" w:rsidP="001B2AE2">
      <w:pPr>
        <w:jc w:val="center"/>
      </w:pPr>
    </w:p>
    <w:p w14:paraId="5CF3AB16" w14:textId="0AF74090" w:rsidR="009A07B5" w:rsidRDefault="009A07B5" w:rsidP="001B2AE2">
      <w:pPr>
        <w:jc w:val="center"/>
      </w:pPr>
    </w:p>
    <w:p w14:paraId="4A74986C" w14:textId="76084557" w:rsidR="009A07B5" w:rsidRDefault="009A07B5" w:rsidP="001B2AE2">
      <w:pPr>
        <w:jc w:val="center"/>
      </w:pPr>
    </w:p>
    <w:p w14:paraId="36592034" w14:textId="77777777" w:rsidR="009A07B5" w:rsidRDefault="009A07B5" w:rsidP="001B2AE2">
      <w:pPr>
        <w:jc w:val="center"/>
      </w:pPr>
    </w:p>
    <w:p w14:paraId="06668BDB" w14:textId="77777777" w:rsidR="008A564F" w:rsidRPr="0011435C" w:rsidRDefault="008A564F" w:rsidP="008A564F">
      <w:pPr>
        <w:rPr>
          <w:b/>
          <w:sz w:val="28"/>
        </w:rPr>
      </w:pPr>
      <w:r w:rsidRPr="0011435C">
        <w:rPr>
          <w:b/>
          <w:sz w:val="28"/>
        </w:rPr>
        <w:lastRenderedPageBreak/>
        <w:t>Contents</w:t>
      </w:r>
    </w:p>
    <w:p w14:paraId="270FFCD8" w14:textId="77777777" w:rsidR="008A564F" w:rsidRPr="00C935B2" w:rsidRDefault="008A564F" w:rsidP="008A564F">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_Toc491426381 \h </w:instrText>
      </w:r>
      <w:r>
        <w:rPr>
          <w:noProof/>
        </w:rPr>
      </w:r>
      <w:r>
        <w:rPr>
          <w:noProof/>
        </w:rPr>
        <w:fldChar w:fldCharType="separate"/>
      </w:r>
      <w:r>
        <w:rPr>
          <w:noProof/>
        </w:rPr>
        <w:t>3</w:t>
      </w:r>
      <w:r>
        <w:rPr>
          <w:noProof/>
        </w:rPr>
        <w:fldChar w:fldCharType="end"/>
      </w:r>
    </w:p>
    <w:p w14:paraId="2B63AB5C" w14:textId="77777777" w:rsidR="008A564F" w:rsidRPr="00C935B2" w:rsidRDefault="008A564F" w:rsidP="008A564F">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_Toc491426382 \h </w:instrText>
      </w:r>
      <w:r>
        <w:rPr>
          <w:noProof/>
        </w:rPr>
      </w:r>
      <w:r>
        <w:rPr>
          <w:noProof/>
        </w:rPr>
        <w:fldChar w:fldCharType="separate"/>
      </w:r>
      <w:r>
        <w:rPr>
          <w:noProof/>
        </w:rPr>
        <w:t>3</w:t>
      </w:r>
      <w:r>
        <w:rPr>
          <w:noProof/>
        </w:rPr>
        <w:fldChar w:fldCharType="end"/>
      </w:r>
    </w:p>
    <w:p w14:paraId="29B1A770" w14:textId="77777777" w:rsidR="008A564F" w:rsidRPr="00C935B2" w:rsidRDefault="008A564F" w:rsidP="008A564F">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_Toc491426383 \h </w:instrText>
      </w:r>
      <w:r>
        <w:rPr>
          <w:noProof/>
        </w:rPr>
      </w:r>
      <w:r>
        <w:rPr>
          <w:noProof/>
        </w:rPr>
        <w:fldChar w:fldCharType="separate"/>
      </w:r>
      <w:r>
        <w:rPr>
          <w:noProof/>
        </w:rPr>
        <w:t>4</w:t>
      </w:r>
      <w:r>
        <w:rPr>
          <w:noProof/>
        </w:rPr>
        <w:fldChar w:fldCharType="end"/>
      </w:r>
    </w:p>
    <w:p w14:paraId="1F714450" w14:textId="77777777" w:rsidR="008A564F" w:rsidRPr="00C935B2" w:rsidRDefault="008A564F" w:rsidP="008A564F">
      <w:pPr>
        <w:pStyle w:val="TOC1"/>
        <w:rPr>
          <w:rFonts w:ascii="Calibri" w:eastAsia="Times New Roman" w:hAnsi="Calibri"/>
          <w:noProof/>
          <w:szCs w:val="22"/>
          <w:lang w:val="en-GB" w:eastAsia="en-GB"/>
        </w:rPr>
      </w:pPr>
      <w:r>
        <w:rPr>
          <w:noProof/>
        </w:rPr>
        <w:t>4. Roles and responsibilities</w:t>
      </w:r>
      <w:r>
        <w:rPr>
          <w:noProof/>
        </w:rPr>
        <w:tab/>
      </w:r>
      <w:r>
        <w:rPr>
          <w:noProof/>
        </w:rPr>
        <w:fldChar w:fldCharType="begin"/>
      </w:r>
      <w:r>
        <w:rPr>
          <w:noProof/>
        </w:rPr>
        <w:instrText xml:space="preserve"> PAGEREF _Toc491426384 \h </w:instrText>
      </w:r>
      <w:r>
        <w:rPr>
          <w:noProof/>
        </w:rPr>
      </w:r>
      <w:r>
        <w:rPr>
          <w:noProof/>
        </w:rPr>
        <w:fldChar w:fldCharType="separate"/>
      </w:r>
      <w:r>
        <w:rPr>
          <w:noProof/>
        </w:rPr>
        <w:t>4</w:t>
      </w:r>
      <w:r>
        <w:rPr>
          <w:noProof/>
        </w:rPr>
        <w:fldChar w:fldCharType="end"/>
      </w:r>
    </w:p>
    <w:p w14:paraId="5756759F" w14:textId="77777777" w:rsidR="008A564F" w:rsidRPr="00C935B2" w:rsidRDefault="008A564F" w:rsidP="008A564F">
      <w:pPr>
        <w:pStyle w:val="TOC1"/>
        <w:rPr>
          <w:rFonts w:ascii="Calibri" w:eastAsia="Times New Roman" w:hAnsi="Calibri"/>
          <w:noProof/>
          <w:szCs w:val="22"/>
          <w:lang w:val="en-GB" w:eastAsia="en-GB"/>
        </w:rPr>
      </w:pPr>
      <w:r>
        <w:rPr>
          <w:noProof/>
        </w:rPr>
        <w:t>5. How we will decide pay on appointment</w:t>
      </w:r>
      <w:r>
        <w:rPr>
          <w:noProof/>
        </w:rPr>
        <w:tab/>
      </w:r>
      <w:r>
        <w:rPr>
          <w:noProof/>
        </w:rPr>
        <w:fldChar w:fldCharType="begin"/>
      </w:r>
      <w:r>
        <w:rPr>
          <w:noProof/>
        </w:rPr>
        <w:instrText xml:space="preserve"> PAGEREF _Toc491426385 \h </w:instrText>
      </w:r>
      <w:r>
        <w:rPr>
          <w:noProof/>
        </w:rPr>
      </w:r>
      <w:r>
        <w:rPr>
          <w:noProof/>
        </w:rPr>
        <w:fldChar w:fldCharType="separate"/>
      </w:r>
      <w:r>
        <w:rPr>
          <w:noProof/>
        </w:rPr>
        <w:t>4</w:t>
      </w:r>
      <w:r>
        <w:rPr>
          <w:noProof/>
        </w:rPr>
        <w:fldChar w:fldCharType="end"/>
      </w:r>
    </w:p>
    <w:p w14:paraId="2AEB3652" w14:textId="77777777" w:rsidR="008A564F" w:rsidRPr="00C935B2" w:rsidRDefault="008A564F" w:rsidP="008A564F">
      <w:pPr>
        <w:pStyle w:val="TOC1"/>
        <w:rPr>
          <w:rFonts w:ascii="Calibri" w:eastAsia="Times New Roman" w:hAnsi="Calibri"/>
          <w:noProof/>
          <w:szCs w:val="22"/>
          <w:lang w:val="en-GB" w:eastAsia="en-GB"/>
        </w:rPr>
      </w:pPr>
      <w:r>
        <w:rPr>
          <w:noProof/>
        </w:rPr>
        <w:t>6. How we will decide on pay progression</w:t>
      </w:r>
      <w:r>
        <w:rPr>
          <w:noProof/>
        </w:rPr>
        <w:tab/>
      </w:r>
      <w:r>
        <w:rPr>
          <w:noProof/>
        </w:rPr>
        <w:fldChar w:fldCharType="begin"/>
      </w:r>
      <w:r>
        <w:rPr>
          <w:noProof/>
        </w:rPr>
        <w:instrText xml:space="preserve"> PAGEREF _Toc491426386 \h </w:instrText>
      </w:r>
      <w:r>
        <w:rPr>
          <w:noProof/>
        </w:rPr>
      </w:r>
      <w:r>
        <w:rPr>
          <w:noProof/>
        </w:rPr>
        <w:fldChar w:fldCharType="separate"/>
      </w:r>
      <w:r>
        <w:rPr>
          <w:noProof/>
        </w:rPr>
        <w:t>5</w:t>
      </w:r>
      <w:r>
        <w:rPr>
          <w:noProof/>
        </w:rPr>
        <w:fldChar w:fldCharType="end"/>
      </w:r>
    </w:p>
    <w:p w14:paraId="1C8FAE4D" w14:textId="77777777" w:rsidR="008A564F" w:rsidRPr="00C935B2" w:rsidRDefault="008A564F" w:rsidP="008A564F">
      <w:pPr>
        <w:pStyle w:val="TOC1"/>
        <w:rPr>
          <w:rFonts w:ascii="Calibri" w:eastAsia="Times New Roman" w:hAnsi="Calibri"/>
          <w:noProof/>
          <w:szCs w:val="22"/>
          <w:lang w:val="en-GB" w:eastAsia="en-GB"/>
        </w:rPr>
      </w:pPr>
      <w:r>
        <w:rPr>
          <w:noProof/>
        </w:rPr>
        <w:t>7. Moving to the Upper Pay Range</w:t>
      </w:r>
      <w:r>
        <w:rPr>
          <w:noProof/>
        </w:rPr>
        <w:tab/>
      </w:r>
      <w:r>
        <w:rPr>
          <w:noProof/>
        </w:rPr>
        <w:fldChar w:fldCharType="begin"/>
      </w:r>
      <w:r>
        <w:rPr>
          <w:noProof/>
        </w:rPr>
        <w:instrText xml:space="preserve"> PAGEREF _Toc491426387 \h </w:instrText>
      </w:r>
      <w:r>
        <w:rPr>
          <w:noProof/>
        </w:rPr>
      </w:r>
      <w:r>
        <w:rPr>
          <w:noProof/>
        </w:rPr>
        <w:fldChar w:fldCharType="separate"/>
      </w:r>
      <w:r>
        <w:rPr>
          <w:noProof/>
        </w:rPr>
        <w:t>6</w:t>
      </w:r>
      <w:r>
        <w:rPr>
          <w:noProof/>
        </w:rPr>
        <w:fldChar w:fldCharType="end"/>
      </w:r>
    </w:p>
    <w:p w14:paraId="4F1E7087" w14:textId="77777777" w:rsidR="008A564F" w:rsidRPr="00C935B2" w:rsidRDefault="008A564F" w:rsidP="008A564F">
      <w:pPr>
        <w:pStyle w:val="TOC1"/>
        <w:rPr>
          <w:rFonts w:ascii="Calibri" w:eastAsia="Times New Roman" w:hAnsi="Calibri"/>
          <w:noProof/>
          <w:szCs w:val="22"/>
          <w:lang w:val="en-GB" w:eastAsia="en-GB"/>
        </w:rPr>
      </w:pPr>
      <w:r>
        <w:rPr>
          <w:noProof/>
        </w:rPr>
        <w:t>8. Additional allowances</w:t>
      </w:r>
      <w:r>
        <w:rPr>
          <w:noProof/>
        </w:rPr>
        <w:tab/>
      </w:r>
      <w:r>
        <w:rPr>
          <w:noProof/>
        </w:rPr>
        <w:fldChar w:fldCharType="begin"/>
      </w:r>
      <w:r>
        <w:rPr>
          <w:noProof/>
        </w:rPr>
        <w:instrText xml:space="preserve"> PAGEREF _Toc491426388 \h </w:instrText>
      </w:r>
      <w:r>
        <w:rPr>
          <w:noProof/>
        </w:rPr>
      </w:r>
      <w:r>
        <w:rPr>
          <w:noProof/>
        </w:rPr>
        <w:fldChar w:fldCharType="separate"/>
      </w:r>
      <w:r>
        <w:rPr>
          <w:noProof/>
        </w:rPr>
        <w:t>7</w:t>
      </w:r>
      <w:r>
        <w:rPr>
          <w:noProof/>
        </w:rPr>
        <w:fldChar w:fldCharType="end"/>
      </w:r>
    </w:p>
    <w:p w14:paraId="5DCFB97E" w14:textId="77777777" w:rsidR="008A564F" w:rsidRPr="00C935B2" w:rsidRDefault="008A564F" w:rsidP="008A564F">
      <w:pPr>
        <w:pStyle w:val="TOC1"/>
        <w:rPr>
          <w:rFonts w:ascii="Calibri" w:eastAsia="Times New Roman" w:hAnsi="Calibri"/>
          <w:noProof/>
          <w:szCs w:val="22"/>
          <w:lang w:val="en-GB" w:eastAsia="en-GB"/>
        </w:rPr>
      </w:pPr>
      <w:r>
        <w:rPr>
          <w:noProof/>
        </w:rPr>
        <w:t>9. Leadership pay</w:t>
      </w:r>
      <w:r>
        <w:rPr>
          <w:noProof/>
        </w:rPr>
        <w:tab/>
      </w:r>
      <w:r>
        <w:rPr>
          <w:noProof/>
        </w:rPr>
        <w:fldChar w:fldCharType="begin"/>
      </w:r>
      <w:r>
        <w:rPr>
          <w:noProof/>
        </w:rPr>
        <w:instrText xml:space="preserve"> PAGEREF _Toc491426389 \h </w:instrText>
      </w:r>
      <w:r>
        <w:rPr>
          <w:noProof/>
        </w:rPr>
      </w:r>
      <w:r>
        <w:rPr>
          <w:noProof/>
        </w:rPr>
        <w:fldChar w:fldCharType="separate"/>
      </w:r>
      <w:r>
        <w:rPr>
          <w:noProof/>
        </w:rPr>
        <w:t>7</w:t>
      </w:r>
      <w:r>
        <w:rPr>
          <w:noProof/>
        </w:rPr>
        <w:fldChar w:fldCharType="end"/>
      </w:r>
    </w:p>
    <w:p w14:paraId="050BF76F" w14:textId="77777777" w:rsidR="008A564F" w:rsidRPr="00C935B2" w:rsidRDefault="008A564F" w:rsidP="008A564F">
      <w:pPr>
        <w:pStyle w:val="TOC1"/>
        <w:rPr>
          <w:rFonts w:ascii="Calibri" w:eastAsia="Times New Roman" w:hAnsi="Calibri"/>
          <w:noProof/>
          <w:szCs w:val="22"/>
          <w:lang w:val="en-GB" w:eastAsia="en-GB"/>
        </w:rPr>
      </w:pPr>
      <w:r>
        <w:rPr>
          <w:noProof/>
        </w:rPr>
        <w:t>10. Salary safeguarding arrangements</w:t>
      </w:r>
      <w:r>
        <w:rPr>
          <w:noProof/>
        </w:rPr>
        <w:tab/>
      </w:r>
      <w:r>
        <w:rPr>
          <w:noProof/>
        </w:rPr>
        <w:fldChar w:fldCharType="begin"/>
      </w:r>
      <w:r>
        <w:rPr>
          <w:noProof/>
        </w:rPr>
        <w:instrText xml:space="preserve"> PAGEREF _Toc491426390 \h </w:instrText>
      </w:r>
      <w:r>
        <w:rPr>
          <w:noProof/>
        </w:rPr>
      </w:r>
      <w:r>
        <w:rPr>
          <w:noProof/>
        </w:rPr>
        <w:fldChar w:fldCharType="separate"/>
      </w:r>
      <w:r>
        <w:rPr>
          <w:noProof/>
        </w:rPr>
        <w:t>7</w:t>
      </w:r>
      <w:r>
        <w:rPr>
          <w:noProof/>
        </w:rPr>
        <w:fldChar w:fldCharType="end"/>
      </w:r>
    </w:p>
    <w:p w14:paraId="37201CF0" w14:textId="77777777" w:rsidR="008A564F" w:rsidRPr="00C935B2" w:rsidRDefault="008A564F" w:rsidP="008A564F">
      <w:pPr>
        <w:pStyle w:val="TOC1"/>
        <w:rPr>
          <w:rFonts w:ascii="Calibri" w:eastAsia="Times New Roman" w:hAnsi="Calibri"/>
          <w:noProof/>
          <w:szCs w:val="22"/>
          <w:lang w:val="en-GB" w:eastAsia="en-GB"/>
        </w:rPr>
      </w:pPr>
      <w:r>
        <w:rPr>
          <w:noProof/>
        </w:rPr>
        <w:t>11. Information to be included in pay statements</w:t>
      </w:r>
      <w:r>
        <w:rPr>
          <w:noProof/>
        </w:rPr>
        <w:tab/>
      </w:r>
      <w:r>
        <w:rPr>
          <w:noProof/>
        </w:rPr>
        <w:fldChar w:fldCharType="begin"/>
      </w:r>
      <w:r>
        <w:rPr>
          <w:noProof/>
        </w:rPr>
        <w:instrText xml:space="preserve"> PAGEREF _Toc491426391 \h </w:instrText>
      </w:r>
      <w:r>
        <w:rPr>
          <w:noProof/>
        </w:rPr>
      </w:r>
      <w:r>
        <w:rPr>
          <w:noProof/>
        </w:rPr>
        <w:fldChar w:fldCharType="separate"/>
      </w:r>
      <w:r>
        <w:rPr>
          <w:noProof/>
        </w:rPr>
        <w:t>7</w:t>
      </w:r>
      <w:r>
        <w:rPr>
          <w:noProof/>
        </w:rPr>
        <w:fldChar w:fldCharType="end"/>
      </w:r>
    </w:p>
    <w:p w14:paraId="66030531" w14:textId="77777777" w:rsidR="008A564F" w:rsidRPr="00C935B2" w:rsidRDefault="008A564F" w:rsidP="008A564F">
      <w:pPr>
        <w:pStyle w:val="TOC1"/>
        <w:rPr>
          <w:rFonts w:ascii="Calibri" w:eastAsia="Times New Roman" w:hAnsi="Calibri"/>
          <w:noProof/>
          <w:szCs w:val="22"/>
          <w:lang w:val="en-GB" w:eastAsia="en-GB"/>
        </w:rPr>
      </w:pPr>
      <w:r>
        <w:rPr>
          <w:noProof/>
        </w:rPr>
        <w:t>12. Appealing a decision on pay progression</w:t>
      </w:r>
      <w:r>
        <w:rPr>
          <w:noProof/>
        </w:rPr>
        <w:tab/>
      </w:r>
      <w:r>
        <w:rPr>
          <w:noProof/>
        </w:rPr>
        <w:fldChar w:fldCharType="begin"/>
      </w:r>
      <w:r>
        <w:rPr>
          <w:noProof/>
        </w:rPr>
        <w:instrText xml:space="preserve"> PAGEREF _Toc491426392 \h </w:instrText>
      </w:r>
      <w:r>
        <w:rPr>
          <w:noProof/>
        </w:rPr>
      </w:r>
      <w:r>
        <w:rPr>
          <w:noProof/>
        </w:rPr>
        <w:fldChar w:fldCharType="separate"/>
      </w:r>
      <w:r>
        <w:rPr>
          <w:noProof/>
        </w:rPr>
        <w:t>8</w:t>
      </w:r>
      <w:r>
        <w:rPr>
          <w:noProof/>
        </w:rPr>
        <w:fldChar w:fldCharType="end"/>
      </w:r>
    </w:p>
    <w:p w14:paraId="1CEB191F" w14:textId="77777777" w:rsidR="008A564F" w:rsidRPr="00C935B2" w:rsidRDefault="008A564F" w:rsidP="008A564F">
      <w:pPr>
        <w:pStyle w:val="TOC1"/>
        <w:rPr>
          <w:rFonts w:ascii="Calibri" w:eastAsia="Times New Roman" w:hAnsi="Calibri"/>
          <w:noProof/>
          <w:szCs w:val="22"/>
          <w:lang w:val="en-GB" w:eastAsia="en-GB"/>
        </w:rPr>
      </w:pPr>
      <w:r>
        <w:rPr>
          <w:noProof/>
        </w:rPr>
        <w:t>13. Further sections</w:t>
      </w:r>
      <w:r>
        <w:rPr>
          <w:noProof/>
        </w:rPr>
        <w:tab/>
      </w:r>
      <w:r>
        <w:rPr>
          <w:noProof/>
        </w:rPr>
        <w:fldChar w:fldCharType="begin"/>
      </w:r>
      <w:r>
        <w:rPr>
          <w:noProof/>
        </w:rPr>
        <w:instrText xml:space="preserve"> PAGEREF _Toc491426393 \h </w:instrText>
      </w:r>
      <w:r>
        <w:rPr>
          <w:noProof/>
        </w:rPr>
      </w:r>
      <w:r>
        <w:rPr>
          <w:noProof/>
        </w:rPr>
        <w:fldChar w:fldCharType="separate"/>
      </w:r>
      <w:r>
        <w:rPr>
          <w:noProof/>
        </w:rPr>
        <w:t>9</w:t>
      </w:r>
      <w:r>
        <w:rPr>
          <w:noProof/>
        </w:rPr>
        <w:fldChar w:fldCharType="end"/>
      </w:r>
    </w:p>
    <w:p w14:paraId="022F7875" w14:textId="77777777" w:rsidR="008A564F" w:rsidRPr="00C935B2" w:rsidRDefault="008A564F" w:rsidP="008A564F">
      <w:pPr>
        <w:pStyle w:val="TOC1"/>
        <w:rPr>
          <w:rFonts w:ascii="Calibri" w:eastAsia="Times New Roman" w:hAnsi="Calibri"/>
          <w:noProof/>
          <w:szCs w:val="22"/>
          <w:lang w:val="en-GB" w:eastAsia="en-GB"/>
        </w:rPr>
      </w:pPr>
      <w:r>
        <w:rPr>
          <w:noProof/>
        </w:rPr>
        <w:t>14. Monitoring arrangements</w:t>
      </w:r>
      <w:r>
        <w:rPr>
          <w:noProof/>
        </w:rPr>
        <w:tab/>
      </w:r>
      <w:r>
        <w:rPr>
          <w:noProof/>
        </w:rPr>
        <w:fldChar w:fldCharType="begin"/>
      </w:r>
      <w:r>
        <w:rPr>
          <w:noProof/>
        </w:rPr>
        <w:instrText xml:space="preserve"> PAGEREF _Toc491426394 \h </w:instrText>
      </w:r>
      <w:r>
        <w:rPr>
          <w:noProof/>
        </w:rPr>
      </w:r>
      <w:r>
        <w:rPr>
          <w:noProof/>
        </w:rPr>
        <w:fldChar w:fldCharType="separate"/>
      </w:r>
      <w:r>
        <w:rPr>
          <w:noProof/>
        </w:rPr>
        <w:t>9</w:t>
      </w:r>
      <w:r>
        <w:rPr>
          <w:noProof/>
        </w:rPr>
        <w:fldChar w:fldCharType="end"/>
      </w:r>
    </w:p>
    <w:p w14:paraId="722CCAD6" w14:textId="77777777" w:rsidR="008A564F" w:rsidRPr="00C935B2" w:rsidRDefault="008A564F" w:rsidP="008A564F">
      <w:pPr>
        <w:pStyle w:val="TOC1"/>
        <w:rPr>
          <w:rFonts w:ascii="Calibri" w:eastAsia="Times New Roman" w:hAnsi="Calibri"/>
          <w:noProof/>
          <w:szCs w:val="22"/>
          <w:lang w:val="en-GB" w:eastAsia="en-GB"/>
        </w:rPr>
      </w:pPr>
      <w:r>
        <w:rPr>
          <w:noProof/>
        </w:rPr>
        <w:t>15. Links with other policies</w:t>
      </w:r>
      <w:r>
        <w:rPr>
          <w:noProof/>
        </w:rPr>
        <w:tab/>
      </w:r>
      <w:r>
        <w:rPr>
          <w:noProof/>
        </w:rPr>
        <w:fldChar w:fldCharType="begin"/>
      </w:r>
      <w:r>
        <w:rPr>
          <w:noProof/>
        </w:rPr>
        <w:instrText xml:space="preserve"> PAGEREF _Toc491426395 \h </w:instrText>
      </w:r>
      <w:r>
        <w:rPr>
          <w:noProof/>
        </w:rPr>
      </w:r>
      <w:r>
        <w:rPr>
          <w:noProof/>
        </w:rPr>
        <w:fldChar w:fldCharType="separate"/>
      </w:r>
      <w:r>
        <w:rPr>
          <w:noProof/>
        </w:rPr>
        <w:t>9</w:t>
      </w:r>
      <w:r>
        <w:rPr>
          <w:noProof/>
        </w:rPr>
        <w:fldChar w:fldCharType="end"/>
      </w:r>
    </w:p>
    <w:p w14:paraId="3B6E65A3" w14:textId="77777777" w:rsidR="008A564F" w:rsidRDefault="008A564F" w:rsidP="008A564F">
      <w:r>
        <w:fldChar w:fldCharType="end"/>
      </w:r>
    </w:p>
    <w:p w14:paraId="153DEC38" w14:textId="77777777" w:rsidR="008A564F" w:rsidRPr="002134B8" w:rsidRDefault="008A564F" w:rsidP="008A564F">
      <w:pPr>
        <w:rPr>
          <w:b/>
        </w:rPr>
      </w:pPr>
      <w:r w:rsidRPr="00042646">
        <w:rPr>
          <w:b/>
        </w:rPr>
        <w:t>…………………………………………………………………………………………………………………………….</w:t>
      </w:r>
    </w:p>
    <w:p w14:paraId="039BD732" w14:textId="77777777" w:rsidR="008A564F" w:rsidRPr="0011435C" w:rsidRDefault="008A564F" w:rsidP="008A564F">
      <w:pPr>
        <w:pStyle w:val="Heading1"/>
      </w:pPr>
      <w:bookmarkStart w:id="1" w:name="_Toc491426381"/>
      <w:r w:rsidRPr="0011435C">
        <w:t xml:space="preserve">1. </w:t>
      </w:r>
      <w:r>
        <w:t>Aims</w:t>
      </w:r>
      <w:bookmarkEnd w:id="1"/>
    </w:p>
    <w:p w14:paraId="0C9B4B25" w14:textId="77777777" w:rsidR="008A564F" w:rsidRDefault="008A564F" w:rsidP="008A564F">
      <w:pPr>
        <w:spacing w:after="0"/>
        <w:rPr>
          <w:rFonts w:cs="Arial"/>
          <w:szCs w:val="20"/>
        </w:rPr>
      </w:pPr>
      <w:r w:rsidRPr="00A34B96">
        <w:rPr>
          <w:rFonts w:cs="Arial"/>
          <w:szCs w:val="20"/>
        </w:rPr>
        <w:t>This policy aims to:</w:t>
      </w:r>
    </w:p>
    <w:p w14:paraId="3C9E83D6" w14:textId="77777777" w:rsidR="008A564F" w:rsidRDefault="008A564F" w:rsidP="008A564F">
      <w:pPr>
        <w:pStyle w:val="ListParagraph"/>
      </w:pPr>
      <w:r>
        <w:t xml:space="preserve">Clearly explain how we will determine teachers’ pay and clearly explain how decisions will be made  based on the teacher’s performance </w:t>
      </w:r>
    </w:p>
    <w:p w14:paraId="283487D4" w14:textId="77777777" w:rsidR="008A564F" w:rsidRDefault="008A564F" w:rsidP="008A564F">
      <w:pPr>
        <w:pStyle w:val="ListParagraph"/>
        <w:numPr>
          <w:ilvl w:val="0"/>
          <w:numId w:val="1"/>
        </w:numPr>
      </w:pPr>
      <w:r>
        <w:t xml:space="preserve">Set out a clear framework for pay and progression throughout the school </w:t>
      </w:r>
    </w:p>
    <w:p w14:paraId="024B96C1" w14:textId="77777777" w:rsidR="008A564F" w:rsidRDefault="008A564F" w:rsidP="008A564F">
      <w:pPr>
        <w:rPr>
          <w:rFonts w:cs="Arial"/>
          <w:szCs w:val="20"/>
        </w:rPr>
      </w:pPr>
      <w:r>
        <w:rPr>
          <w:rFonts w:cs="Arial"/>
          <w:szCs w:val="20"/>
        </w:rPr>
        <w:t xml:space="preserve">Adopting this policy will: </w:t>
      </w:r>
    </w:p>
    <w:p w14:paraId="28E30936" w14:textId="77777777" w:rsidR="008A564F" w:rsidRPr="0043036F" w:rsidRDefault="008A564F" w:rsidP="008A564F">
      <w:pPr>
        <w:pStyle w:val="ListParagraph"/>
      </w:pPr>
      <w:r w:rsidRPr="0043036F">
        <w:t>Support the recruitment and retention of high quality teachers</w:t>
      </w:r>
    </w:p>
    <w:p w14:paraId="28E51EB5" w14:textId="77777777" w:rsidR="008A564F" w:rsidRPr="0043036F" w:rsidRDefault="008A564F" w:rsidP="008A564F">
      <w:pPr>
        <w:pStyle w:val="ListParagraph"/>
      </w:pPr>
      <w:r w:rsidRPr="0043036F">
        <w:t xml:space="preserve">Enable us to </w:t>
      </w:r>
      <w:proofErr w:type="spellStart"/>
      <w:r w:rsidRPr="0043036F">
        <w:t>recognise</w:t>
      </w:r>
      <w:proofErr w:type="spellEnd"/>
      <w:r w:rsidRPr="0043036F">
        <w:t xml:space="preserve"> and reward teachers for their contribution to the school </w:t>
      </w:r>
    </w:p>
    <w:p w14:paraId="78D7D82C" w14:textId="77777777" w:rsidR="008A564F" w:rsidRPr="0043036F" w:rsidRDefault="008A564F" w:rsidP="008A564F">
      <w:pPr>
        <w:pStyle w:val="ListParagraph"/>
      </w:pPr>
      <w:r w:rsidRPr="0043036F">
        <w:t xml:space="preserve">Ensure that pay decisions are made in a fair and transparent way </w:t>
      </w:r>
    </w:p>
    <w:p w14:paraId="0B8D08B3" w14:textId="77777777" w:rsidR="008A564F" w:rsidRPr="00042646" w:rsidRDefault="008A564F" w:rsidP="008A564F">
      <w:r w:rsidRPr="00E84C70">
        <w:rPr>
          <w:rFonts w:cs="Arial"/>
          <w:szCs w:val="20"/>
        </w:rPr>
        <w:t xml:space="preserve">This </w:t>
      </w:r>
      <w:r>
        <w:rPr>
          <w:rFonts w:cs="Arial"/>
          <w:szCs w:val="20"/>
        </w:rPr>
        <w:t xml:space="preserve">policy has been consulted on by staff and relevant trade unions. </w:t>
      </w:r>
    </w:p>
    <w:p w14:paraId="3C93601E" w14:textId="77777777" w:rsidR="008A564F" w:rsidRDefault="008A564F" w:rsidP="008A564F">
      <w:pPr>
        <w:pStyle w:val="Heading1"/>
      </w:pPr>
      <w:bookmarkStart w:id="2" w:name="_Toc491426382"/>
      <w:r>
        <w:t>2. Legislation and guidance</w:t>
      </w:r>
      <w:bookmarkEnd w:id="2"/>
    </w:p>
    <w:p w14:paraId="7CDB355D" w14:textId="77777777" w:rsidR="008A564F" w:rsidRPr="00852DD2" w:rsidRDefault="008A564F" w:rsidP="008A564F">
      <w:pPr>
        <w:pStyle w:val="Caption1"/>
      </w:pPr>
      <w:r w:rsidRPr="00852DD2">
        <w:t xml:space="preserve">: </w:t>
      </w:r>
    </w:p>
    <w:p w14:paraId="009B2228" w14:textId="77777777" w:rsidR="008A564F" w:rsidRDefault="008A564F" w:rsidP="008A564F">
      <w:pPr>
        <w:spacing w:after="0"/>
        <w:rPr>
          <w:rFonts w:cs="Arial"/>
          <w:szCs w:val="20"/>
        </w:rPr>
      </w:pPr>
      <w:r>
        <w:rPr>
          <w:rFonts w:cs="Arial"/>
          <w:szCs w:val="20"/>
        </w:rPr>
        <w:t xml:space="preserve">This policy complies with the </w:t>
      </w:r>
      <w:hyperlink r:id="rId8" w:history="1">
        <w:r w:rsidRPr="000C46AF">
          <w:rPr>
            <w:rStyle w:val="Hyperlink"/>
            <w:rFonts w:cs="Arial"/>
            <w:szCs w:val="20"/>
          </w:rPr>
          <w:t>School Teachers Pay and Conditions Document (STPCD)</w:t>
        </w:r>
      </w:hyperlink>
      <w:r>
        <w:rPr>
          <w:rFonts w:cs="Arial"/>
          <w:szCs w:val="20"/>
        </w:rPr>
        <w:t xml:space="preserve">. It is based on the </w:t>
      </w:r>
      <w:hyperlink r:id="rId9" w:history="1">
        <w:r w:rsidRPr="000C46AF">
          <w:rPr>
            <w:rStyle w:val="Hyperlink"/>
            <w:rFonts w:cs="Arial"/>
            <w:szCs w:val="20"/>
          </w:rPr>
          <w:t>model pay policy</w:t>
        </w:r>
      </w:hyperlink>
      <w:r>
        <w:rPr>
          <w:rFonts w:cs="Arial"/>
          <w:szCs w:val="20"/>
        </w:rPr>
        <w:t xml:space="preserve"> created by the Department for Education (DfE). </w:t>
      </w:r>
    </w:p>
    <w:p w14:paraId="5A7A0543" w14:textId="77777777" w:rsidR="008A564F" w:rsidRDefault="008A564F" w:rsidP="008A564F">
      <w:pPr>
        <w:spacing w:after="0"/>
        <w:rPr>
          <w:rFonts w:cs="Arial"/>
          <w:szCs w:val="20"/>
        </w:rPr>
      </w:pPr>
      <w:r w:rsidRPr="00C5209D">
        <w:rPr>
          <w:rFonts w:cs="Arial"/>
          <w:szCs w:val="20"/>
        </w:rPr>
        <w:t>We will also refer to our local authority’s pay policy</w:t>
      </w:r>
      <w:r>
        <w:rPr>
          <w:rFonts w:cs="Arial"/>
          <w:szCs w:val="20"/>
        </w:rPr>
        <w:t>.</w:t>
      </w:r>
      <w:r w:rsidRPr="00F04BD4">
        <w:rPr>
          <w:rFonts w:cs="Arial"/>
          <w:szCs w:val="20"/>
        </w:rPr>
        <w:t>' terms and conditions when a maintained school becomes an academy.</w:t>
      </w:r>
    </w:p>
    <w:p w14:paraId="1628C60B" w14:textId="77777777" w:rsidR="008A564F" w:rsidRDefault="008A564F" w:rsidP="008A564F">
      <w:pPr>
        <w:spacing w:after="0"/>
        <w:rPr>
          <w:rFonts w:cs="Arial"/>
          <w:szCs w:val="20"/>
        </w:rPr>
      </w:pPr>
      <w:r>
        <w:rPr>
          <w:rFonts w:cs="Arial"/>
          <w:szCs w:val="20"/>
        </w:rPr>
        <w:lastRenderedPageBreak/>
        <w:t xml:space="preserve">As such, this policy complies with the </w:t>
      </w:r>
      <w:hyperlink r:id="rId10" w:history="1">
        <w:r w:rsidRPr="000C46AF">
          <w:rPr>
            <w:rStyle w:val="Hyperlink"/>
            <w:rFonts w:cs="Arial"/>
            <w:szCs w:val="20"/>
          </w:rPr>
          <w:t>STPCD</w:t>
        </w:r>
      </w:hyperlink>
      <w:r>
        <w:rPr>
          <w:rFonts w:cs="Arial"/>
          <w:szCs w:val="20"/>
        </w:rPr>
        <w:t xml:space="preserve">. It is also based on the </w:t>
      </w:r>
      <w:hyperlink r:id="rId11" w:history="1">
        <w:r w:rsidRPr="000C46AF">
          <w:rPr>
            <w:rStyle w:val="Hyperlink"/>
            <w:rFonts w:cs="Arial"/>
            <w:szCs w:val="20"/>
          </w:rPr>
          <w:t>model pay policy</w:t>
        </w:r>
      </w:hyperlink>
      <w:r>
        <w:rPr>
          <w:rFonts w:cs="Arial"/>
          <w:szCs w:val="20"/>
        </w:rPr>
        <w:t xml:space="preserve"> created by the Department for Education (DfE). </w:t>
      </w:r>
    </w:p>
    <w:p w14:paraId="354245C0" w14:textId="77777777" w:rsidR="008A564F" w:rsidRDefault="008A564F" w:rsidP="008A564F">
      <w:pPr>
        <w:spacing w:after="0"/>
        <w:rPr>
          <w:rFonts w:cs="Arial"/>
          <w:szCs w:val="20"/>
        </w:rPr>
      </w:pPr>
      <w:r>
        <w:rPr>
          <w:rFonts w:cs="Arial"/>
          <w:szCs w:val="20"/>
        </w:rPr>
        <w:t>When implementing our pay policy, we will abide by:</w:t>
      </w:r>
    </w:p>
    <w:p w14:paraId="4A7AA19A" w14:textId="77777777" w:rsidR="008A564F" w:rsidRDefault="008A564F" w:rsidP="008A564F">
      <w:pPr>
        <w:pStyle w:val="ListParagraph"/>
        <w:numPr>
          <w:ilvl w:val="0"/>
          <w:numId w:val="3"/>
        </w:numPr>
      </w:pPr>
      <w:r w:rsidRPr="00824B24">
        <w:t xml:space="preserve">The </w:t>
      </w:r>
      <w:hyperlink r:id="rId12" w:history="1">
        <w:r w:rsidRPr="00824B24">
          <w:rPr>
            <w:rStyle w:val="Hyperlink"/>
            <w:rFonts w:cs="Arial"/>
            <w:szCs w:val="20"/>
          </w:rPr>
          <w:t>Employment Relations Act 1999</w:t>
        </w:r>
      </w:hyperlink>
      <w:r w:rsidRPr="00824B24">
        <w:t xml:space="preserve">, </w:t>
      </w:r>
      <w:r>
        <w:t>which establishes a number of statutory work rights</w:t>
      </w:r>
    </w:p>
    <w:p w14:paraId="5D967C64" w14:textId="77777777" w:rsidR="008A564F" w:rsidRDefault="008A564F" w:rsidP="008A564F">
      <w:pPr>
        <w:pStyle w:val="ListParagraph"/>
        <w:numPr>
          <w:ilvl w:val="0"/>
          <w:numId w:val="3"/>
        </w:numPr>
        <w:rPr>
          <w:rFonts w:cs="Arial"/>
          <w:szCs w:val="20"/>
        </w:rPr>
      </w:pPr>
      <w:r w:rsidRPr="00824B24">
        <w:rPr>
          <w:rFonts w:cs="Arial"/>
          <w:szCs w:val="20"/>
        </w:rPr>
        <w:t xml:space="preserve">The </w:t>
      </w:r>
      <w:hyperlink r:id="rId13" w:history="1">
        <w:r w:rsidRPr="00824B24">
          <w:rPr>
            <w:rStyle w:val="Hyperlink"/>
            <w:rFonts w:cs="Arial"/>
            <w:szCs w:val="20"/>
          </w:rPr>
          <w:t xml:space="preserve">Part-time Workers (Prevention of Less </w:t>
        </w:r>
        <w:proofErr w:type="spellStart"/>
        <w:r w:rsidRPr="00824B24">
          <w:rPr>
            <w:rStyle w:val="Hyperlink"/>
            <w:rFonts w:cs="Arial"/>
            <w:szCs w:val="20"/>
          </w:rPr>
          <w:t>Favourable</w:t>
        </w:r>
        <w:proofErr w:type="spellEnd"/>
        <w:r w:rsidRPr="00824B24">
          <w:rPr>
            <w:rStyle w:val="Hyperlink"/>
            <w:rFonts w:cs="Arial"/>
            <w:szCs w:val="20"/>
          </w:rPr>
          <w:t xml:space="preserve"> Treatment) Regulations 2000</w:t>
        </w:r>
      </w:hyperlink>
      <w:r w:rsidRPr="00824B24">
        <w:rPr>
          <w:rFonts w:cs="Arial"/>
          <w:szCs w:val="20"/>
        </w:rPr>
        <w:t xml:space="preserve"> and the </w:t>
      </w:r>
      <w:hyperlink r:id="rId14" w:history="1">
        <w:r w:rsidRPr="00824B24">
          <w:rPr>
            <w:rStyle w:val="Hyperlink"/>
            <w:rFonts w:cs="Arial"/>
            <w:szCs w:val="20"/>
          </w:rPr>
          <w:t xml:space="preserve">Fixed-Term Employees (Prevention of Less </w:t>
        </w:r>
        <w:proofErr w:type="spellStart"/>
        <w:r w:rsidRPr="00824B24">
          <w:rPr>
            <w:rStyle w:val="Hyperlink"/>
            <w:rFonts w:cs="Arial"/>
            <w:szCs w:val="20"/>
          </w:rPr>
          <w:t>Favourable</w:t>
        </w:r>
        <w:proofErr w:type="spellEnd"/>
        <w:r w:rsidRPr="00824B24">
          <w:rPr>
            <w:rStyle w:val="Hyperlink"/>
            <w:rFonts w:cs="Arial"/>
            <w:szCs w:val="20"/>
          </w:rPr>
          <w:t xml:space="preserve"> Treatment) Regulations 2002</w:t>
        </w:r>
      </w:hyperlink>
      <w:r w:rsidRPr="00824B24">
        <w:rPr>
          <w:rFonts w:cs="Arial"/>
          <w:szCs w:val="20"/>
        </w:rPr>
        <w:t>, which require us to ensure part-time and fixed-term workers are treated fairly</w:t>
      </w:r>
    </w:p>
    <w:p w14:paraId="712EF44C" w14:textId="77777777" w:rsidR="008A564F" w:rsidRDefault="008A564F" w:rsidP="008A564F">
      <w:pPr>
        <w:pStyle w:val="ListParagraph"/>
        <w:numPr>
          <w:ilvl w:val="0"/>
          <w:numId w:val="3"/>
        </w:numPr>
      </w:pPr>
      <w:r w:rsidRPr="00824B24">
        <w:t xml:space="preserve">The </w:t>
      </w:r>
      <w:hyperlink r:id="rId15" w:history="1">
        <w:r w:rsidRPr="00824B24">
          <w:rPr>
            <w:rStyle w:val="Hyperlink"/>
            <w:rFonts w:cs="Arial"/>
            <w:szCs w:val="20"/>
          </w:rPr>
          <w:t>Equality Act 2010</w:t>
        </w:r>
      </w:hyperlink>
      <w:r>
        <w:t xml:space="preserve"> which requires schools to have due regard to the need to eliminate discrimination and advance equality of opportunity and foster good relations between people who share a protected characteristic and those who do not share it</w:t>
      </w:r>
    </w:p>
    <w:p w14:paraId="315EFDFF" w14:textId="77777777" w:rsidR="008A564F" w:rsidRPr="00FE5065" w:rsidRDefault="008A564F" w:rsidP="008A564F">
      <w:pPr>
        <w:pStyle w:val="ListParagraph"/>
        <w:numPr>
          <w:ilvl w:val="0"/>
          <w:numId w:val="3"/>
        </w:numPr>
        <w:rPr>
          <w:rFonts w:cs="Arial"/>
          <w:szCs w:val="20"/>
        </w:rPr>
      </w:pPr>
      <w:r>
        <w:rPr>
          <w:rFonts w:cs="Arial"/>
          <w:szCs w:val="20"/>
        </w:rPr>
        <w:t xml:space="preserve">The </w:t>
      </w:r>
      <w:hyperlink r:id="rId16" w:history="1">
        <w:r>
          <w:rPr>
            <w:rStyle w:val="Hyperlink"/>
            <w:rFonts w:cs="Arial"/>
            <w:szCs w:val="20"/>
          </w:rPr>
          <w:t>p</w:t>
        </w:r>
        <w:r w:rsidRPr="00824B24">
          <w:rPr>
            <w:rStyle w:val="Hyperlink"/>
            <w:rFonts w:cs="Arial"/>
            <w:szCs w:val="20"/>
          </w:rPr>
          <w:t>rinciples of public life</w:t>
        </w:r>
      </w:hyperlink>
      <w:r>
        <w:rPr>
          <w:rFonts w:cs="Arial"/>
          <w:szCs w:val="20"/>
        </w:rPr>
        <w:t xml:space="preserve"> which require those conducting the procedures to be objective, open and accountable</w:t>
      </w:r>
    </w:p>
    <w:p w14:paraId="2442F92E" w14:textId="77777777" w:rsidR="008A564F" w:rsidRPr="00FE5065" w:rsidRDefault="008A564F" w:rsidP="008A564F">
      <w:pPr>
        <w:spacing w:after="0"/>
        <w:rPr>
          <w:rFonts w:cs="Arial"/>
          <w:color w:val="0092CF"/>
          <w:szCs w:val="20"/>
          <w:u w:val="single"/>
        </w:rPr>
      </w:pPr>
      <w:r>
        <w:rPr>
          <w:rFonts w:cs="Arial"/>
          <w:szCs w:val="20"/>
        </w:rPr>
        <w:t xml:space="preserve">Our procedures for addressing grievances in relation to pay are based on the </w:t>
      </w:r>
      <w:proofErr w:type="spellStart"/>
      <w:r>
        <w:rPr>
          <w:rFonts w:cs="Arial"/>
          <w:szCs w:val="20"/>
        </w:rPr>
        <w:t>Acas</w:t>
      </w:r>
      <w:proofErr w:type="spellEnd"/>
      <w:r>
        <w:rPr>
          <w:rFonts w:cs="Arial"/>
          <w:szCs w:val="20"/>
        </w:rPr>
        <w:t xml:space="preserve"> grievance </w:t>
      </w:r>
      <w:hyperlink r:id="rId17" w:history="1">
        <w:r w:rsidRPr="00D74622">
          <w:rPr>
            <w:rStyle w:val="Hyperlink"/>
            <w:rFonts w:cs="Arial"/>
            <w:szCs w:val="20"/>
          </w:rPr>
          <w:t>code of practice</w:t>
        </w:r>
      </w:hyperlink>
      <w:r>
        <w:rPr>
          <w:rStyle w:val="Hyperlink"/>
          <w:rFonts w:cs="Arial"/>
          <w:szCs w:val="20"/>
        </w:rPr>
        <w:t xml:space="preserve"> a</w:t>
      </w:r>
      <w:r w:rsidRPr="00DD2428">
        <w:rPr>
          <w:rStyle w:val="Hyperlink"/>
          <w:rFonts w:cs="Arial"/>
          <w:szCs w:val="20"/>
        </w:rPr>
        <w:t xml:space="preserve">nd </w:t>
      </w:r>
      <w:r>
        <w:rPr>
          <w:rStyle w:val="Hyperlink"/>
          <w:rFonts w:cs="Arial"/>
          <w:szCs w:val="20"/>
        </w:rPr>
        <w:t xml:space="preserve">are set out in our staff grievance procedures. </w:t>
      </w:r>
    </w:p>
    <w:p w14:paraId="385E0F83" w14:textId="77777777" w:rsidR="008A564F" w:rsidRDefault="008A564F" w:rsidP="008A564F">
      <w:pPr>
        <w:pStyle w:val="Heading1"/>
      </w:pPr>
      <w:bookmarkStart w:id="3" w:name="_Toc491426383"/>
      <w:r>
        <w:t>3. Definitions</w:t>
      </w:r>
      <w:bookmarkEnd w:id="3"/>
    </w:p>
    <w:p w14:paraId="0B85D81B" w14:textId="77777777" w:rsidR="008A564F" w:rsidRPr="00B73E3E" w:rsidRDefault="008A564F" w:rsidP="008A564F">
      <w:pPr>
        <w:pStyle w:val="ListParagraph"/>
        <w:numPr>
          <w:ilvl w:val="0"/>
          <w:numId w:val="4"/>
        </w:numPr>
        <w:rPr>
          <w:b/>
        </w:rPr>
      </w:pPr>
      <w:r w:rsidRPr="00B73E3E">
        <w:rPr>
          <w:b/>
        </w:rPr>
        <w:t>Teacher</w:t>
      </w:r>
      <w:r>
        <w:rPr>
          <w:b/>
        </w:rPr>
        <w:t xml:space="preserve"> </w:t>
      </w:r>
      <w:r w:rsidRPr="00D07DAA">
        <w:t>includes</w:t>
      </w:r>
      <w:r>
        <w:t xml:space="preserve"> all staff qualified and appointed to teach at the school. This includes the leadership team and the headteacher, unless otherwise stated</w:t>
      </w:r>
    </w:p>
    <w:p w14:paraId="28C02A2C" w14:textId="77777777" w:rsidR="008A564F" w:rsidRPr="00B73E3E" w:rsidRDefault="008A564F" w:rsidP="008A564F">
      <w:pPr>
        <w:pStyle w:val="ListParagraph"/>
        <w:numPr>
          <w:ilvl w:val="0"/>
          <w:numId w:val="4"/>
        </w:numPr>
        <w:rPr>
          <w:b/>
        </w:rPr>
      </w:pPr>
      <w:r w:rsidRPr="00B73E3E">
        <w:rPr>
          <w:b/>
        </w:rPr>
        <w:t xml:space="preserve">Teaching and learning responsibility </w:t>
      </w:r>
      <w:r>
        <w:t xml:space="preserve">is a payment awarded </w:t>
      </w:r>
      <w:r w:rsidRPr="00D07DAA">
        <w:t>to a classroom teacher for undertaking a sustained additional responsibility, for the purpose of ensuring the continued delivery of high-quality teaching and learning and for which the teacher is made accountable</w:t>
      </w:r>
    </w:p>
    <w:p w14:paraId="6F1EB3D2" w14:textId="77777777" w:rsidR="008A564F" w:rsidRPr="00B73E3E" w:rsidRDefault="008A564F" w:rsidP="008A564F">
      <w:pPr>
        <w:pStyle w:val="ListParagraph"/>
        <w:numPr>
          <w:ilvl w:val="0"/>
          <w:numId w:val="4"/>
        </w:numPr>
        <w:rPr>
          <w:b/>
        </w:rPr>
      </w:pPr>
      <w:r>
        <w:rPr>
          <w:b/>
        </w:rPr>
        <w:t xml:space="preserve">Main and upper pay ranges </w:t>
      </w:r>
      <w:r w:rsidRPr="00D07DAA">
        <w:t>are</w:t>
      </w:r>
      <w:r>
        <w:t xml:space="preserve"> the ranges on which a classroom teacher’s salary will be set</w:t>
      </w:r>
    </w:p>
    <w:p w14:paraId="07E57754" w14:textId="77777777" w:rsidR="008A564F" w:rsidRPr="00FE5065" w:rsidRDefault="008A564F" w:rsidP="008A564F">
      <w:pPr>
        <w:pStyle w:val="ListParagraph"/>
        <w:numPr>
          <w:ilvl w:val="0"/>
          <w:numId w:val="4"/>
        </w:numPr>
        <w:rPr>
          <w:b/>
        </w:rPr>
      </w:pPr>
      <w:r w:rsidRPr="00B73E3E">
        <w:rPr>
          <w:b/>
        </w:rPr>
        <w:t>Leadership group</w:t>
      </w:r>
      <w:r>
        <w:rPr>
          <w:b/>
        </w:rPr>
        <w:t xml:space="preserve"> </w:t>
      </w:r>
      <w:r>
        <w:t>comprises the headteacher, deputy headteacher and assistant headteacher</w:t>
      </w:r>
    </w:p>
    <w:p w14:paraId="091F848C" w14:textId="77777777" w:rsidR="008A564F" w:rsidRDefault="008A564F" w:rsidP="008A564F">
      <w:pPr>
        <w:pStyle w:val="Heading1"/>
      </w:pPr>
      <w:bookmarkStart w:id="4" w:name="_Toc491426384"/>
      <w:r>
        <w:t>4. Roles and responsibilities</w:t>
      </w:r>
      <w:bookmarkEnd w:id="4"/>
    </w:p>
    <w:p w14:paraId="192C96B9" w14:textId="77777777" w:rsidR="008A564F" w:rsidRDefault="008A564F" w:rsidP="008A564F">
      <w:pPr>
        <w:spacing w:after="0"/>
        <w:rPr>
          <w:rFonts w:cs="Arial"/>
        </w:rPr>
      </w:pPr>
      <w:r>
        <w:rPr>
          <w:rFonts w:cs="Arial"/>
        </w:rPr>
        <w:t xml:space="preserve">Line managers will make recommendations on a teacher’s pay following the teacher’s appraisal.  </w:t>
      </w:r>
    </w:p>
    <w:p w14:paraId="5E9F02F5" w14:textId="77777777" w:rsidR="008A564F" w:rsidRDefault="008A564F" w:rsidP="008A564F">
      <w:pPr>
        <w:spacing w:after="0"/>
        <w:rPr>
          <w:rFonts w:cs="Arial"/>
        </w:rPr>
      </w:pPr>
      <w:r>
        <w:rPr>
          <w:rFonts w:cs="Arial"/>
        </w:rPr>
        <w:t xml:space="preserve">Final pay decisions are made by the governing board. </w:t>
      </w:r>
    </w:p>
    <w:p w14:paraId="15416359" w14:textId="77777777" w:rsidR="008A564F" w:rsidRDefault="008A564F" w:rsidP="008A564F">
      <w:pPr>
        <w:spacing w:after="0"/>
        <w:rPr>
          <w:rFonts w:cs="Arial"/>
        </w:rPr>
      </w:pPr>
      <w:r>
        <w:rPr>
          <w:rFonts w:cs="Arial"/>
        </w:rPr>
        <w:t xml:space="preserve">Responsibility for making pay decisions is delegated to the pay committee of the governing board and ratified by the full governing board. </w:t>
      </w:r>
    </w:p>
    <w:p w14:paraId="088D07DB" w14:textId="77777777" w:rsidR="008A564F" w:rsidRDefault="008A564F" w:rsidP="008A564F">
      <w:pPr>
        <w:pStyle w:val="Heading1"/>
      </w:pPr>
      <w:bookmarkStart w:id="5" w:name="_Toc491426385"/>
      <w:r>
        <w:t>5. How we will decide pay on appointment</w:t>
      </w:r>
      <w:bookmarkEnd w:id="5"/>
    </w:p>
    <w:p w14:paraId="25730AB7" w14:textId="77777777" w:rsidR="008A564F" w:rsidRPr="00852DD2" w:rsidRDefault="008A564F" w:rsidP="008A564F">
      <w:pPr>
        <w:pStyle w:val="Caption1"/>
      </w:pPr>
      <w:r w:rsidRPr="00852DD2">
        <w:t>:</w:t>
      </w:r>
    </w:p>
    <w:p w14:paraId="496EE420" w14:textId="77777777" w:rsidR="008A564F" w:rsidRPr="00D8468E" w:rsidRDefault="008A564F" w:rsidP="008A564F">
      <w:pPr>
        <w:spacing w:after="0"/>
        <w:rPr>
          <w:rFonts w:cs="Arial"/>
        </w:rPr>
      </w:pPr>
      <w:r>
        <w:rPr>
          <w:rFonts w:cs="Arial"/>
        </w:rPr>
        <w:t>The g</w:t>
      </w:r>
      <w:r w:rsidRPr="00D8468E">
        <w:rPr>
          <w:rFonts w:cs="Arial"/>
        </w:rPr>
        <w:t xml:space="preserve">overning </w:t>
      </w:r>
      <w:r>
        <w:rPr>
          <w:rFonts w:cs="Arial"/>
        </w:rPr>
        <w:t>board</w:t>
      </w:r>
      <w:r w:rsidRPr="00D8468E">
        <w:rPr>
          <w:rFonts w:cs="Arial"/>
        </w:rPr>
        <w:t xml:space="preserve"> will determine the pay range for a v</w:t>
      </w:r>
      <w:r>
        <w:rPr>
          <w:rFonts w:cs="Arial"/>
        </w:rPr>
        <w:t xml:space="preserve">acancy prior to advertising it. </w:t>
      </w:r>
      <w:r w:rsidRPr="00D8468E">
        <w:rPr>
          <w:rFonts w:cs="Arial"/>
        </w:rPr>
        <w:t>On appointment</w:t>
      </w:r>
      <w:r>
        <w:rPr>
          <w:rFonts w:cs="Arial"/>
        </w:rPr>
        <w:t>,</w:t>
      </w:r>
      <w:r w:rsidRPr="00D8468E">
        <w:rPr>
          <w:rFonts w:cs="Arial"/>
        </w:rPr>
        <w:t xml:space="preserve"> it will determine the starting salary within </w:t>
      </w:r>
      <w:r>
        <w:rPr>
          <w:rFonts w:cs="Arial"/>
        </w:rPr>
        <w:t xml:space="preserve">that range to be offered to the </w:t>
      </w:r>
      <w:r w:rsidRPr="00D8468E">
        <w:rPr>
          <w:rFonts w:cs="Arial"/>
        </w:rPr>
        <w:t>successful candidate.</w:t>
      </w:r>
    </w:p>
    <w:p w14:paraId="3E326AB4" w14:textId="77777777" w:rsidR="008A564F" w:rsidRDefault="008A564F" w:rsidP="008A564F">
      <w:pPr>
        <w:spacing w:after="0"/>
        <w:rPr>
          <w:rFonts w:cs="Arial"/>
        </w:rPr>
      </w:pPr>
      <w:r>
        <w:rPr>
          <w:rFonts w:cs="Arial"/>
        </w:rPr>
        <w:t>To determine the salary, the g</w:t>
      </w:r>
      <w:r w:rsidRPr="00D8468E">
        <w:rPr>
          <w:rFonts w:cs="Arial"/>
        </w:rPr>
        <w:t xml:space="preserve">overning </w:t>
      </w:r>
      <w:r>
        <w:rPr>
          <w:rFonts w:cs="Arial"/>
        </w:rPr>
        <w:t>board</w:t>
      </w:r>
      <w:r w:rsidRPr="00D8468E">
        <w:rPr>
          <w:rFonts w:cs="Arial"/>
        </w:rPr>
        <w:t xml:space="preserve"> </w:t>
      </w:r>
      <w:r>
        <w:rPr>
          <w:rFonts w:cs="Arial"/>
        </w:rPr>
        <w:t>will take into account a range of factors, including:</w:t>
      </w:r>
      <w:r>
        <w:rPr>
          <w:rFonts w:cs="Arial"/>
        </w:rPr>
        <w:br/>
      </w:r>
    </w:p>
    <w:p w14:paraId="2F345561" w14:textId="77777777" w:rsidR="008A564F" w:rsidRDefault="008A564F" w:rsidP="008A564F">
      <w:pPr>
        <w:pStyle w:val="ListParagraph"/>
        <w:numPr>
          <w:ilvl w:val="0"/>
          <w:numId w:val="5"/>
        </w:numPr>
      </w:pPr>
      <w:r>
        <w:t xml:space="preserve">The nature of the post </w:t>
      </w:r>
    </w:p>
    <w:p w14:paraId="05BC49DA" w14:textId="77777777" w:rsidR="008A564F" w:rsidRDefault="008A564F" w:rsidP="008A564F">
      <w:pPr>
        <w:pStyle w:val="ListParagraph"/>
        <w:numPr>
          <w:ilvl w:val="0"/>
          <w:numId w:val="5"/>
        </w:numPr>
      </w:pPr>
      <w:r>
        <w:t xml:space="preserve">The level of qualifications, skills and experience required </w:t>
      </w:r>
    </w:p>
    <w:p w14:paraId="2369DAFB" w14:textId="77777777" w:rsidR="008A564F" w:rsidRDefault="008A564F" w:rsidP="008A564F">
      <w:pPr>
        <w:pStyle w:val="ListParagraph"/>
        <w:numPr>
          <w:ilvl w:val="0"/>
          <w:numId w:val="5"/>
        </w:numPr>
      </w:pPr>
      <w:r>
        <w:t>Market conditions</w:t>
      </w:r>
    </w:p>
    <w:p w14:paraId="2F029E29" w14:textId="77777777" w:rsidR="008A564F" w:rsidRPr="00FE5065" w:rsidRDefault="008A564F" w:rsidP="008A564F">
      <w:pPr>
        <w:pStyle w:val="ListParagraph"/>
        <w:numPr>
          <w:ilvl w:val="0"/>
          <w:numId w:val="5"/>
        </w:numPr>
      </w:pPr>
      <w:r>
        <w:t>The wider school context</w:t>
      </w:r>
    </w:p>
    <w:p w14:paraId="127A4F9B" w14:textId="77777777" w:rsidR="008A564F" w:rsidRPr="00852DD2" w:rsidRDefault="008A564F" w:rsidP="008A564F">
      <w:pPr>
        <w:pStyle w:val="Caption1"/>
      </w:pPr>
      <w:r w:rsidRPr="00852DD2">
        <w:t>.</w:t>
      </w:r>
    </w:p>
    <w:p w14:paraId="794CB66F" w14:textId="77777777" w:rsidR="008A564F" w:rsidRDefault="008A564F" w:rsidP="008A564F">
      <w:pPr>
        <w:spacing w:after="0"/>
        <w:rPr>
          <w:rFonts w:cs="Arial"/>
        </w:rPr>
      </w:pPr>
      <w:r w:rsidRPr="00D8468E">
        <w:rPr>
          <w:rFonts w:cs="Arial"/>
        </w:rPr>
        <w:lastRenderedPageBreak/>
        <w:t>There is no assumption that a teacher will be paid at t</w:t>
      </w:r>
      <w:r>
        <w:rPr>
          <w:rFonts w:cs="Arial"/>
        </w:rPr>
        <w:t xml:space="preserve">he same rate as they were being </w:t>
      </w:r>
      <w:r w:rsidRPr="00D8468E">
        <w:rPr>
          <w:rFonts w:cs="Arial"/>
        </w:rPr>
        <w:t>paid in a previous school.</w:t>
      </w:r>
    </w:p>
    <w:p w14:paraId="0EFFCB52" w14:textId="77777777" w:rsidR="008A564F" w:rsidRDefault="008A564F" w:rsidP="008A564F">
      <w:pPr>
        <w:pStyle w:val="Heading1"/>
      </w:pPr>
      <w:bookmarkStart w:id="6" w:name="_Toc491426386"/>
      <w:r>
        <w:t>6. How we will decide on pay progression</w:t>
      </w:r>
      <w:bookmarkEnd w:id="6"/>
      <w:r>
        <w:t xml:space="preserve"> </w:t>
      </w:r>
    </w:p>
    <w:p w14:paraId="0627BA2C" w14:textId="77777777" w:rsidR="008A564F" w:rsidRPr="00FE5065" w:rsidRDefault="008A564F" w:rsidP="008A564F">
      <w:pPr>
        <w:spacing w:after="0"/>
        <w:rPr>
          <w:rFonts w:cs="Arial"/>
          <w:b/>
        </w:rPr>
      </w:pPr>
      <w:r>
        <w:rPr>
          <w:rFonts w:cs="Arial"/>
          <w:b/>
        </w:rPr>
        <w:t xml:space="preserve">6.1 </w:t>
      </w:r>
      <w:r w:rsidRPr="00FE5065">
        <w:rPr>
          <w:rFonts w:cs="Arial"/>
          <w:b/>
        </w:rPr>
        <w:t>Annual reviews</w:t>
      </w:r>
    </w:p>
    <w:p w14:paraId="3D1DD1FF" w14:textId="77777777" w:rsidR="008A564F" w:rsidRDefault="008A564F" w:rsidP="008A564F">
      <w:pPr>
        <w:spacing w:after="0"/>
        <w:rPr>
          <w:rFonts w:cs="Arial"/>
        </w:rPr>
      </w:pPr>
      <w:r>
        <w:rPr>
          <w:rFonts w:cs="Arial"/>
        </w:rPr>
        <w:t xml:space="preserve">The governing board will ensure that each teacher’s salary is reviewed annually between 1 September and 31 October, in alignment with our annual appraisal period. </w:t>
      </w:r>
    </w:p>
    <w:p w14:paraId="3C0DFD54" w14:textId="77777777" w:rsidR="008A564F" w:rsidRDefault="008A564F" w:rsidP="008A564F">
      <w:pPr>
        <w:spacing w:after="0"/>
        <w:rPr>
          <w:rFonts w:cs="Arial"/>
        </w:rPr>
      </w:pPr>
      <w:r>
        <w:rPr>
          <w:rFonts w:cs="Arial"/>
        </w:rPr>
        <w:t xml:space="preserve">Pay progression will be decided based on their performance during the previous appraisal period. The salary will be decided with reference to the appraisal reports and the pay recommendation they contain. </w:t>
      </w:r>
    </w:p>
    <w:p w14:paraId="7FBC433F" w14:textId="77777777" w:rsidR="008A564F" w:rsidRDefault="008A564F" w:rsidP="008A564F">
      <w:pPr>
        <w:spacing w:after="0"/>
        <w:rPr>
          <w:rFonts w:cs="Arial"/>
        </w:rPr>
      </w:pPr>
      <w:r>
        <w:rPr>
          <w:rFonts w:cs="Arial"/>
        </w:rPr>
        <w:t xml:space="preserve">When making decisions, the governing board will take into account: </w:t>
      </w:r>
    </w:p>
    <w:p w14:paraId="746CCFE1" w14:textId="77777777" w:rsidR="008A564F" w:rsidRPr="00340558" w:rsidRDefault="008A564F" w:rsidP="008A564F">
      <w:pPr>
        <w:pStyle w:val="ListParagraph"/>
        <w:numPr>
          <w:ilvl w:val="0"/>
          <w:numId w:val="5"/>
        </w:numPr>
      </w:pPr>
      <w:r>
        <w:t xml:space="preserve">The performance of the teacher over the appraisal period, using evidence of their performance against their objectives and the Teachers’ Standards collected throughout the appraisal period. Our appraisal arrangements, including what evidence will support judgements, are set out in full in our appraisal policy </w:t>
      </w:r>
    </w:p>
    <w:p w14:paraId="0D6FDEA8" w14:textId="77777777" w:rsidR="008A564F" w:rsidRDefault="008A564F" w:rsidP="008A564F">
      <w:pPr>
        <w:pStyle w:val="ListParagraph"/>
        <w:numPr>
          <w:ilvl w:val="0"/>
          <w:numId w:val="5"/>
        </w:numPr>
      </w:pPr>
      <w:r>
        <w:t xml:space="preserve">The pay recommendation made in the teacher’s appraisal report </w:t>
      </w:r>
    </w:p>
    <w:p w14:paraId="17BD8683" w14:textId="77777777" w:rsidR="008A564F" w:rsidRDefault="008A564F" w:rsidP="008A564F">
      <w:pPr>
        <w:pStyle w:val="ListParagraph"/>
        <w:numPr>
          <w:ilvl w:val="0"/>
          <w:numId w:val="5"/>
        </w:numPr>
      </w:pPr>
      <w:r>
        <w:t>Advice from the senior leadership team</w:t>
      </w:r>
    </w:p>
    <w:p w14:paraId="5CDDFAE6" w14:textId="77777777" w:rsidR="008A564F" w:rsidRDefault="008A564F" w:rsidP="008A564F">
      <w:pPr>
        <w:pStyle w:val="ListParagraph"/>
        <w:numPr>
          <w:ilvl w:val="0"/>
          <w:numId w:val="5"/>
        </w:numPr>
      </w:pPr>
      <w:r>
        <w:t xml:space="preserve">Any changes to the responsibilities and expectations of the teacher’s role </w:t>
      </w:r>
    </w:p>
    <w:p w14:paraId="4AEF22F2" w14:textId="77777777" w:rsidR="008A564F" w:rsidRPr="00FE5065" w:rsidRDefault="008A564F" w:rsidP="008A564F">
      <w:pPr>
        <w:pStyle w:val="ListParagraph"/>
        <w:numPr>
          <w:ilvl w:val="0"/>
          <w:numId w:val="5"/>
        </w:numPr>
      </w:pPr>
      <w:r>
        <w:t xml:space="preserve">The wider school context, including the budget </w:t>
      </w:r>
    </w:p>
    <w:p w14:paraId="531C6C23" w14:textId="77777777" w:rsidR="008A564F" w:rsidRDefault="008A564F" w:rsidP="008A564F">
      <w:pPr>
        <w:spacing w:after="0"/>
        <w:rPr>
          <w:rFonts w:cs="Arial"/>
        </w:rPr>
      </w:pPr>
      <w:r>
        <w:rPr>
          <w:rFonts w:cs="Arial"/>
        </w:rPr>
        <w:t>When deciding pay progression based on performance, we will:</w:t>
      </w:r>
    </w:p>
    <w:p w14:paraId="046D6CD6" w14:textId="77777777" w:rsidR="008A564F" w:rsidRPr="00751FA4" w:rsidRDefault="008A564F" w:rsidP="008A564F">
      <w:pPr>
        <w:pStyle w:val="Caption1"/>
        <w:rPr>
          <w:color w:val="auto"/>
        </w:rPr>
      </w:pPr>
      <w:r w:rsidRPr="00751FA4">
        <w:rPr>
          <w:color w:val="auto"/>
        </w:rPr>
        <w:t xml:space="preserve">The DfE’s model pay policy, linked to in section 2, explains: </w:t>
      </w:r>
    </w:p>
    <w:p w14:paraId="74F4F35A" w14:textId="77777777" w:rsidR="008A564F" w:rsidRPr="00751FA4" w:rsidRDefault="008A564F" w:rsidP="008A564F">
      <w:pPr>
        <w:pStyle w:val="Caption1"/>
        <w:rPr>
          <w:color w:val="auto"/>
        </w:rPr>
      </w:pPr>
      <w:r w:rsidRPr="00751FA4">
        <w:rPr>
          <w:color w:val="auto"/>
        </w:rPr>
        <w:t xml:space="preserve">“In developing your policy on linking progression pay to performance, you should consider: </w:t>
      </w:r>
    </w:p>
    <w:p w14:paraId="7428CAF0" w14:textId="77777777" w:rsidR="008A564F" w:rsidRPr="00751FA4" w:rsidRDefault="008A564F" w:rsidP="008A564F">
      <w:pPr>
        <w:pStyle w:val="Caption1"/>
        <w:numPr>
          <w:ilvl w:val="0"/>
          <w:numId w:val="18"/>
        </w:numPr>
        <w:rPr>
          <w:color w:val="auto"/>
        </w:rPr>
      </w:pPr>
      <w:r w:rsidRPr="00751FA4">
        <w:rPr>
          <w:color w:val="auto"/>
        </w:rPr>
        <w:t xml:space="preserve">Whether the measures of performance will be absolute or relative or a combination of both </w:t>
      </w:r>
    </w:p>
    <w:p w14:paraId="5BFE5425" w14:textId="77777777" w:rsidR="008A564F" w:rsidRPr="00751FA4" w:rsidRDefault="008A564F" w:rsidP="008A564F">
      <w:pPr>
        <w:pStyle w:val="Caption1"/>
        <w:numPr>
          <w:ilvl w:val="0"/>
          <w:numId w:val="18"/>
        </w:numPr>
        <w:rPr>
          <w:color w:val="auto"/>
        </w:rPr>
      </w:pPr>
      <w:r w:rsidRPr="00751FA4">
        <w:rPr>
          <w:color w:val="auto"/>
        </w:rPr>
        <w:t>The levels of performance that will be required for progression to be awarded</w:t>
      </w:r>
    </w:p>
    <w:p w14:paraId="46EEEC21" w14:textId="77777777" w:rsidR="008A564F" w:rsidRPr="00751FA4" w:rsidRDefault="008A564F" w:rsidP="008A564F">
      <w:pPr>
        <w:pStyle w:val="Caption1"/>
        <w:numPr>
          <w:ilvl w:val="0"/>
          <w:numId w:val="18"/>
        </w:numPr>
        <w:rPr>
          <w:color w:val="auto"/>
        </w:rPr>
      </w:pPr>
      <w:r w:rsidRPr="00751FA4">
        <w:rPr>
          <w:color w:val="auto"/>
        </w:rPr>
        <w:t xml:space="preserve">How progression will be differentiated – so that the very highest performers can progress faster.” </w:t>
      </w:r>
    </w:p>
    <w:p w14:paraId="56E57BEA" w14:textId="77777777" w:rsidR="008A564F" w:rsidRPr="00751FA4" w:rsidRDefault="008A564F" w:rsidP="008A564F">
      <w:pPr>
        <w:pStyle w:val="Caption1"/>
        <w:rPr>
          <w:color w:val="auto"/>
        </w:rPr>
      </w:pPr>
      <w:r w:rsidRPr="00751FA4">
        <w:rPr>
          <w:color w:val="auto"/>
        </w:rPr>
        <w:t xml:space="preserve">The policy explains that you could use absolute performance measures, relative performance measures, a combination of both, or your own method. </w:t>
      </w:r>
    </w:p>
    <w:p w14:paraId="3CCF9640" w14:textId="77777777" w:rsidR="008A564F" w:rsidRDefault="008A564F" w:rsidP="008A564F">
      <w:pPr>
        <w:spacing w:after="0"/>
        <w:rPr>
          <w:rFonts w:cs="Arial"/>
        </w:rPr>
      </w:pPr>
      <w:r>
        <w:rPr>
          <w:rFonts w:cs="Arial"/>
        </w:rPr>
        <w:t xml:space="preserve">The decision can be ‘no pay progression’ without triggering the capability policy. </w:t>
      </w:r>
    </w:p>
    <w:p w14:paraId="02C3F1B7" w14:textId="77777777" w:rsidR="008A564F" w:rsidRPr="00FE5065" w:rsidRDefault="008A564F" w:rsidP="008A564F">
      <w:pPr>
        <w:spacing w:after="0"/>
        <w:rPr>
          <w:rFonts w:cs="Arial"/>
          <w:b/>
        </w:rPr>
      </w:pPr>
      <w:r>
        <w:rPr>
          <w:rFonts w:cs="Arial"/>
          <w:b/>
        </w:rPr>
        <w:t xml:space="preserve">6.2 </w:t>
      </w:r>
      <w:r w:rsidRPr="00FE5065">
        <w:rPr>
          <w:rFonts w:cs="Arial"/>
          <w:b/>
        </w:rPr>
        <w:t>Mid-year reviews</w:t>
      </w:r>
    </w:p>
    <w:p w14:paraId="321CB281" w14:textId="77777777" w:rsidR="008A564F" w:rsidRDefault="008A564F" w:rsidP="008A564F">
      <w:pPr>
        <w:spacing w:after="0"/>
        <w:rPr>
          <w:rFonts w:cs="Arial"/>
        </w:rPr>
      </w:pPr>
      <w:r w:rsidRPr="00F95108">
        <w:rPr>
          <w:rFonts w:cs="Arial"/>
        </w:rPr>
        <w:t xml:space="preserve">Reviews may take place at other times of the year </w:t>
      </w:r>
      <w:r>
        <w:rPr>
          <w:rFonts w:cs="Arial"/>
        </w:rPr>
        <w:t xml:space="preserve">if an individual’s role or job description changes. Changes include going part-time and taking on or removing additional roles and responsibilities. </w:t>
      </w:r>
    </w:p>
    <w:p w14:paraId="11F8BB1C" w14:textId="77777777" w:rsidR="008A564F" w:rsidRDefault="008A564F" w:rsidP="008A564F">
      <w:pPr>
        <w:spacing w:after="0"/>
        <w:rPr>
          <w:rFonts w:cs="Arial"/>
        </w:rPr>
      </w:pPr>
      <w:r w:rsidRPr="00F95108">
        <w:rPr>
          <w:rFonts w:cs="Arial"/>
        </w:rPr>
        <w:t xml:space="preserve"> A written statement will be given after </w:t>
      </w:r>
      <w:r>
        <w:rPr>
          <w:rFonts w:cs="Arial"/>
        </w:rPr>
        <w:t xml:space="preserve">any review and </w:t>
      </w:r>
      <w:r w:rsidRPr="00F95108">
        <w:rPr>
          <w:rFonts w:cs="Arial"/>
        </w:rPr>
        <w:t xml:space="preserve">will give information about </w:t>
      </w:r>
      <w:r>
        <w:rPr>
          <w:rFonts w:cs="Arial"/>
        </w:rPr>
        <w:t xml:space="preserve">why it was made. </w:t>
      </w:r>
    </w:p>
    <w:p w14:paraId="0E2EED27" w14:textId="77777777" w:rsidR="008A564F" w:rsidRDefault="008A564F" w:rsidP="008A564F">
      <w:pPr>
        <w:pStyle w:val="Heading1"/>
      </w:pPr>
      <w:bookmarkStart w:id="7" w:name="_Toc491426387"/>
      <w:r>
        <w:t>7. Moving to the Upper Pay Range</w:t>
      </w:r>
      <w:bookmarkEnd w:id="7"/>
      <w:r>
        <w:t xml:space="preserve"> </w:t>
      </w:r>
    </w:p>
    <w:p w14:paraId="394CABB0" w14:textId="77777777" w:rsidR="008A564F" w:rsidRPr="00FE5065" w:rsidRDefault="008A564F" w:rsidP="008A564F">
      <w:pPr>
        <w:pStyle w:val="Caption1"/>
      </w:pPr>
    </w:p>
    <w:p w14:paraId="4D635375" w14:textId="77777777" w:rsidR="008A564F" w:rsidRPr="00FE5065" w:rsidRDefault="008A564F" w:rsidP="008A564F">
      <w:pPr>
        <w:spacing w:after="0"/>
        <w:rPr>
          <w:rFonts w:cs="Arial"/>
          <w:b/>
        </w:rPr>
      </w:pPr>
      <w:r>
        <w:rPr>
          <w:rFonts w:cs="Arial"/>
          <w:b/>
        </w:rPr>
        <w:t xml:space="preserve">7.1 </w:t>
      </w:r>
      <w:r w:rsidRPr="00FE5065">
        <w:rPr>
          <w:rFonts w:cs="Arial"/>
          <w:b/>
        </w:rPr>
        <w:t xml:space="preserve">Making applications </w:t>
      </w:r>
    </w:p>
    <w:p w14:paraId="76858525" w14:textId="77777777" w:rsidR="008A564F" w:rsidRDefault="008A564F" w:rsidP="008A564F">
      <w:pPr>
        <w:spacing w:after="0"/>
        <w:rPr>
          <w:rFonts w:cs="Arial"/>
        </w:rPr>
      </w:pPr>
      <w:r>
        <w:rPr>
          <w:rFonts w:cs="Arial"/>
        </w:rPr>
        <w:t xml:space="preserve">All qualified teachers can apply to be paid on the upper pay range, and any application will be assessed in line with this policy. </w:t>
      </w:r>
    </w:p>
    <w:p w14:paraId="7B51CDE1" w14:textId="77777777" w:rsidR="008A564F" w:rsidRPr="00FE5065" w:rsidRDefault="008A564F" w:rsidP="008A564F">
      <w:pPr>
        <w:spacing w:after="0"/>
        <w:rPr>
          <w:rFonts w:cs="Arial"/>
          <w:i/>
          <w:color w:val="ED7D31"/>
        </w:rPr>
      </w:pPr>
      <w:r>
        <w:rPr>
          <w:rFonts w:cs="Arial"/>
        </w:rPr>
        <w:t>Applications can be made at least once a year. Applications can be submitted by 31</w:t>
      </w:r>
      <w:r w:rsidRPr="00751FA4">
        <w:rPr>
          <w:rFonts w:cs="Arial"/>
          <w:vertAlign w:val="superscript"/>
        </w:rPr>
        <w:t>st</w:t>
      </w:r>
      <w:r>
        <w:rPr>
          <w:rFonts w:cs="Arial"/>
        </w:rPr>
        <w:t xml:space="preserve"> </w:t>
      </w:r>
      <w:proofErr w:type="gramStart"/>
      <w:r>
        <w:rPr>
          <w:rFonts w:cs="Arial"/>
        </w:rPr>
        <w:t>October.</w:t>
      </w:r>
      <w:r w:rsidRPr="00FE5065">
        <w:rPr>
          <w:rFonts w:cs="Arial"/>
          <w:i/>
          <w:color w:val="F15F22"/>
        </w:rPr>
        <w:t>.</w:t>
      </w:r>
      <w:proofErr w:type="gramEnd"/>
    </w:p>
    <w:p w14:paraId="0C543118" w14:textId="77777777" w:rsidR="008A564F" w:rsidRDefault="008A564F" w:rsidP="008A564F">
      <w:pPr>
        <w:spacing w:after="0"/>
        <w:rPr>
          <w:rFonts w:cs="Arial"/>
        </w:rPr>
      </w:pPr>
      <w:r>
        <w:rPr>
          <w:rFonts w:cs="Arial"/>
        </w:rPr>
        <w:t>Applications will be submitted in writing to the headteacher</w:t>
      </w:r>
      <w:r w:rsidRPr="00FE5065">
        <w:rPr>
          <w:rFonts w:cs="Arial"/>
          <w:i/>
          <w:color w:val="ED7D31"/>
        </w:rPr>
        <w:t xml:space="preserve"> </w:t>
      </w:r>
      <w:r>
        <w:rPr>
          <w:rFonts w:cs="Arial"/>
        </w:rPr>
        <w:t xml:space="preserve">and will be reviewed by line managers and a senior leader. All applications will be treated fairly and impartially. </w:t>
      </w:r>
    </w:p>
    <w:p w14:paraId="14EC1F0B" w14:textId="77777777" w:rsidR="008A564F" w:rsidRDefault="008A564F" w:rsidP="008A564F">
      <w:pPr>
        <w:spacing w:after="0"/>
        <w:rPr>
          <w:rFonts w:cs="Arial"/>
        </w:rPr>
      </w:pPr>
      <w:r>
        <w:rPr>
          <w:rFonts w:cs="Arial"/>
        </w:rPr>
        <w:t>When submitting an application, please include:</w:t>
      </w:r>
    </w:p>
    <w:p w14:paraId="416F9AC0" w14:textId="77777777" w:rsidR="008A564F" w:rsidRDefault="008A564F" w:rsidP="008A564F">
      <w:pPr>
        <w:pStyle w:val="ListParagraph"/>
        <w:numPr>
          <w:ilvl w:val="0"/>
          <w:numId w:val="6"/>
        </w:numPr>
      </w:pPr>
      <w:r>
        <w:lastRenderedPageBreak/>
        <w:t xml:space="preserve">Results of appraisals under the 2012 regulations, including recommendations on pay </w:t>
      </w:r>
    </w:p>
    <w:p w14:paraId="7190829A" w14:textId="77777777" w:rsidR="008A564F" w:rsidRPr="00236672" w:rsidRDefault="008A564F" w:rsidP="008A564F">
      <w:pPr>
        <w:pStyle w:val="ListParagraph"/>
        <w:numPr>
          <w:ilvl w:val="0"/>
          <w:numId w:val="6"/>
        </w:numPr>
      </w:pPr>
      <w:r>
        <w:t xml:space="preserve">Where this information is not applicable or available, a statement and summary of evidence to demonstrate that you have met the assessment criteria </w:t>
      </w:r>
    </w:p>
    <w:p w14:paraId="4FEF3964" w14:textId="77777777" w:rsidR="008A564F" w:rsidRPr="00FE5065" w:rsidRDefault="008A564F" w:rsidP="008A564F">
      <w:pPr>
        <w:spacing w:after="0"/>
        <w:rPr>
          <w:rFonts w:cs="Arial"/>
          <w:b/>
        </w:rPr>
      </w:pPr>
      <w:r>
        <w:rPr>
          <w:rFonts w:cs="Arial"/>
          <w:b/>
        </w:rPr>
        <w:t xml:space="preserve">7.2 </w:t>
      </w:r>
      <w:r w:rsidRPr="00FE5065">
        <w:rPr>
          <w:rFonts w:cs="Arial"/>
          <w:b/>
        </w:rPr>
        <w:t>Assessment</w:t>
      </w:r>
    </w:p>
    <w:p w14:paraId="27799D4D" w14:textId="77777777" w:rsidR="008A564F" w:rsidRDefault="008A564F" w:rsidP="008A564F">
      <w:pPr>
        <w:spacing w:after="0"/>
        <w:rPr>
          <w:rFonts w:cs="Arial"/>
        </w:rPr>
      </w:pPr>
      <w:r>
        <w:rPr>
          <w:rFonts w:cs="Arial"/>
        </w:rPr>
        <w:t xml:space="preserve">In order to be eligible to be paid on the upper pay range, the governing board must be satisfied that: </w:t>
      </w:r>
    </w:p>
    <w:p w14:paraId="7F9462FE" w14:textId="77777777" w:rsidR="008A564F" w:rsidRDefault="008A564F" w:rsidP="008A564F">
      <w:pPr>
        <w:pStyle w:val="ListParagraph"/>
        <w:numPr>
          <w:ilvl w:val="0"/>
          <w:numId w:val="7"/>
        </w:numPr>
      </w:pPr>
      <w:r>
        <w:t>T</w:t>
      </w:r>
      <w:r w:rsidRPr="00163114">
        <w:t xml:space="preserve">he teacher is highly competent in all elements of the </w:t>
      </w:r>
      <w:r>
        <w:t>Teachers’</w:t>
      </w:r>
      <w:r w:rsidRPr="00163114">
        <w:t xml:space="preserve"> </w:t>
      </w:r>
      <w:r>
        <w:t>S</w:t>
      </w:r>
      <w:r w:rsidRPr="00163114">
        <w:t>tandards; and</w:t>
      </w:r>
    </w:p>
    <w:p w14:paraId="7AA6AA2C" w14:textId="77777777" w:rsidR="008A564F" w:rsidRPr="00FE5065" w:rsidRDefault="008A564F" w:rsidP="008A564F">
      <w:pPr>
        <w:pStyle w:val="ListParagraph"/>
        <w:numPr>
          <w:ilvl w:val="0"/>
          <w:numId w:val="7"/>
        </w:numPr>
      </w:pPr>
      <w:r>
        <w:t>T</w:t>
      </w:r>
      <w:r w:rsidRPr="00163114">
        <w:t xml:space="preserve">he teacher’s achievements and </w:t>
      </w:r>
      <w:r>
        <w:t>contributions are substantial and sustained</w:t>
      </w:r>
    </w:p>
    <w:p w14:paraId="66DB5C95" w14:textId="77777777" w:rsidR="008A564F" w:rsidRDefault="008A564F" w:rsidP="008A564F">
      <w:pPr>
        <w:spacing w:after="0"/>
        <w:rPr>
          <w:rFonts w:cs="Arial"/>
        </w:rPr>
      </w:pPr>
      <w:r>
        <w:rPr>
          <w:rFonts w:cs="Arial"/>
        </w:rPr>
        <w:t>For the purpose of this policy:</w:t>
      </w:r>
    </w:p>
    <w:p w14:paraId="087BB10D" w14:textId="77777777" w:rsidR="008A564F" w:rsidRDefault="008A564F" w:rsidP="008A564F">
      <w:pPr>
        <w:pStyle w:val="ListParagraph"/>
        <w:numPr>
          <w:ilvl w:val="0"/>
          <w:numId w:val="8"/>
        </w:numPr>
      </w:pPr>
      <w:r w:rsidRPr="009339F8">
        <w:rPr>
          <w:b/>
        </w:rPr>
        <w:t>‘Highly competent’</w:t>
      </w:r>
      <w:r>
        <w:t xml:space="preserve"> means:</w:t>
      </w:r>
      <w:r>
        <w:br/>
        <w:t>P</w:t>
      </w:r>
      <w:r w:rsidRPr="00163114">
        <w:t>erformance which is good enough to provide coaching</w:t>
      </w:r>
      <w:r>
        <w:t>,</w:t>
      </w:r>
      <w:r w:rsidRPr="00163114">
        <w:t xml:space="preserve"> mentoring</w:t>
      </w:r>
      <w:r>
        <w:t xml:space="preserve"> and advice</w:t>
      </w:r>
      <w:r w:rsidRPr="00163114">
        <w:t xml:space="preserve"> to other teachers, and demonstrate to them effective teaching practice and how to make a wider contribution to the work of the school, in order to help them meet the relevant standards and</w:t>
      </w:r>
      <w:r>
        <w:t xml:space="preserve"> develop their teaching practice</w:t>
      </w:r>
    </w:p>
    <w:p w14:paraId="0C43E8F0" w14:textId="77777777" w:rsidR="008A564F" w:rsidRDefault="008A564F" w:rsidP="008A564F">
      <w:pPr>
        <w:pStyle w:val="ListParagraph"/>
        <w:numPr>
          <w:ilvl w:val="0"/>
          <w:numId w:val="8"/>
        </w:numPr>
      </w:pPr>
      <w:r w:rsidRPr="009339F8">
        <w:rPr>
          <w:b/>
        </w:rPr>
        <w:t>‘Substantial’</w:t>
      </w:r>
      <w:r>
        <w:t xml:space="preserve"> means: </w:t>
      </w:r>
      <w:r>
        <w:br/>
        <w:t>The teacher’s c</w:t>
      </w:r>
      <w:r w:rsidRPr="00163114">
        <w:t>ontributions are of real importance, validity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w:t>
      </w:r>
    </w:p>
    <w:p w14:paraId="244BEEEB" w14:textId="77777777" w:rsidR="008A564F" w:rsidRPr="00FE5065" w:rsidRDefault="008A564F" w:rsidP="008A564F">
      <w:pPr>
        <w:pStyle w:val="ListParagraph"/>
        <w:numPr>
          <w:ilvl w:val="0"/>
          <w:numId w:val="8"/>
        </w:numPr>
      </w:pPr>
      <w:r w:rsidRPr="009339F8">
        <w:rPr>
          <w:b/>
        </w:rPr>
        <w:t>‘Sustained’</w:t>
      </w:r>
      <w:r>
        <w:t xml:space="preserve"> means: </w:t>
      </w:r>
      <w:r>
        <w:br/>
        <w:t xml:space="preserve">The teacher’s contributions have been maintained over a long period </w:t>
      </w:r>
    </w:p>
    <w:p w14:paraId="10197BE6" w14:textId="77777777" w:rsidR="008A564F" w:rsidRPr="00236672" w:rsidRDefault="008A564F" w:rsidP="008A564F">
      <w:pPr>
        <w:pStyle w:val="Caption1"/>
      </w:pPr>
      <w:r>
        <w:t xml:space="preserve">. </w:t>
      </w:r>
    </w:p>
    <w:p w14:paraId="3CB2E7D1" w14:textId="77777777" w:rsidR="008A564F" w:rsidRPr="00AF5387" w:rsidRDefault="008A564F" w:rsidP="008A564F">
      <w:pPr>
        <w:spacing w:after="0"/>
        <w:rPr>
          <w:rFonts w:cs="Arial"/>
          <w:b/>
        </w:rPr>
      </w:pPr>
      <w:r>
        <w:rPr>
          <w:rFonts w:cs="Arial"/>
          <w:b/>
        </w:rPr>
        <w:t xml:space="preserve">7.3 </w:t>
      </w:r>
      <w:r w:rsidRPr="00FE5065">
        <w:rPr>
          <w:rFonts w:cs="Arial"/>
          <w:b/>
        </w:rPr>
        <w:t>The decision</w:t>
      </w:r>
    </w:p>
    <w:p w14:paraId="36741EC8" w14:textId="77777777" w:rsidR="008A564F" w:rsidRDefault="008A564F" w:rsidP="008A564F">
      <w:r>
        <w:t>The assessment will be made and the applicant notified within one week.</w:t>
      </w:r>
      <w:r w:rsidRPr="00FE5065">
        <w:t xml:space="preserve"> </w:t>
      </w:r>
    </w:p>
    <w:p w14:paraId="1FCDC10A" w14:textId="77777777" w:rsidR="008A564F" w:rsidRPr="00C13ADE" w:rsidRDefault="008A564F" w:rsidP="008A564F">
      <w:r>
        <w:t>The decision will be made by the governing body</w:t>
      </w:r>
      <w:r w:rsidRPr="003560E3">
        <w:rPr>
          <w:i/>
          <w:color w:val="ED7D31"/>
        </w:rPr>
        <w:t xml:space="preserve"> </w:t>
      </w:r>
      <w:r w:rsidRPr="003560E3">
        <w:t>who</w:t>
      </w:r>
      <w:r>
        <w:t xml:space="preserve"> will also determine where the teacher will be placed on the upper pay range. Considerations will include the nature of the post, the responsibilities it entails, and the qualifications and skills of the teacher. </w:t>
      </w:r>
    </w:p>
    <w:p w14:paraId="33736311" w14:textId="77777777" w:rsidR="008A564F" w:rsidRPr="00587377" w:rsidRDefault="008A564F" w:rsidP="008A564F">
      <w:r w:rsidRPr="002B3BDB">
        <w:t xml:space="preserve"> Pay will be backdated to the date the decision was made</w:t>
      </w:r>
      <w:r>
        <w:t>.</w:t>
      </w:r>
      <w:r w:rsidRPr="002B3BDB">
        <w:t xml:space="preserve"> </w:t>
      </w:r>
    </w:p>
    <w:p w14:paraId="6CAC531F" w14:textId="77777777" w:rsidR="008A564F" w:rsidRPr="00101806" w:rsidRDefault="008A564F" w:rsidP="008A564F">
      <w:pPr>
        <w:spacing w:after="0"/>
        <w:rPr>
          <w:rFonts w:cs="Arial"/>
        </w:rPr>
      </w:pPr>
      <w:r>
        <w:rPr>
          <w:rFonts w:cs="Arial"/>
        </w:rPr>
        <w:t>If unsuccessful, feedback will be provided by line managers in a one-to-one meeting, within 10 working days of the decision notification. The line manager will set out why the application was unsuccessful, and provide advice on how the teacher can improve when making another application in the future.</w:t>
      </w:r>
      <w:r w:rsidRPr="00101806">
        <w:rPr>
          <w:rFonts w:cs="Arial"/>
          <w:color w:val="F15F22"/>
        </w:rPr>
        <w:t>.</w:t>
      </w:r>
      <w:r w:rsidRPr="00101806">
        <w:rPr>
          <w:rFonts w:cs="Arial"/>
        </w:rPr>
        <w:t xml:space="preserve"> </w:t>
      </w:r>
    </w:p>
    <w:p w14:paraId="29FDC533" w14:textId="77777777" w:rsidR="008A564F" w:rsidRPr="009339F8" w:rsidRDefault="008A564F" w:rsidP="008A564F">
      <w:pPr>
        <w:spacing w:after="0"/>
        <w:rPr>
          <w:rFonts w:cs="Arial"/>
        </w:rPr>
      </w:pPr>
      <w:r>
        <w:rPr>
          <w:rFonts w:cs="Arial"/>
        </w:rPr>
        <w:t xml:space="preserve">Decisions will also be communicated in writing. Any appeals against decisions are covered by our staff grievance procedures. </w:t>
      </w:r>
    </w:p>
    <w:p w14:paraId="0782EF73" w14:textId="77777777" w:rsidR="008A564F" w:rsidRDefault="008A564F" w:rsidP="008A564F">
      <w:pPr>
        <w:pStyle w:val="Heading1"/>
      </w:pPr>
      <w:bookmarkStart w:id="8" w:name="_Toc491426388"/>
      <w:r>
        <w:t>8. Additional allowances</w:t>
      </w:r>
      <w:bookmarkEnd w:id="8"/>
      <w:r>
        <w:t xml:space="preserve"> </w:t>
      </w:r>
    </w:p>
    <w:p w14:paraId="4528D1EA" w14:textId="77777777" w:rsidR="008A564F" w:rsidRPr="00751FA4" w:rsidRDefault="008A564F" w:rsidP="008A564F">
      <w:pPr>
        <w:pStyle w:val="Caption1"/>
        <w:rPr>
          <w:color w:val="auto"/>
        </w:rPr>
      </w:pPr>
      <w:r w:rsidRPr="00751FA4">
        <w:rPr>
          <w:color w:val="auto"/>
        </w:rPr>
        <w:t xml:space="preserve">Maintained schools and academies, including free schools, employing staff under the STPCD, you may wish to insert how you will award additional allowances such as: </w:t>
      </w:r>
    </w:p>
    <w:p w14:paraId="4A09CE41" w14:textId="77777777" w:rsidR="008A564F" w:rsidRPr="00751FA4" w:rsidRDefault="008A564F" w:rsidP="008A564F">
      <w:pPr>
        <w:pStyle w:val="Caption1"/>
        <w:numPr>
          <w:ilvl w:val="0"/>
          <w:numId w:val="17"/>
        </w:numPr>
        <w:rPr>
          <w:color w:val="auto"/>
        </w:rPr>
      </w:pPr>
      <w:r w:rsidRPr="00751FA4">
        <w:rPr>
          <w:color w:val="auto"/>
        </w:rPr>
        <w:t xml:space="preserve">Teaching and learning responsibility (TLR) payments </w:t>
      </w:r>
    </w:p>
    <w:p w14:paraId="753A820E" w14:textId="77777777" w:rsidR="008A564F" w:rsidRPr="00751FA4" w:rsidRDefault="008A564F" w:rsidP="008A564F">
      <w:pPr>
        <w:pStyle w:val="Caption1"/>
        <w:numPr>
          <w:ilvl w:val="0"/>
          <w:numId w:val="17"/>
        </w:numPr>
        <w:rPr>
          <w:color w:val="auto"/>
        </w:rPr>
      </w:pPr>
      <w:r w:rsidRPr="00751FA4">
        <w:rPr>
          <w:color w:val="auto"/>
        </w:rPr>
        <w:t>Special educational needs (SEN) allowances</w:t>
      </w:r>
    </w:p>
    <w:p w14:paraId="609C493F" w14:textId="77777777" w:rsidR="008A564F" w:rsidRPr="00751FA4" w:rsidRDefault="008A564F" w:rsidP="008A564F">
      <w:pPr>
        <w:pStyle w:val="Caption1"/>
        <w:numPr>
          <w:ilvl w:val="0"/>
          <w:numId w:val="17"/>
        </w:numPr>
        <w:rPr>
          <w:color w:val="auto"/>
        </w:rPr>
      </w:pPr>
      <w:r w:rsidRPr="00751FA4">
        <w:rPr>
          <w:color w:val="auto"/>
        </w:rPr>
        <w:t>Where unqualified teachers take on a sustained additional responsibility or have qualifications and experiences which bring added value to the work being undertaken</w:t>
      </w:r>
    </w:p>
    <w:p w14:paraId="66B2E0F5" w14:textId="77777777" w:rsidR="008A564F" w:rsidRPr="00751FA4" w:rsidRDefault="008A564F" w:rsidP="008A564F">
      <w:pPr>
        <w:pStyle w:val="Caption1"/>
        <w:numPr>
          <w:ilvl w:val="0"/>
          <w:numId w:val="17"/>
        </w:numPr>
        <w:rPr>
          <w:color w:val="auto"/>
        </w:rPr>
      </w:pPr>
      <w:r w:rsidRPr="00751FA4">
        <w:rPr>
          <w:color w:val="auto"/>
        </w:rPr>
        <w:t>Where a teacher is ‘acting up’ and is assigned the duties of a school leader but is not appointed as a school leader</w:t>
      </w:r>
    </w:p>
    <w:p w14:paraId="776D067F" w14:textId="77777777" w:rsidR="008A564F" w:rsidRPr="00751FA4" w:rsidRDefault="008A564F" w:rsidP="008A564F">
      <w:pPr>
        <w:pStyle w:val="Caption1"/>
        <w:numPr>
          <w:ilvl w:val="0"/>
          <w:numId w:val="17"/>
        </w:numPr>
        <w:rPr>
          <w:color w:val="auto"/>
        </w:rPr>
      </w:pPr>
      <w:r w:rsidRPr="00751FA4">
        <w:rPr>
          <w:color w:val="auto"/>
        </w:rPr>
        <w:lastRenderedPageBreak/>
        <w:t xml:space="preserve">Where a teacher is seconded </w:t>
      </w:r>
    </w:p>
    <w:p w14:paraId="2C9F1AC4" w14:textId="77777777" w:rsidR="008A564F" w:rsidRPr="00751FA4" w:rsidRDefault="008A564F" w:rsidP="008A564F">
      <w:pPr>
        <w:pStyle w:val="Caption1"/>
        <w:numPr>
          <w:ilvl w:val="0"/>
          <w:numId w:val="17"/>
        </w:numPr>
        <w:rPr>
          <w:color w:val="auto"/>
        </w:rPr>
      </w:pPr>
      <w:r w:rsidRPr="00751FA4">
        <w:rPr>
          <w:color w:val="auto"/>
        </w:rPr>
        <w:t xml:space="preserve">Where a teacher takes on residential duties </w:t>
      </w:r>
    </w:p>
    <w:p w14:paraId="6ED2A8F1" w14:textId="77777777" w:rsidR="008A564F" w:rsidRPr="00751FA4" w:rsidRDefault="008A564F" w:rsidP="008A564F">
      <w:pPr>
        <w:pStyle w:val="Caption1"/>
        <w:rPr>
          <w:color w:val="auto"/>
        </w:rPr>
      </w:pPr>
      <w:r w:rsidRPr="00751FA4">
        <w:rPr>
          <w:color w:val="auto"/>
        </w:rPr>
        <w:t xml:space="preserve">Specify that these allowances will be awarded in line with the STPCD. </w:t>
      </w:r>
    </w:p>
    <w:p w14:paraId="22A81A4B" w14:textId="77777777" w:rsidR="008A564F" w:rsidRPr="00751FA4" w:rsidRDefault="008A564F" w:rsidP="008A564F">
      <w:pPr>
        <w:pStyle w:val="Caption1"/>
        <w:rPr>
          <w:color w:val="auto"/>
        </w:rPr>
      </w:pPr>
      <w:r w:rsidRPr="00751FA4">
        <w:rPr>
          <w:color w:val="auto"/>
        </w:rPr>
        <w:t xml:space="preserve">Academies, including free schools, not employing staff under the STPCD, you may wish to insert your arrangements for awarding additional allowances if applicable. </w:t>
      </w:r>
    </w:p>
    <w:p w14:paraId="26056293" w14:textId="77777777" w:rsidR="008A564F" w:rsidRDefault="008A564F" w:rsidP="008A564F">
      <w:pPr>
        <w:pStyle w:val="Heading1"/>
      </w:pPr>
      <w:bookmarkStart w:id="9" w:name="_Toc491426389"/>
      <w:r>
        <w:t>9. Leadership pay</w:t>
      </w:r>
      <w:bookmarkEnd w:id="9"/>
    </w:p>
    <w:p w14:paraId="37A36523" w14:textId="77777777" w:rsidR="008A564F" w:rsidRPr="00751FA4" w:rsidRDefault="008A564F" w:rsidP="008A564F">
      <w:r>
        <w:t>Headteacher’s pay will be determined in light of Performance Management procedures which are led by an outside consultant.</w:t>
      </w:r>
    </w:p>
    <w:p w14:paraId="126BD159" w14:textId="77777777" w:rsidR="008A564F" w:rsidRDefault="008A564F" w:rsidP="008A564F">
      <w:pPr>
        <w:pStyle w:val="Heading1"/>
      </w:pPr>
      <w:bookmarkStart w:id="10" w:name="_Toc491426390"/>
      <w:r>
        <w:t>10. Salary safeguarding arrangements</w:t>
      </w:r>
      <w:bookmarkEnd w:id="10"/>
    </w:p>
    <w:p w14:paraId="4D4B10CF" w14:textId="77777777" w:rsidR="008A564F" w:rsidRPr="00F570E1" w:rsidRDefault="008A564F" w:rsidP="008A564F">
      <w:pPr>
        <w:spacing w:after="0"/>
        <w:rPr>
          <w:rFonts w:cs="Arial"/>
        </w:rPr>
      </w:pPr>
      <w:r>
        <w:rPr>
          <w:rFonts w:cs="Arial"/>
        </w:rPr>
        <w:t xml:space="preserve">We will abide by the STPCD and safeguard teacher’s salaries if the post is </w:t>
      </w:r>
      <w:r w:rsidRPr="00F570E1">
        <w:rPr>
          <w:rFonts w:cs="Arial"/>
        </w:rPr>
        <w:t>revised or removed as a result of:</w:t>
      </w:r>
    </w:p>
    <w:p w14:paraId="53D0A7FE" w14:textId="77777777" w:rsidR="008A564F" w:rsidRPr="00F570E1" w:rsidRDefault="008A564F" w:rsidP="008A564F">
      <w:pPr>
        <w:pStyle w:val="ListParagraph"/>
        <w:numPr>
          <w:ilvl w:val="0"/>
          <w:numId w:val="9"/>
        </w:numPr>
      </w:pPr>
      <w:r w:rsidRPr="00F570E1">
        <w:t>Closure of the school or education establishment</w:t>
      </w:r>
    </w:p>
    <w:p w14:paraId="06C9B077" w14:textId="77777777" w:rsidR="008A564F" w:rsidRPr="009339F8" w:rsidRDefault="008A564F" w:rsidP="008A564F">
      <w:pPr>
        <w:pStyle w:val="ListParagraph"/>
        <w:numPr>
          <w:ilvl w:val="0"/>
          <w:numId w:val="9"/>
        </w:numPr>
      </w:pPr>
      <w:proofErr w:type="spellStart"/>
      <w:r w:rsidRPr="00F570E1">
        <w:t>Organisational</w:t>
      </w:r>
      <w:proofErr w:type="spellEnd"/>
      <w:r w:rsidRPr="00F570E1">
        <w:t xml:space="preserve"> restructuring</w:t>
      </w:r>
    </w:p>
    <w:p w14:paraId="02837C02" w14:textId="77777777" w:rsidR="008A564F" w:rsidRPr="00F570E1" w:rsidRDefault="008A564F" w:rsidP="008A564F">
      <w:pPr>
        <w:spacing w:after="0"/>
        <w:rPr>
          <w:rFonts w:cs="Arial"/>
        </w:rPr>
      </w:pPr>
      <w:r w:rsidRPr="00F570E1">
        <w:rPr>
          <w:rFonts w:cs="Arial"/>
        </w:rPr>
        <w:t>Circumstances where higher pay is safeguarded include a removed or reduced:</w:t>
      </w:r>
    </w:p>
    <w:p w14:paraId="093903BD" w14:textId="77777777" w:rsidR="008A564F" w:rsidRPr="00F570E1" w:rsidRDefault="008A564F" w:rsidP="008A564F">
      <w:pPr>
        <w:pStyle w:val="ListParagraph"/>
        <w:numPr>
          <w:ilvl w:val="0"/>
          <w:numId w:val="10"/>
        </w:numPr>
      </w:pPr>
      <w:r w:rsidRPr="00F570E1">
        <w:t>Teaching and learning responsibility (TLR) payment: TLR1 or TLR2</w:t>
      </w:r>
    </w:p>
    <w:p w14:paraId="6B51272D" w14:textId="77777777" w:rsidR="008A564F" w:rsidRPr="00F570E1" w:rsidRDefault="008A564F" w:rsidP="008A564F">
      <w:pPr>
        <w:pStyle w:val="ListParagraph"/>
        <w:numPr>
          <w:ilvl w:val="0"/>
          <w:numId w:val="10"/>
        </w:numPr>
      </w:pPr>
      <w:r w:rsidRPr="00F570E1">
        <w:t>Special educational needs (SEN) allowance</w:t>
      </w:r>
    </w:p>
    <w:p w14:paraId="2358DF0D" w14:textId="77777777" w:rsidR="008A564F" w:rsidRPr="00F570E1" w:rsidRDefault="008A564F" w:rsidP="008A564F">
      <w:pPr>
        <w:pStyle w:val="ListParagraph"/>
        <w:numPr>
          <w:ilvl w:val="0"/>
          <w:numId w:val="10"/>
        </w:numPr>
      </w:pPr>
      <w:r w:rsidRPr="00F570E1">
        <w:t>Unqualified teacher’s allowance</w:t>
      </w:r>
    </w:p>
    <w:p w14:paraId="2371CE11" w14:textId="77777777" w:rsidR="008A564F" w:rsidRPr="003560E3" w:rsidRDefault="008A564F" w:rsidP="008A564F">
      <w:pPr>
        <w:pStyle w:val="ListParagraph"/>
        <w:numPr>
          <w:ilvl w:val="0"/>
          <w:numId w:val="10"/>
        </w:numPr>
      </w:pPr>
      <w:r w:rsidRPr="003560E3">
        <w:t>Leadership pay range or leading practitioner pay range</w:t>
      </w:r>
    </w:p>
    <w:p w14:paraId="5FFB1B92" w14:textId="77777777" w:rsidR="008A564F" w:rsidRPr="00A50E55" w:rsidRDefault="008A564F" w:rsidP="008A564F">
      <w:pPr>
        <w:spacing w:after="0"/>
        <w:rPr>
          <w:rFonts w:cs="Arial"/>
        </w:rPr>
      </w:pPr>
      <w:r>
        <w:rPr>
          <w:rFonts w:cs="Arial"/>
        </w:rPr>
        <w:t xml:space="preserve">We will follow the STPCD when applying and managing salary safeguarding. </w:t>
      </w:r>
    </w:p>
    <w:p w14:paraId="3F5D8F20" w14:textId="77777777" w:rsidR="008A564F" w:rsidRPr="009339F8" w:rsidRDefault="008A564F" w:rsidP="008A564F">
      <w:pPr>
        <w:pStyle w:val="Heading1"/>
      </w:pPr>
      <w:bookmarkStart w:id="11" w:name="_Toc491426391"/>
      <w:r>
        <w:t>11. Information to be included in pay statements</w:t>
      </w:r>
      <w:bookmarkEnd w:id="11"/>
    </w:p>
    <w:p w14:paraId="0348855D" w14:textId="77777777" w:rsidR="008A564F" w:rsidRPr="009339F8" w:rsidRDefault="008A564F" w:rsidP="008A564F">
      <w:pPr>
        <w:pStyle w:val="Caption1"/>
      </w:pPr>
      <w:r w:rsidRPr="009339F8">
        <w:t>:</w:t>
      </w:r>
    </w:p>
    <w:p w14:paraId="1030DFE2" w14:textId="77777777" w:rsidR="008A564F" w:rsidRPr="00751FA4" w:rsidRDefault="008A564F" w:rsidP="008A564F">
      <w:pPr>
        <w:rPr>
          <w:rFonts w:cs="Arial"/>
          <w:szCs w:val="20"/>
        </w:rPr>
      </w:pPr>
      <w:r>
        <w:rPr>
          <w:rFonts w:cs="Arial"/>
          <w:szCs w:val="20"/>
        </w:rPr>
        <w:t xml:space="preserve">When pay is changed, teachers will receive a written statement confirming this as soon as possible and not later than 4 weeks after the decision. </w:t>
      </w:r>
    </w:p>
    <w:p w14:paraId="3E09A331" w14:textId="77777777" w:rsidR="008A564F" w:rsidRPr="00751FA4" w:rsidRDefault="008A564F" w:rsidP="008A564F">
      <w:pPr>
        <w:rPr>
          <w:rFonts w:cs="Arial"/>
          <w:szCs w:val="20"/>
        </w:rPr>
      </w:pPr>
      <w:r w:rsidRPr="00322616">
        <w:rPr>
          <w:rFonts w:cs="Arial"/>
          <w:szCs w:val="20"/>
        </w:rPr>
        <w:t xml:space="preserve">The statement will be issued by </w:t>
      </w:r>
      <w:r w:rsidRPr="00FC72FA">
        <w:rPr>
          <w:rFonts w:cs="Arial"/>
          <w:szCs w:val="20"/>
        </w:rPr>
        <w:t xml:space="preserve">the governing board.     </w:t>
      </w:r>
    </w:p>
    <w:p w14:paraId="12C6613A" w14:textId="77777777" w:rsidR="008A564F" w:rsidRPr="009339F8" w:rsidRDefault="008A564F" w:rsidP="008A564F">
      <w:r w:rsidRPr="00721692">
        <w:rPr>
          <w:rFonts w:cs="Arial"/>
          <w:szCs w:val="20"/>
        </w:rPr>
        <w:t xml:space="preserve">The statement will be issued by the </w:t>
      </w:r>
      <w:r>
        <w:rPr>
          <w:rFonts w:cs="Arial"/>
          <w:szCs w:val="20"/>
        </w:rPr>
        <w:t>governing body.</w:t>
      </w:r>
      <w:r w:rsidRPr="009339F8">
        <w:t xml:space="preserve"> </w:t>
      </w:r>
    </w:p>
    <w:p w14:paraId="5F8C9A0D" w14:textId="77777777" w:rsidR="008A564F" w:rsidRPr="009339F8" w:rsidRDefault="008A564F" w:rsidP="008A564F">
      <w:pPr>
        <w:spacing w:after="0"/>
        <w:rPr>
          <w:rFonts w:cs="Arial"/>
          <w:szCs w:val="20"/>
        </w:rPr>
      </w:pPr>
      <w:r>
        <w:rPr>
          <w:rFonts w:cs="Arial"/>
          <w:szCs w:val="20"/>
        </w:rPr>
        <w:t xml:space="preserve">For all teachers, statements will include: </w:t>
      </w:r>
    </w:p>
    <w:p w14:paraId="2FFED677" w14:textId="77777777" w:rsidR="008A564F" w:rsidRDefault="008A564F" w:rsidP="008A564F">
      <w:pPr>
        <w:pStyle w:val="ListParagraph"/>
        <w:numPr>
          <w:ilvl w:val="0"/>
          <w:numId w:val="11"/>
        </w:numPr>
      </w:pPr>
      <w:r>
        <w:t>Payments or other financial benefits awarded</w:t>
      </w:r>
    </w:p>
    <w:p w14:paraId="5E7662BA" w14:textId="77777777" w:rsidR="008A564F" w:rsidRDefault="008A564F" w:rsidP="008A564F">
      <w:pPr>
        <w:pStyle w:val="ListParagraph"/>
        <w:numPr>
          <w:ilvl w:val="0"/>
          <w:numId w:val="11"/>
        </w:numPr>
      </w:pPr>
      <w:r>
        <w:t xml:space="preserve">Any safeguarded sums </w:t>
      </w:r>
    </w:p>
    <w:p w14:paraId="7EB66F0E" w14:textId="77777777" w:rsidR="008A564F" w:rsidRDefault="008A564F" w:rsidP="008A564F">
      <w:pPr>
        <w:pStyle w:val="ListParagraph"/>
        <w:numPr>
          <w:ilvl w:val="0"/>
          <w:numId w:val="11"/>
        </w:numPr>
      </w:pPr>
      <w:r>
        <w:t xml:space="preserve">Information on where the teacher can access a copy of the school’s staffing structure and pay policy </w:t>
      </w:r>
    </w:p>
    <w:p w14:paraId="37CF6519" w14:textId="77777777" w:rsidR="008A564F" w:rsidRDefault="008A564F" w:rsidP="008A564F">
      <w:pPr>
        <w:rPr>
          <w:rFonts w:cs="Arial"/>
          <w:szCs w:val="20"/>
        </w:rPr>
      </w:pPr>
      <w:r>
        <w:rPr>
          <w:rFonts w:cs="Arial"/>
          <w:szCs w:val="20"/>
        </w:rPr>
        <w:t xml:space="preserve">Statements for members of the leadership group and teachers paid as leading practitioners will also include: </w:t>
      </w:r>
    </w:p>
    <w:p w14:paraId="2A66310C" w14:textId="77777777" w:rsidR="008A564F" w:rsidRDefault="008A564F" w:rsidP="008A564F">
      <w:pPr>
        <w:pStyle w:val="ListParagraph"/>
        <w:numPr>
          <w:ilvl w:val="0"/>
          <w:numId w:val="12"/>
        </w:numPr>
      </w:pPr>
      <w:r>
        <w:t xml:space="preserve">The basis on which the salary has been determined </w:t>
      </w:r>
    </w:p>
    <w:p w14:paraId="2D745F58" w14:textId="77777777" w:rsidR="008A564F" w:rsidRDefault="008A564F" w:rsidP="008A564F">
      <w:pPr>
        <w:pStyle w:val="ListParagraph"/>
        <w:numPr>
          <w:ilvl w:val="0"/>
          <w:numId w:val="12"/>
        </w:numPr>
      </w:pPr>
      <w:r>
        <w:t xml:space="preserve">The criteria on which their salary will be reviewed in future </w:t>
      </w:r>
    </w:p>
    <w:p w14:paraId="647A7F78" w14:textId="77777777" w:rsidR="008A564F" w:rsidRDefault="008A564F" w:rsidP="008A564F">
      <w:pPr>
        <w:rPr>
          <w:rFonts w:cs="Arial"/>
          <w:szCs w:val="20"/>
        </w:rPr>
      </w:pPr>
      <w:r>
        <w:rPr>
          <w:rFonts w:cs="Arial"/>
          <w:szCs w:val="20"/>
        </w:rPr>
        <w:lastRenderedPageBreak/>
        <w:t xml:space="preserve">Statements for teachers appointed to the leadership group or paid as a leading practitioner for a fixed period or under a fixed-term contract will also include: </w:t>
      </w:r>
    </w:p>
    <w:p w14:paraId="4A7909E4" w14:textId="77777777" w:rsidR="008A564F" w:rsidRDefault="008A564F" w:rsidP="008A564F">
      <w:pPr>
        <w:pStyle w:val="ListParagraph"/>
        <w:numPr>
          <w:ilvl w:val="0"/>
          <w:numId w:val="13"/>
        </w:numPr>
      </w:pPr>
      <w:r>
        <w:t xml:space="preserve">The date that the fixed period or the contract will end, or the circumstances that will lead to the contract ending </w:t>
      </w:r>
    </w:p>
    <w:p w14:paraId="207D4DDE" w14:textId="77777777" w:rsidR="008A564F" w:rsidRDefault="008A564F" w:rsidP="008A564F">
      <w:pPr>
        <w:rPr>
          <w:rFonts w:cs="Arial"/>
          <w:szCs w:val="20"/>
        </w:rPr>
      </w:pPr>
      <w:r>
        <w:rPr>
          <w:rFonts w:cs="Arial"/>
          <w:szCs w:val="20"/>
        </w:rPr>
        <w:t xml:space="preserve">Statements for classroom teachers or unqualified teachers who are paid and eligible for allowances as a qualified teacher will also include: </w:t>
      </w:r>
    </w:p>
    <w:p w14:paraId="0220EF8E" w14:textId="77777777" w:rsidR="008A564F" w:rsidRDefault="008A564F" w:rsidP="008A564F">
      <w:pPr>
        <w:pStyle w:val="ListParagraph"/>
        <w:numPr>
          <w:ilvl w:val="0"/>
          <w:numId w:val="13"/>
        </w:numPr>
      </w:pPr>
      <w:r>
        <w:t xml:space="preserve">The teacher’s position within the pay ranges </w:t>
      </w:r>
    </w:p>
    <w:p w14:paraId="4492CD03" w14:textId="77777777" w:rsidR="008A564F" w:rsidRDefault="008A564F" w:rsidP="008A564F">
      <w:pPr>
        <w:pStyle w:val="ListParagraph"/>
        <w:numPr>
          <w:ilvl w:val="0"/>
          <w:numId w:val="13"/>
        </w:numPr>
      </w:pPr>
      <w:r>
        <w:t xml:space="preserve">The nature and value of any allowance received </w:t>
      </w:r>
    </w:p>
    <w:p w14:paraId="4ECFCF4C" w14:textId="77777777" w:rsidR="008A564F" w:rsidRDefault="008A564F" w:rsidP="008A564F">
      <w:pPr>
        <w:pStyle w:val="ListParagraph"/>
        <w:numPr>
          <w:ilvl w:val="0"/>
          <w:numId w:val="13"/>
        </w:numPr>
      </w:pPr>
      <w:r>
        <w:t>The value of any teaching and learning responsibility (TLR) payment awarded and details of what it was awarded for</w:t>
      </w:r>
    </w:p>
    <w:p w14:paraId="155073F9" w14:textId="77777777" w:rsidR="008A564F" w:rsidRDefault="008A564F" w:rsidP="008A564F">
      <w:pPr>
        <w:pStyle w:val="ListParagraph"/>
        <w:numPr>
          <w:ilvl w:val="0"/>
          <w:numId w:val="13"/>
        </w:numPr>
      </w:pPr>
      <w:r>
        <w:t xml:space="preserve">Where a TLR was awarded to cover a teacher’s absence, the end date of circumstances in which it will end </w:t>
      </w:r>
    </w:p>
    <w:p w14:paraId="4A7DD75F" w14:textId="77777777" w:rsidR="008A564F" w:rsidRDefault="008A564F" w:rsidP="008A564F">
      <w:pPr>
        <w:pStyle w:val="ListParagraph"/>
        <w:numPr>
          <w:ilvl w:val="0"/>
          <w:numId w:val="13"/>
        </w:numPr>
      </w:pPr>
      <w:r>
        <w:t xml:space="preserve">For TLR3s, the letter should also include a statement that the payment will not be safeguarded </w:t>
      </w:r>
    </w:p>
    <w:p w14:paraId="58BC2F07" w14:textId="77777777" w:rsidR="008A564F" w:rsidRDefault="008A564F" w:rsidP="008A564F">
      <w:pPr>
        <w:rPr>
          <w:rFonts w:cs="Arial"/>
          <w:szCs w:val="20"/>
        </w:rPr>
      </w:pPr>
      <w:r>
        <w:rPr>
          <w:rFonts w:cs="Arial"/>
          <w:szCs w:val="20"/>
        </w:rPr>
        <w:t xml:space="preserve">Statements for unqualified teachers will also include: </w:t>
      </w:r>
    </w:p>
    <w:p w14:paraId="4664FF60" w14:textId="77777777" w:rsidR="008A564F" w:rsidRDefault="008A564F" w:rsidP="008A564F">
      <w:pPr>
        <w:pStyle w:val="ListParagraph"/>
        <w:numPr>
          <w:ilvl w:val="0"/>
          <w:numId w:val="14"/>
        </w:numPr>
      </w:pPr>
      <w:r>
        <w:t xml:space="preserve">The teacher’s position within the unqualified teachers’ pay range </w:t>
      </w:r>
    </w:p>
    <w:p w14:paraId="2BA5EBEE" w14:textId="77777777" w:rsidR="008A564F" w:rsidRPr="009A3348" w:rsidRDefault="008A564F" w:rsidP="008A564F">
      <w:pPr>
        <w:pStyle w:val="ListParagraph"/>
        <w:numPr>
          <w:ilvl w:val="0"/>
          <w:numId w:val="14"/>
        </w:numPr>
      </w:pPr>
      <w:r>
        <w:t xml:space="preserve">The value of any unqualified teacher’s allowance awarded and the additional responsibility, qualifications or experience in respect of which the allowance was awarded </w:t>
      </w:r>
    </w:p>
    <w:p w14:paraId="1758CC13" w14:textId="77777777" w:rsidR="008A564F" w:rsidRDefault="008A564F" w:rsidP="008A564F">
      <w:pPr>
        <w:pStyle w:val="Heading1"/>
      </w:pPr>
      <w:bookmarkStart w:id="12" w:name="_Toc491426392"/>
      <w:r>
        <w:t>12. Appealing a decision on pay progression</w:t>
      </w:r>
      <w:bookmarkEnd w:id="12"/>
    </w:p>
    <w:p w14:paraId="4499BABC" w14:textId="77777777" w:rsidR="008A564F" w:rsidRDefault="008A564F" w:rsidP="008A564F">
      <w:pPr>
        <w:spacing w:after="0"/>
        <w:rPr>
          <w:rFonts w:cs="Arial"/>
          <w:szCs w:val="20"/>
        </w:rPr>
      </w:pPr>
      <w:r>
        <w:rPr>
          <w:rFonts w:cs="Arial"/>
          <w:szCs w:val="20"/>
        </w:rPr>
        <w:t xml:space="preserve">Where any teacher feels that a decision made over their pay is unfair, they have the right to appeal. </w:t>
      </w:r>
    </w:p>
    <w:p w14:paraId="589DA339" w14:textId="77777777" w:rsidR="008A564F" w:rsidRDefault="008A564F" w:rsidP="008A564F">
      <w:pPr>
        <w:spacing w:after="0"/>
        <w:rPr>
          <w:rFonts w:cs="Arial"/>
          <w:color w:val="F15F22"/>
          <w:szCs w:val="20"/>
        </w:rPr>
      </w:pPr>
      <w:r>
        <w:rPr>
          <w:rFonts w:cs="Arial"/>
          <w:szCs w:val="20"/>
        </w:rPr>
        <w:t xml:space="preserve">Teachers should attempt to resolve the matter informally at first, by speaking </w:t>
      </w:r>
      <w:r w:rsidRPr="00751FA4">
        <w:rPr>
          <w:rFonts w:cs="Arial"/>
          <w:szCs w:val="20"/>
        </w:rPr>
        <w:t>to the headteacher</w:t>
      </w:r>
      <w:r>
        <w:rPr>
          <w:rFonts w:cs="Arial"/>
          <w:color w:val="F15F22"/>
          <w:szCs w:val="20"/>
        </w:rPr>
        <w:t>.</w:t>
      </w:r>
    </w:p>
    <w:p w14:paraId="328BB53F" w14:textId="77777777" w:rsidR="008A564F" w:rsidRDefault="008A564F" w:rsidP="008A564F">
      <w:pPr>
        <w:spacing w:after="0"/>
        <w:rPr>
          <w:rFonts w:cs="Arial"/>
          <w:szCs w:val="20"/>
        </w:rPr>
      </w:pPr>
      <w:r w:rsidRPr="009339F8">
        <w:rPr>
          <w:rFonts w:cs="Arial"/>
          <w:color w:val="F15F22"/>
          <w:szCs w:val="20"/>
        </w:rPr>
        <w:t>.</w:t>
      </w:r>
      <w:r w:rsidRPr="009339F8">
        <w:rPr>
          <w:rFonts w:cs="Arial"/>
          <w:i/>
          <w:color w:val="ED7D31"/>
          <w:szCs w:val="20"/>
        </w:rPr>
        <w:t xml:space="preserve"> </w:t>
      </w:r>
    </w:p>
    <w:p w14:paraId="34B50F2C" w14:textId="77777777" w:rsidR="008A564F" w:rsidRDefault="008A564F" w:rsidP="008A564F">
      <w:pPr>
        <w:spacing w:after="0"/>
        <w:rPr>
          <w:rFonts w:cs="Arial"/>
          <w:szCs w:val="20"/>
        </w:rPr>
      </w:pPr>
      <w:r>
        <w:rPr>
          <w:rFonts w:cs="Arial"/>
          <w:szCs w:val="20"/>
        </w:rPr>
        <w:t>If the teacher wishes to lodge a formal grievance, they should set out their reasons for appealing in a letter to Governing body</w:t>
      </w:r>
      <w:r>
        <w:rPr>
          <w:rFonts w:cs="Arial"/>
          <w:color w:val="F15F22"/>
          <w:szCs w:val="20"/>
        </w:rPr>
        <w:t xml:space="preserve"> </w:t>
      </w:r>
      <w:r>
        <w:rPr>
          <w:rFonts w:cs="Arial"/>
          <w:szCs w:val="20"/>
        </w:rPr>
        <w:t xml:space="preserve">within10 working days of the pay statement being issued. Reasons may include: </w:t>
      </w:r>
    </w:p>
    <w:p w14:paraId="2113EA4C" w14:textId="77777777" w:rsidR="008A564F" w:rsidRDefault="008A564F" w:rsidP="008A564F">
      <w:pPr>
        <w:pStyle w:val="ListParagraph"/>
        <w:numPr>
          <w:ilvl w:val="0"/>
          <w:numId w:val="15"/>
        </w:numPr>
      </w:pPr>
      <w:r>
        <w:t xml:space="preserve">The pay policy was incorrectly applied </w:t>
      </w:r>
    </w:p>
    <w:p w14:paraId="14101AE3" w14:textId="77777777" w:rsidR="008A564F" w:rsidRDefault="008A564F" w:rsidP="008A564F">
      <w:pPr>
        <w:pStyle w:val="ListParagraph"/>
        <w:numPr>
          <w:ilvl w:val="0"/>
          <w:numId w:val="15"/>
        </w:numPr>
      </w:pPr>
      <w:r>
        <w:t xml:space="preserve">The decision contravenes the </w:t>
      </w:r>
      <w:r w:rsidRPr="00775816">
        <w:t>STPCD t</w:t>
      </w:r>
      <w:r>
        <w:t xml:space="preserve">he teacher is employed under </w:t>
      </w:r>
    </w:p>
    <w:p w14:paraId="48E42F8F" w14:textId="77777777" w:rsidR="008A564F" w:rsidRDefault="008A564F" w:rsidP="008A564F">
      <w:pPr>
        <w:pStyle w:val="ListParagraph"/>
        <w:numPr>
          <w:ilvl w:val="0"/>
          <w:numId w:val="15"/>
        </w:numPr>
      </w:pPr>
      <w:r>
        <w:t xml:space="preserve">The decision contravenes equality legislation </w:t>
      </w:r>
    </w:p>
    <w:p w14:paraId="75016A85" w14:textId="77777777" w:rsidR="008A564F" w:rsidRDefault="008A564F" w:rsidP="008A564F">
      <w:pPr>
        <w:pStyle w:val="ListParagraph"/>
        <w:numPr>
          <w:ilvl w:val="0"/>
          <w:numId w:val="15"/>
        </w:numPr>
      </w:pPr>
      <w:r>
        <w:t xml:space="preserve">Relevant evidence was not taken into account </w:t>
      </w:r>
    </w:p>
    <w:p w14:paraId="52606DE5" w14:textId="77777777" w:rsidR="008A564F" w:rsidRPr="009339F8" w:rsidRDefault="008A564F" w:rsidP="008A564F">
      <w:pPr>
        <w:pStyle w:val="ListParagraph"/>
        <w:numPr>
          <w:ilvl w:val="0"/>
          <w:numId w:val="15"/>
        </w:numPr>
      </w:pPr>
      <w:r>
        <w:t>The decision was biased</w:t>
      </w:r>
    </w:p>
    <w:p w14:paraId="5864D483" w14:textId="77777777" w:rsidR="008A564F" w:rsidRDefault="008A564F" w:rsidP="008A564F">
      <w:pPr>
        <w:spacing w:after="0"/>
        <w:rPr>
          <w:rFonts w:cs="Arial"/>
          <w:szCs w:val="20"/>
        </w:rPr>
      </w:pPr>
      <w:r>
        <w:rPr>
          <w:rFonts w:cs="Arial"/>
          <w:szCs w:val="20"/>
        </w:rPr>
        <w:t xml:space="preserve">The rest of the grievance procedure is set out in our staff grievance procedures, which is based on the </w:t>
      </w:r>
      <w:hyperlink r:id="rId18" w:history="1">
        <w:proofErr w:type="spellStart"/>
        <w:r w:rsidRPr="0059436B">
          <w:rPr>
            <w:rStyle w:val="Hyperlink"/>
            <w:rFonts w:cs="Arial"/>
            <w:szCs w:val="20"/>
          </w:rPr>
          <w:t>Acas</w:t>
        </w:r>
        <w:proofErr w:type="spellEnd"/>
        <w:r w:rsidRPr="0059436B">
          <w:rPr>
            <w:rStyle w:val="Hyperlink"/>
            <w:rFonts w:cs="Arial"/>
            <w:szCs w:val="20"/>
          </w:rPr>
          <w:t xml:space="preserve"> Code of Practice</w:t>
        </w:r>
      </w:hyperlink>
      <w:r>
        <w:rPr>
          <w:rFonts w:cs="Arial"/>
          <w:szCs w:val="20"/>
        </w:rPr>
        <w:t xml:space="preserve"> for addressing grievances. </w:t>
      </w:r>
    </w:p>
    <w:p w14:paraId="2F399C21" w14:textId="77777777" w:rsidR="008A564F" w:rsidRPr="009339F8" w:rsidRDefault="008A564F" w:rsidP="008A564F">
      <w:pPr>
        <w:spacing w:after="0"/>
        <w:rPr>
          <w:rFonts w:cs="Arial"/>
          <w:szCs w:val="20"/>
        </w:rPr>
      </w:pPr>
      <w:r>
        <w:rPr>
          <w:rFonts w:cs="Arial"/>
          <w:szCs w:val="20"/>
        </w:rPr>
        <w:t>If the appeal is upheld, governing board</w:t>
      </w:r>
      <w:r w:rsidRPr="009339F8">
        <w:rPr>
          <w:rFonts w:cs="Arial"/>
          <w:i/>
          <w:color w:val="ED7D31"/>
          <w:szCs w:val="20"/>
        </w:rPr>
        <w:t xml:space="preserve"> </w:t>
      </w:r>
      <w:r>
        <w:rPr>
          <w:rFonts w:cs="Arial"/>
          <w:szCs w:val="20"/>
        </w:rPr>
        <w:t xml:space="preserve">will re-issue the pay statement with the correct information. </w:t>
      </w:r>
    </w:p>
    <w:p w14:paraId="50275F1A" w14:textId="77777777" w:rsidR="008A564F" w:rsidRDefault="008A564F" w:rsidP="008A564F">
      <w:pPr>
        <w:pStyle w:val="Heading1"/>
      </w:pPr>
      <w:bookmarkStart w:id="13" w:name="_Toc491426394"/>
      <w:r>
        <w:t>13. Monitoring arrangements</w:t>
      </w:r>
      <w:bookmarkEnd w:id="13"/>
      <w:r>
        <w:t xml:space="preserve"> </w:t>
      </w:r>
    </w:p>
    <w:p w14:paraId="11783C5E" w14:textId="77777777" w:rsidR="008A564F" w:rsidRDefault="008A564F" w:rsidP="008A564F">
      <w:pPr>
        <w:pStyle w:val="Caption1"/>
        <w:rPr>
          <w:color w:val="ED7D31"/>
        </w:rPr>
      </w:pPr>
    </w:p>
    <w:p w14:paraId="4CB0A668" w14:textId="77777777" w:rsidR="008A564F" w:rsidRDefault="008A564F" w:rsidP="008A564F">
      <w:pPr>
        <w:spacing w:after="0"/>
        <w:rPr>
          <w:rFonts w:cs="Arial"/>
        </w:rPr>
      </w:pPr>
      <w:r>
        <w:rPr>
          <w:rFonts w:cs="Arial"/>
        </w:rPr>
        <w:t xml:space="preserve">This policy will be reviewed annually by the Governing Body. </w:t>
      </w:r>
    </w:p>
    <w:p w14:paraId="2FECCFD4" w14:textId="77777777" w:rsidR="008A564F" w:rsidRDefault="008A564F" w:rsidP="008A564F">
      <w:pPr>
        <w:spacing w:after="0"/>
        <w:rPr>
          <w:rFonts w:cs="Arial"/>
        </w:rPr>
      </w:pPr>
      <w:r>
        <w:rPr>
          <w:rFonts w:cs="Arial"/>
        </w:rPr>
        <w:t xml:space="preserve">The governing board will consider the outcomes and impact of the policy, including trends in progression across specific groups of teachers, to ensure it complies with equalities legislation. </w:t>
      </w:r>
    </w:p>
    <w:p w14:paraId="2AEDCF02" w14:textId="77777777" w:rsidR="008A564F" w:rsidRDefault="008A564F" w:rsidP="008A564F">
      <w:pPr>
        <w:pStyle w:val="Heading1"/>
      </w:pPr>
      <w:bookmarkStart w:id="14" w:name="_Toc491426395"/>
      <w:r>
        <w:lastRenderedPageBreak/>
        <w:t>14. Links with other policies</w:t>
      </w:r>
      <w:bookmarkEnd w:id="14"/>
      <w:r>
        <w:t xml:space="preserve">  </w:t>
      </w:r>
    </w:p>
    <w:p w14:paraId="002B5526" w14:textId="77777777" w:rsidR="008A564F" w:rsidRDefault="008A564F" w:rsidP="008A564F">
      <w:pPr>
        <w:rPr>
          <w:rFonts w:eastAsia="Arial" w:cs="Arial"/>
          <w:szCs w:val="20"/>
        </w:rPr>
      </w:pPr>
      <w:r>
        <w:rPr>
          <w:rFonts w:eastAsia="Arial" w:cs="Arial"/>
          <w:szCs w:val="20"/>
        </w:rPr>
        <w:t>This policy links with our policies on:</w:t>
      </w:r>
    </w:p>
    <w:p w14:paraId="196E48FB" w14:textId="77777777" w:rsidR="008A564F" w:rsidRDefault="008A564F" w:rsidP="008A564F">
      <w:pPr>
        <w:pStyle w:val="ListParagraph"/>
        <w:numPr>
          <w:ilvl w:val="0"/>
          <w:numId w:val="16"/>
        </w:numPr>
        <w:ind w:left="567" w:hanging="283"/>
        <w:rPr>
          <w:rFonts w:eastAsia="Arial"/>
        </w:rPr>
      </w:pPr>
      <w:r>
        <w:rPr>
          <w:rFonts w:eastAsia="Arial"/>
        </w:rPr>
        <w:t>Staff grievance procedures</w:t>
      </w:r>
    </w:p>
    <w:p w14:paraId="36F2852D" w14:textId="77777777" w:rsidR="008A564F" w:rsidRPr="00775816" w:rsidRDefault="008A564F" w:rsidP="008A564F">
      <w:pPr>
        <w:pStyle w:val="ListParagraph"/>
        <w:numPr>
          <w:ilvl w:val="0"/>
          <w:numId w:val="16"/>
        </w:numPr>
        <w:ind w:left="567" w:hanging="283"/>
        <w:rPr>
          <w:rFonts w:eastAsia="Arial"/>
        </w:rPr>
      </w:pPr>
      <w:r>
        <w:rPr>
          <w:rFonts w:eastAsia="Arial"/>
        </w:rPr>
        <w:t xml:space="preserve">Teacher appraisal </w:t>
      </w:r>
    </w:p>
    <w:p w14:paraId="10EBD5D7" w14:textId="77777777" w:rsidR="008A564F" w:rsidRPr="00B41B4B" w:rsidRDefault="008A564F" w:rsidP="008A564F"/>
    <w:p w14:paraId="62483001" w14:textId="77777777" w:rsidR="008A564F" w:rsidRDefault="008A564F" w:rsidP="008A564F"/>
    <w:sectPr w:rsidR="008A564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7CD10" w14:textId="77777777" w:rsidR="009E6337" w:rsidRDefault="009E6337" w:rsidP="009E6337">
      <w:pPr>
        <w:spacing w:after="0" w:line="240" w:lineRule="auto"/>
      </w:pPr>
      <w:r>
        <w:separator/>
      </w:r>
    </w:p>
  </w:endnote>
  <w:endnote w:type="continuationSeparator" w:id="0">
    <w:p w14:paraId="4B232402" w14:textId="77777777" w:rsidR="009E6337" w:rsidRDefault="009E6337" w:rsidP="009E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B830" w14:textId="77777777" w:rsidR="009E6337" w:rsidRDefault="009E6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514C2" w14:textId="77777777" w:rsidR="009E6337" w:rsidRDefault="009E6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78FA" w14:textId="77777777" w:rsidR="009E6337" w:rsidRDefault="009E6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90AAD" w14:textId="77777777" w:rsidR="009E6337" w:rsidRDefault="009E6337" w:rsidP="009E6337">
      <w:pPr>
        <w:spacing w:after="0" w:line="240" w:lineRule="auto"/>
      </w:pPr>
      <w:r>
        <w:separator/>
      </w:r>
    </w:p>
  </w:footnote>
  <w:footnote w:type="continuationSeparator" w:id="0">
    <w:p w14:paraId="7867ECFD" w14:textId="77777777" w:rsidR="009E6337" w:rsidRDefault="009E6337" w:rsidP="009E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519E" w14:textId="607BF3A1" w:rsidR="009E6337" w:rsidRDefault="009E6337">
    <w:pPr>
      <w:pStyle w:val="Header"/>
    </w:pPr>
    <w:r>
      <w:rPr>
        <w:noProof/>
      </w:rPr>
      <w:pict w14:anchorId="0E3E5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49657" o:spid="_x0000_s2050" type="#_x0000_t75" style="position:absolute;margin-left:0;margin-top:0;width:451.25pt;height:502.9pt;z-index:-251657216;mso-position-horizontal:center;mso-position-horizontal-relative:margin;mso-position-vertical:center;mso-position-vertical-relative:margin" o:allowincell="f">
          <v:imagedata r:id="rId1" o:title="WATERMARK IN GODS HAND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FA38" w14:textId="08B2BEC8" w:rsidR="009E6337" w:rsidRDefault="009E6337">
    <w:pPr>
      <w:pStyle w:val="Header"/>
    </w:pPr>
    <w:r>
      <w:rPr>
        <w:noProof/>
      </w:rPr>
      <w:pict w14:anchorId="4C4DB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49658" o:spid="_x0000_s2051" type="#_x0000_t75" style="position:absolute;margin-left:0;margin-top:0;width:451.25pt;height:502.9pt;z-index:-251656192;mso-position-horizontal:center;mso-position-horizontal-relative:margin;mso-position-vertical:center;mso-position-vertical-relative:margin" o:allowincell="f">
          <v:imagedata r:id="rId1" o:title="WATERMARK IN GODS HAND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283" w14:textId="623941FB" w:rsidR="009E6337" w:rsidRDefault="009E6337">
    <w:pPr>
      <w:pStyle w:val="Header"/>
    </w:pPr>
    <w:r>
      <w:rPr>
        <w:noProof/>
      </w:rPr>
      <w:pict w14:anchorId="49A52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49656" o:spid="_x0000_s2049" type="#_x0000_t75" style="position:absolute;margin-left:0;margin-top:0;width:451.25pt;height:502.9pt;z-index:-251658240;mso-position-horizontal:center;mso-position-horizontal-relative:margin;mso-position-vertical:center;mso-position-vertical-relative:margin" o:allowincell="f">
          <v:imagedata r:id="rId1" o:title="WATERMARK IN GODS HAND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DAD6E992"/>
    <w:lvl w:ilvl="0" w:tplc="3A3694DC">
      <w:start w:val="1"/>
      <w:numFmt w:val="bullet"/>
      <w:lvlText w:val=""/>
      <w:lvlJc w:val="left"/>
      <w:pPr>
        <w:ind w:left="7873" w:hanging="360"/>
      </w:pPr>
      <w:rPr>
        <w:rFonts w:ascii="Symbol" w:hAnsi="Symbol"/>
        <w:b w:val="0"/>
        <w:bCs w:val="0"/>
      </w:rPr>
    </w:lvl>
    <w:lvl w:ilvl="1" w:tplc="6784BB8A">
      <w:start w:val="1"/>
      <w:numFmt w:val="bullet"/>
      <w:lvlText w:val="o"/>
      <w:lvlJc w:val="left"/>
      <w:pPr>
        <w:tabs>
          <w:tab w:val="num" w:pos="1440"/>
        </w:tabs>
        <w:ind w:left="1440" w:hanging="360"/>
      </w:pPr>
      <w:rPr>
        <w:rFonts w:ascii="Courier New" w:hAnsi="Courier New"/>
      </w:rPr>
    </w:lvl>
    <w:lvl w:ilvl="2" w:tplc="131A31EC">
      <w:start w:val="1"/>
      <w:numFmt w:val="bullet"/>
      <w:lvlText w:val=""/>
      <w:lvlJc w:val="left"/>
      <w:pPr>
        <w:tabs>
          <w:tab w:val="num" w:pos="2160"/>
        </w:tabs>
        <w:ind w:left="2160" w:hanging="360"/>
      </w:pPr>
      <w:rPr>
        <w:rFonts w:ascii="Wingdings" w:hAnsi="Wingdings"/>
      </w:rPr>
    </w:lvl>
    <w:lvl w:ilvl="3" w:tplc="937EE1A8">
      <w:start w:val="1"/>
      <w:numFmt w:val="bullet"/>
      <w:lvlText w:val=""/>
      <w:lvlJc w:val="left"/>
      <w:pPr>
        <w:tabs>
          <w:tab w:val="num" w:pos="2880"/>
        </w:tabs>
        <w:ind w:left="2880" w:hanging="360"/>
      </w:pPr>
      <w:rPr>
        <w:rFonts w:ascii="Symbol" w:hAnsi="Symbol"/>
      </w:rPr>
    </w:lvl>
    <w:lvl w:ilvl="4" w:tplc="661A540C">
      <w:start w:val="1"/>
      <w:numFmt w:val="bullet"/>
      <w:lvlText w:val="o"/>
      <w:lvlJc w:val="left"/>
      <w:pPr>
        <w:tabs>
          <w:tab w:val="num" w:pos="3600"/>
        </w:tabs>
        <w:ind w:left="3600" w:hanging="360"/>
      </w:pPr>
      <w:rPr>
        <w:rFonts w:ascii="Courier New" w:hAnsi="Courier New"/>
      </w:rPr>
    </w:lvl>
    <w:lvl w:ilvl="5" w:tplc="E7C05AAA">
      <w:start w:val="1"/>
      <w:numFmt w:val="bullet"/>
      <w:lvlText w:val=""/>
      <w:lvlJc w:val="left"/>
      <w:pPr>
        <w:tabs>
          <w:tab w:val="num" w:pos="4320"/>
        </w:tabs>
        <w:ind w:left="4320" w:hanging="360"/>
      </w:pPr>
      <w:rPr>
        <w:rFonts w:ascii="Wingdings" w:hAnsi="Wingdings"/>
      </w:rPr>
    </w:lvl>
    <w:lvl w:ilvl="6" w:tplc="C69273D6">
      <w:start w:val="1"/>
      <w:numFmt w:val="bullet"/>
      <w:lvlText w:val=""/>
      <w:lvlJc w:val="left"/>
      <w:pPr>
        <w:tabs>
          <w:tab w:val="num" w:pos="5040"/>
        </w:tabs>
        <w:ind w:left="5040" w:hanging="360"/>
      </w:pPr>
      <w:rPr>
        <w:rFonts w:ascii="Symbol" w:hAnsi="Symbol"/>
      </w:rPr>
    </w:lvl>
    <w:lvl w:ilvl="7" w:tplc="60B4374A">
      <w:start w:val="1"/>
      <w:numFmt w:val="bullet"/>
      <w:lvlText w:val="o"/>
      <w:lvlJc w:val="left"/>
      <w:pPr>
        <w:tabs>
          <w:tab w:val="num" w:pos="5760"/>
        </w:tabs>
        <w:ind w:left="5760" w:hanging="360"/>
      </w:pPr>
      <w:rPr>
        <w:rFonts w:ascii="Courier New" w:hAnsi="Courier New"/>
      </w:rPr>
    </w:lvl>
    <w:lvl w:ilvl="8" w:tplc="5A4A53D2">
      <w:start w:val="1"/>
      <w:numFmt w:val="bullet"/>
      <w:lvlText w:val=""/>
      <w:lvlJc w:val="left"/>
      <w:pPr>
        <w:tabs>
          <w:tab w:val="num" w:pos="6480"/>
        </w:tabs>
        <w:ind w:left="6480" w:hanging="360"/>
      </w:pPr>
      <w:rPr>
        <w:rFonts w:ascii="Wingdings" w:hAnsi="Wingdings"/>
      </w:rPr>
    </w:lvl>
  </w:abstractNum>
  <w:abstractNum w:abstractNumId="1" w15:restartNumberingAfterBreak="0">
    <w:nsid w:val="1B0C595C"/>
    <w:multiLevelType w:val="hybridMultilevel"/>
    <w:tmpl w:val="C87C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0293F"/>
    <w:multiLevelType w:val="hybridMultilevel"/>
    <w:tmpl w:val="14B0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41651"/>
    <w:multiLevelType w:val="hybridMultilevel"/>
    <w:tmpl w:val="A734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11062"/>
    <w:multiLevelType w:val="hybridMultilevel"/>
    <w:tmpl w:val="4110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6014A"/>
    <w:multiLevelType w:val="hybridMultilevel"/>
    <w:tmpl w:val="27B6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56DF0"/>
    <w:multiLevelType w:val="hybridMultilevel"/>
    <w:tmpl w:val="CDFA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609D6"/>
    <w:multiLevelType w:val="hybridMultilevel"/>
    <w:tmpl w:val="FA4C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41F77"/>
    <w:multiLevelType w:val="hybridMultilevel"/>
    <w:tmpl w:val="A0F8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3058C"/>
    <w:multiLevelType w:val="hybridMultilevel"/>
    <w:tmpl w:val="11B6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36876"/>
    <w:multiLevelType w:val="hybridMultilevel"/>
    <w:tmpl w:val="DF160484"/>
    <w:lvl w:ilvl="0" w:tplc="ADEA8C2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77C3F"/>
    <w:multiLevelType w:val="hybridMultilevel"/>
    <w:tmpl w:val="8654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F6CC5"/>
    <w:multiLevelType w:val="hybridMultilevel"/>
    <w:tmpl w:val="42A4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D5B4E"/>
    <w:multiLevelType w:val="hybridMultilevel"/>
    <w:tmpl w:val="FAC0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4F6E8D"/>
    <w:multiLevelType w:val="hybridMultilevel"/>
    <w:tmpl w:val="D0DA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E525B"/>
    <w:multiLevelType w:val="hybridMultilevel"/>
    <w:tmpl w:val="9468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A7DB3"/>
    <w:multiLevelType w:val="hybridMultilevel"/>
    <w:tmpl w:val="3F68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C3DBD"/>
    <w:multiLevelType w:val="hybridMultilevel"/>
    <w:tmpl w:val="98F6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6"/>
  </w:num>
  <w:num w:numId="5">
    <w:abstractNumId w:val="8"/>
  </w:num>
  <w:num w:numId="6">
    <w:abstractNumId w:val="11"/>
  </w:num>
  <w:num w:numId="7">
    <w:abstractNumId w:val="7"/>
  </w:num>
  <w:num w:numId="8">
    <w:abstractNumId w:val="13"/>
  </w:num>
  <w:num w:numId="9">
    <w:abstractNumId w:val="2"/>
  </w:num>
  <w:num w:numId="10">
    <w:abstractNumId w:val="16"/>
  </w:num>
  <w:num w:numId="11">
    <w:abstractNumId w:val="3"/>
  </w:num>
  <w:num w:numId="12">
    <w:abstractNumId w:val="4"/>
  </w:num>
  <w:num w:numId="13">
    <w:abstractNumId w:val="15"/>
  </w:num>
  <w:num w:numId="14">
    <w:abstractNumId w:val="17"/>
  </w:num>
  <w:num w:numId="15">
    <w:abstractNumId w:val="12"/>
  </w:num>
  <w:num w:numId="16">
    <w:abstractNumId w:val="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AE2"/>
    <w:rsid w:val="00092CF5"/>
    <w:rsid w:val="00152677"/>
    <w:rsid w:val="00184964"/>
    <w:rsid w:val="001B2AE2"/>
    <w:rsid w:val="001F7EFC"/>
    <w:rsid w:val="00343C75"/>
    <w:rsid w:val="003C6F0D"/>
    <w:rsid w:val="00463F90"/>
    <w:rsid w:val="004B31E3"/>
    <w:rsid w:val="005645A4"/>
    <w:rsid w:val="008A564F"/>
    <w:rsid w:val="009A07B5"/>
    <w:rsid w:val="009E6337"/>
    <w:rsid w:val="00AC5677"/>
    <w:rsid w:val="00B15503"/>
    <w:rsid w:val="00E267C7"/>
    <w:rsid w:val="00E51EEC"/>
    <w:rsid w:val="00F7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0DB349"/>
  <w15:docId w15:val="{2CD27789-82B0-4C02-BEC4-80D1414F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A564F"/>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B2AE2"/>
    <w:pPr>
      <w:widowControl w:val="0"/>
      <w:autoSpaceDE w:val="0"/>
      <w:autoSpaceDN w:val="0"/>
      <w:spacing w:after="0" w:line="240" w:lineRule="auto"/>
      <w:ind w:left="220"/>
    </w:pPr>
    <w:rPr>
      <w:rFonts w:ascii="Century Gothic" w:eastAsia="Century Gothic" w:hAnsi="Century Gothic" w:cs="Century Gothic"/>
      <w:sz w:val="24"/>
      <w:szCs w:val="24"/>
      <w:lang w:val="en-US" w:bidi="en-US"/>
    </w:rPr>
  </w:style>
  <w:style w:type="character" w:customStyle="1" w:styleId="BodyTextChar">
    <w:name w:val="Body Text Char"/>
    <w:basedOn w:val="DefaultParagraphFont"/>
    <w:link w:val="BodyText"/>
    <w:uiPriority w:val="1"/>
    <w:rsid w:val="001B2AE2"/>
    <w:rPr>
      <w:rFonts w:ascii="Century Gothic" w:eastAsia="Century Gothic" w:hAnsi="Century Gothic" w:cs="Century Gothic"/>
      <w:sz w:val="24"/>
      <w:szCs w:val="24"/>
      <w:lang w:val="en-US" w:bidi="en-US"/>
    </w:rPr>
  </w:style>
  <w:style w:type="paragraph" w:customStyle="1" w:styleId="TableParagraph">
    <w:name w:val="Table Paragraph"/>
    <w:basedOn w:val="Normal"/>
    <w:uiPriority w:val="1"/>
    <w:qFormat/>
    <w:rsid w:val="001B2AE2"/>
    <w:pPr>
      <w:widowControl w:val="0"/>
      <w:autoSpaceDE w:val="0"/>
      <w:autoSpaceDN w:val="0"/>
      <w:spacing w:after="0" w:line="240" w:lineRule="auto"/>
    </w:pPr>
    <w:rPr>
      <w:rFonts w:ascii="Century Gothic" w:eastAsia="Century Gothic" w:hAnsi="Century Gothic" w:cs="Century Gothic"/>
      <w:lang w:val="en-US" w:bidi="en-US"/>
    </w:rPr>
  </w:style>
  <w:style w:type="paragraph" w:styleId="BalloonText">
    <w:name w:val="Balloon Text"/>
    <w:basedOn w:val="Normal"/>
    <w:link w:val="BalloonTextChar"/>
    <w:uiPriority w:val="99"/>
    <w:semiHidden/>
    <w:unhideWhenUsed/>
    <w:rsid w:val="00E51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EEC"/>
    <w:rPr>
      <w:rFonts w:ascii="Tahoma" w:hAnsi="Tahoma" w:cs="Tahoma"/>
      <w:sz w:val="16"/>
      <w:szCs w:val="16"/>
    </w:rPr>
  </w:style>
  <w:style w:type="character" w:customStyle="1" w:styleId="Heading1Char">
    <w:name w:val="Heading 1 Char"/>
    <w:basedOn w:val="DefaultParagraphFont"/>
    <w:link w:val="Heading1"/>
    <w:uiPriority w:val="9"/>
    <w:rsid w:val="008A564F"/>
    <w:rPr>
      <w:rFonts w:ascii="Arial" w:eastAsia="MS Gothic" w:hAnsi="Arial" w:cs="Times New Roman"/>
      <w:b/>
      <w:bCs/>
      <w:sz w:val="28"/>
      <w:szCs w:val="32"/>
      <w:lang w:val="en-US"/>
    </w:rPr>
  </w:style>
  <w:style w:type="paragraph" w:styleId="TOC1">
    <w:name w:val="toc 1"/>
    <w:basedOn w:val="Normal"/>
    <w:next w:val="Normal"/>
    <w:autoRedefine/>
    <w:uiPriority w:val="39"/>
    <w:unhideWhenUsed/>
    <w:qFormat/>
    <w:rsid w:val="008A564F"/>
    <w:pPr>
      <w:tabs>
        <w:tab w:val="right" w:leader="dot" w:pos="9338"/>
      </w:tabs>
      <w:spacing w:before="120" w:after="120" w:line="240" w:lineRule="auto"/>
    </w:pPr>
    <w:rPr>
      <w:rFonts w:ascii="Arial" w:eastAsia="MS Mincho" w:hAnsi="Arial" w:cs="Times New Roman"/>
      <w:szCs w:val="24"/>
      <w:lang w:val="en-US"/>
    </w:rPr>
  </w:style>
  <w:style w:type="character" w:styleId="Hyperlink">
    <w:name w:val="Hyperlink"/>
    <w:uiPriority w:val="99"/>
    <w:unhideWhenUsed/>
    <w:qFormat/>
    <w:rsid w:val="008A564F"/>
    <w:rPr>
      <w:rFonts w:ascii="Arial" w:hAnsi="Arial"/>
      <w:color w:val="0092CF"/>
      <w:sz w:val="20"/>
      <w:u w:val="single"/>
    </w:rPr>
  </w:style>
  <w:style w:type="paragraph" w:customStyle="1" w:styleId="Caption1">
    <w:name w:val="Caption 1"/>
    <w:basedOn w:val="Normal"/>
    <w:qFormat/>
    <w:rsid w:val="008A564F"/>
    <w:pPr>
      <w:spacing w:before="120" w:after="120" w:line="240" w:lineRule="auto"/>
    </w:pPr>
    <w:rPr>
      <w:rFonts w:ascii="Arial" w:eastAsia="MS Mincho" w:hAnsi="Arial" w:cs="Times New Roman"/>
      <w:i/>
      <w:color w:val="F15F22"/>
      <w:sz w:val="20"/>
      <w:szCs w:val="24"/>
      <w:lang w:val="en-US"/>
    </w:rPr>
  </w:style>
  <w:style w:type="paragraph" w:styleId="ListParagraph">
    <w:name w:val="List Paragraph"/>
    <w:basedOn w:val="Normal"/>
    <w:uiPriority w:val="34"/>
    <w:qFormat/>
    <w:rsid w:val="008A564F"/>
    <w:pPr>
      <w:numPr>
        <w:numId w:val="2"/>
      </w:numPr>
      <w:spacing w:before="120" w:after="120" w:line="240" w:lineRule="auto"/>
    </w:pPr>
    <w:rPr>
      <w:rFonts w:ascii="Arial" w:eastAsia="MS Mincho" w:hAnsi="Arial" w:cs="Times New Roman"/>
      <w:sz w:val="20"/>
      <w:szCs w:val="24"/>
      <w:lang w:val="en-US"/>
    </w:rPr>
  </w:style>
  <w:style w:type="character" w:customStyle="1" w:styleId="CommentSubjectChar">
    <w:name w:val="Comment Subject Char"/>
    <w:link w:val="CommentSubject"/>
    <w:uiPriority w:val="99"/>
    <w:semiHidden/>
    <w:rsid w:val="008A564F"/>
    <w:rPr>
      <w:rFonts w:ascii="Arial" w:hAnsi="Arial"/>
      <w:b/>
      <w:bCs/>
      <w:lang w:val="en-US" w:eastAsia="en-US"/>
    </w:rPr>
  </w:style>
  <w:style w:type="paragraph" w:styleId="CommentText">
    <w:name w:val="annotation text"/>
    <w:basedOn w:val="Normal"/>
    <w:link w:val="CommentTextChar"/>
    <w:uiPriority w:val="99"/>
    <w:semiHidden/>
    <w:unhideWhenUsed/>
    <w:rsid w:val="008A564F"/>
    <w:pPr>
      <w:spacing w:line="240" w:lineRule="auto"/>
    </w:pPr>
    <w:rPr>
      <w:sz w:val="20"/>
      <w:szCs w:val="20"/>
    </w:rPr>
  </w:style>
  <w:style w:type="character" w:customStyle="1" w:styleId="CommentTextChar">
    <w:name w:val="Comment Text Char"/>
    <w:basedOn w:val="DefaultParagraphFont"/>
    <w:link w:val="CommentText"/>
    <w:uiPriority w:val="99"/>
    <w:semiHidden/>
    <w:rsid w:val="008A564F"/>
    <w:rPr>
      <w:sz w:val="20"/>
      <w:szCs w:val="20"/>
    </w:rPr>
  </w:style>
  <w:style w:type="paragraph" w:styleId="CommentSubject">
    <w:name w:val="annotation subject"/>
    <w:basedOn w:val="CommentText"/>
    <w:next w:val="CommentText"/>
    <w:link w:val="CommentSubjectChar"/>
    <w:uiPriority w:val="99"/>
    <w:semiHidden/>
    <w:unhideWhenUsed/>
    <w:rsid w:val="008A564F"/>
    <w:rPr>
      <w:rFonts w:ascii="Arial" w:hAnsi="Arial"/>
      <w:b/>
      <w:bCs/>
      <w:sz w:val="22"/>
      <w:szCs w:val="22"/>
      <w:lang w:val="en-US"/>
    </w:rPr>
  </w:style>
  <w:style w:type="character" w:customStyle="1" w:styleId="CommentSubjectChar1">
    <w:name w:val="Comment Subject Char1"/>
    <w:basedOn w:val="CommentTextChar"/>
    <w:uiPriority w:val="99"/>
    <w:semiHidden/>
    <w:rsid w:val="008A564F"/>
    <w:rPr>
      <w:b/>
      <w:bCs/>
      <w:sz w:val="20"/>
      <w:szCs w:val="20"/>
    </w:rPr>
  </w:style>
  <w:style w:type="paragraph" w:styleId="Header">
    <w:name w:val="header"/>
    <w:basedOn w:val="Normal"/>
    <w:link w:val="HeaderChar"/>
    <w:uiPriority w:val="99"/>
    <w:unhideWhenUsed/>
    <w:rsid w:val="009E6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337"/>
  </w:style>
  <w:style w:type="paragraph" w:styleId="Footer">
    <w:name w:val="footer"/>
    <w:basedOn w:val="Normal"/>
    <w:link w:val="FooterChar"/>
    <w:uiPriority w:val="99"/>
    <w:unhideWhenUsed/>
    <w:rsid w:val="009E6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teachers-pay-and-conditions" TargetMode="External"/><Relationship Id="rId13" Type="http://schemas.openxmlformats.org/officeDocument/2006/relationships/hyperlink" Target="http://www.legislation.gov.uk/uksi/2000/1551/contents/made" TargetMode="External"/><Relationship Id="rId18" Type="http://schemas.openxmlformats.org/officeDocument/2006/relationships/hyperlink" Target="http://www.acas.org.uk/media/pdf/f/m/Acas-Code-of-Practice-1-on-disciplinary-and-grievance-procedure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legislation.gov.uk/ukpga/1999/26/contents" TargetMode="External"/><Relationship Id="rId17" Type="http://schemas.openxmlformats.org/officeDocument/2006/relationships/hyperlink" Target="http://www.acas.org.uk/media/pdf/f/m/Acas-Code-of-Practice-1-on-disciplinary-and-grievance-procedure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viewing-and-revising-school-teachers-pay"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legislation.gov.uk/ukpga/2010/15/contents?" TargetMode="External"/><Relationship Id="rId23" Type="http://schemas.openxmlformats.org/officeDocument/2006/relationships/header" Target="header3.xml"/><Relationship Id="rId10" Type="http://schemas.openxmlformats.org/officeDocument/2006/relationships/hyperlink" Target="https://www.gov.uk/government/publications/school-teachers-pay-and-condition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reviewing-and-revising-school-teachers-pay" TargetMode="External"/><Relationship Id="rId14" Type="http://schemas.openxmlformats.org/officeDocument/2006/relationships/hyperlink" Target="http://www.legislation.gov.uk/uksi/2002/2034/content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Bonner</dc:creator>
  <cp:lastModifiedBy>Ashmina Rahman</cp:lastModifiedBy>
  <cp:revision>5</cp:revision>
  <dcterms:created xsi:type="dcterms:W3CDTF">2019-05-07T16:11:00Z</dcterms:created>
  <dcterms:modified xsi:type="dcterms:W3CDTF">2022-12-16T14:45:00Z</dcterms:modified>
</cp:coreProperties>
</file>