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35"/>
        <w:gridCol w:w="1761"/>
      </w:tblGrid>
      <w:tr w:rsidR="00541A7F" w:rsidTr="007D0FC4">
        <w:trPr>
          <w:trHeight w:val="1550"/>
        </w:trPr>
        <w:tc>
          <w:tcPr>
            <w:tcW w:w="9235" w:type="dxa"/>
            <w:shd w:val="clear" w:color="auto" w:fill="00AF50"/>
          </w:tcPr>
          <w:p w:rsidR="00541A7F" w:rsidRPr="00505DAF" w:rsidRDefault="00F2709C">
            <w:pPr>
              <w:pStyle w:val="TableParagraph"/>
              <w:spacing w:line="810" w:lineRule="exact"/>
              <w:ind w:left="696" w:right="679"/>
              <w:jc w:val="center"/>
              <w:rPr>
                <w:rFonts w:ascii="Trebuchet MS"/>
                <w:sz w:val="56"/>
                <w:szCs w:val="56"/>
              </w:rPr>
            </w:pPr>
            <w:r w:rsidRPr="00505DAF">
              <w:rPr>
                <w:rFonts w:ascii="Trebuchet MS"/>
                <w:color w:val="FFFFFF"/>
                <w:sz w:val="56"/>
                <w:szCs w:val="56"/>
              </w:rPr>
              <w:t>Reading</w:t>
            </w:r>
            <w:r w:rsidRPr="00505DAF">
              <w:rPr>
                <w:rFonts w:ascii="Trebuchet MS"/>
                <w:color w:val="FFFFFF"/>
                <w:spacing w:val="-91"/>
                <w:sz w:val="56"/>
                <w:szCs w:val="56"/>
              </w:rPr>
              <w:t xml:space="preserve"> </w:t>
            </w:r>
            <w:r w:rsidR="007D0FC4" w:rsidRPr="00505DAF">
              <w:rPr>
                <w:rFonts w:ascii="Trebuchet MS"/>
                <w:color w:val="FFFFFF"/>
                <w:spacing w:val="-91"/>
                <w:sz w:val="56"/>
                <w:szCs w:val="56"/>
              </w:rPr>
              <w:t>Intent</w:t>
            </w:r>
            <w:r w:rsidR="00505DAF" w:rsidRPr="00505DAF">
              <w:rPr>
                <w:rFonts w:ascii="Trebuchet MS"/>
                <w:color w:val="FFFFFF"/>
                <w:spacing w:val="-91"/>
                <w:sz w:val="56"/>
                <w:szCs w:val="56"/>
              </w:rPr>
              <w:t>ion</w:t>
            </w:r>
            <w:r w:rsidR="007D0FC4" w:rsidRPr="00505DAF">
              <w:rPr>
                <w:rFonts w:ascii="Trebuchet MS"/>
                <w:color w:val="FFFFFF"/>
                <w:spacing w:val="-91"/>
                <w:sz w:val="56"/>
                <w:szCs w:val="56"/>
              </w:rPr>
              <w:t xml:space="preserve"> </w:t>
            </w:r>
            <w:r w:rsidR="00505DAF">
              <w:rPr>
                <w:rFonts w:ascii="Trebuchet MS"/>
                <w:color w:val="FFFFFF"/>
                <w:sz w:val="56"/>
                <w:szCs w:val="56"/>
              </w:rPr>
              <w:t>a</w:t>
            </w:r>
            <w:r w:rsidRPr="00505DAF">
              <w:rPr>
                <w:rFonts w:ascii="Trebuchet MS"/>
                <w:color w:val="FFFFFF"/>
                <w:sz w:val="56"/>
                <w:szCs w:val="56"/>
              </w:rPr>
              <w:t>t</w:t>
            </w:r>
            <w:r w:rsidR="007D0FC4" w:rsidRPr="00505DAF">
              <w:rPr>
                <w:rFonts w:ascii="Trebuchet MS"/>
                <w:color w:val="FFFFFF"/>
                <w:spacing w:val="-90"/>
                <w:sz w:val="56"/>
                <w:szCs w:val="56"/>
              </w:rPr>
              <w:t xml:space="preserve"> St Ignatius</w:t>
            </w:r>
          </w:p>
          <w:p w:rsidR="00541A7F" w:rsidRDefault="00F2709C">
            <w:pPr>
              <w:pStyle w:val="TableParagraph"/>
              <w:spacing w:line="261" w:lineRule="exact"/>
              <w:ind w:left="691" w:right="685"/>
              <w:jc w:val="center"/>
              <w:rPr>
                <w:rFonts w:ascii="Trebuchet MS" w:hAnsi="Trebuchet MS"/>
                <w:i/>
                <w:sz w:val="24"/>
              </w:rPr>
            </w:pPr>
            <w:r>
              <w:rPr>
                <w:rFonts w:ascii="Trebuchet MS" w:hAnsi="Trebuchet MS"/>
                <w:i/>
                <w:w w:val="90"/>
                <w:sz w:val="24"/>
              </w:rPr>
              <w:t>‘The more that you read, the more things you will know.</w:t>
            </w:r>
          </w:p>
          <w:p w:rsidR="00541A7F" w:rsidRDefault="00F2709C">
            <w:pPr>
              <w:pStyle w:val="TableParagraph"/>
              <w:spacing w:line="264" w:lineRule="exact"/>
              <w:ind w:left="696" w:right="685"/>
              <w:jc w:val="center"/>
              <w:rPr>
                <w:rFonts w:ascii="Trebuchet MS" w:hAnsi="Trebuchet MS"/>
                <w:sz w:val="24"/>
              </w:rPr>
            </w:pPr>
            <w:r>
              <w:rPr>
                <w:rFonts w:ascii="Trebuchet MS" w:hAnsi="Trebuchet MS"/>
                <w:i/>
                <w:sz w:val="24"/>
              </w:rPr>
              <w:t xml:space="preserve">The more that you </w:t>
            </w:r>
            <w:proofErr w:type="gramStart"/>
            <w:r>
              <w:rPr>
                <w:rFonts w:ascii="Trebuchet MS" w:hAnsi="Trebuchet MS"/>
                <w:i/>
                <w:sz w:val="24"/>
              </w:rPr>
              <w:t>learn,</w:t>
            </w:r>
            <w:proofErr w:type="gramEnd"/>
            <w:r>
              <w:rPr>
                <w:rFonts w:ascii="Trebuchet MS" w:hAnsi="Trebuchet MS"/>
                <w:i/>
                <w:sz w:val="24"/>
              </w:rPr>
              <w:t xml:space="preserve"> the more places you'll go.’ </w:t>
            </w:r>
            <w:r>
              <w:rPr>
                <w:rFonts w:ascii="Trebuchet MS" w:hAnsi="Trebuchet MS"/>
                <w:sz w:val="24"/>
              </w:rPr>
              <w:t>Dr Seuss</w:t>
            </w:r>
          </w:p>
        </w:tc>
        <w:tc>
          <w:tcPr>
            <w:tcW w:w="1761" w:type="dxa"/>
          </w:tcPr>
          <w:p w:rsidR="00541A7F" w:rsidRDefault="007D0FC4" w:rsidP="007D0FC4">
            <w:pPr>
              <w:pStyle w:val="TableParagraph"/>
              <w:ind w:left="0"/>
              <w:rPr>
                <w:rFonts w:ascii="Times New Roman"/>
                <w:sz w:val="20"/>
              </w:rPr>
            </w:pPr>
            <w:r>
              <w:rPr>
                <w:rFonts w:ascii="Times New Roman"/>
                <w:noProof/>
                <w:sz w:val="20"/>
                <w:lang w:val="en-GB" w:eastAsia="en-GB"/>
              </w:rPr>
              <w:drawing>
                <wp:inline distT="0" distB="0" distL="0" distR="0">
                  <wp:extent cx="1085850" cy="984250"/>
                  <wp:effectExtent l="19050" t="0" r="0" b="0"/>
                  <wp:docPr id="2" name="Picture 1" descr="C:\Users\Karen T\Desktop\Middle Leaders\read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Middle Leaders\reading.jpeg"/>
                          <pic:cNvPicPr>
                            <a:picLocks noChangeAspect="1" noChangeArrowheads="1"/>
                          </pic:cNvPicPr>
                        </pic:nvPicPr>
                        <pic:blipFill>
                          <a:blip r:embed="rId5" cstate="print"/>
                          <a:srcRect/>
                          <a:stretch>
                            <a:fillRect/>
                          </a:stretch>
                        </pic:blipFill>
                        <pic:spPr bwMode="auto">
                          <a:xfrm>
                            <a:off x="0" y="0"/>
                            <a:ext cx="1094399" cy="991999"/>
                          </a:xfrm>
                          <a:prstGeom prst="rect">
                            <a:avLst/>
                          </a:prstGeom>
                          <a:noFill/>
                          <a:ln w="9525">
                            <a:noFill/>
                            <a:miter lim="800000"/>
                            <a:headEnd/>
                            <a:tailEnd/>
                          </a:ln>
                        </pic:spPr>
                      </pic:pic>
                    </a:graphicData>
                  </a:graphic>
                </wp:inline>
              </w:drawing>
            </w:r>
          </w:p>
        </w:tc>
      </w:tr>
      <w:tr w:rsidR="00541A7F" w:rsidRPr="009C4890">
        <w:trPr>
          <w:trHeight w:val="1221"/>
        </w:trPr>
        <w:tc>
          <w:tcPr>
            <w:tcW w:w="10996" w:type="dxa"/>
            <w:gridSpan w:val="2"/>
          </w:tcPr>
          <w:p w:rsidR="00541A7F" w:rsidRPr="009C4890" w:rsidRDefault="00F2709C">
            <w:pPr>
              <w:pStyle w:val="TableParagraph"/>
              <w:spacing w:before="1"/>
              <w:ind w:right="1148"/>
              <w:rPr>
                <w:rFonts w:ascii="Century Gothic" w:hAnsi="Century Gothic" w:cstheme="minorHAnsi"/>
                <w:sz w:val="20"/>
                <w:szCs w:val="20"/>
              </w:rPr>
            </w:pPr>
            <w:r w:rsidRPr="009C4890">
              <w:rPr>
                <w:rFonts w:ascii="Century Gothic" w:hAnsi="Century Gothic" w:cstheme="minorHAnsi"/>
                <w:i/>
                <w:sz w:val="20"/>
                <w:szCs w:val="20"/>
              </w:rPr>
              <w:t xml:space="preserve">‘Developing a love of reading can be more important for a child’s educational success than their family’s socio-economic background.’ </w:t>
            </w:r>
            <w:proofErr w:type="spellStart"/>
            <w:r w:rsidRPr="009C4890">
              <w:rPr>
                <w:rFonts w:ascii="Century Gothic" w:hAnsi="Century Gothic" w:cstheme="minorHAnsi"/>
                <w:sz w:val="20"/>
                <w:szCs w:val="20"/>
              </w:rPr>
              <w:t>Organisation</w:t>
            </w:r>
            <w:proofErr w:type="spellEnd"/>
            <w:r w:rsidRPr="009C4890">
              <w:rPr>
                <w:rFonts w:ascii="Century Gothic" w:hAnsi="Century Gothic" w:cstheme="minorHAnsi"/>
                <w:sz w:val="20"/>
                <w:szCs w:val="20"/>
              </w:rPr>
              <w:t xml:space="preserve"> for Economic Co-operation and Development (OECD) 2005</w:t>
            </w:r>
          </w:p>
          <w:p w:rsidR="00541A7F" w:rsidRPr="009C4890" w:rsidRDefault="00F2709C" w:rsidP="007D0FC4">
            <w:pPr>
              <w:pStyle w:val="TableParagraph"/>
              <w:spacing w:line="243" w:lineRule="exact"/>
              <w:rPr>
                <w:rFonts w:ascii="Century Gothic" w:hAnsi="Century Gothic" w:cstheme="minorHAnsi"/>
                <w:i/>
                <w:sz w:val="20"/>
                <w:szCs w:val="20"/>
              </w:rPr>
            </w:pPr>
            <w:r w:rsidRPr="009C4890">
              <w:rPr>
                <w:rFonts w:ascii="Century Gothic" w:hAnsi="Century Gothic" w:cstheme="minorHAnsi"/>
                <w:i/>
                <w:sz w:val="20"/>
                <w:szCs w:val="20"/>
              </w:rPr>
              <w:t>‘Other benefits include an increased breadth of vocabulary, pleasure in reading in later life, a better understanding of other cultures,</w:t>
            </w:r>
            <w:r w:rsidR="0061493D">
              <w:rPr>
                <w:rFonts w:ascii="Century Gothic" w:hAnsi="Century Gothic" w:cstheme="minorHAnsi"/>
                <w:i/>
                <w:sz w:val="20"/>
                <w:szCs w:val="20"/>
              </w:rPr>
              <w:t xml:space="preserve"> </w:t>
            </w:r>
            <w:r w:rsidRPr="009C4890">
              <w:rPr>
                <w:rFonts w:ascii="Century Gothic" w:hAnsi="Century Gothic" w:cstheme="minorHAnsi"/>
                <w:i/>
                <w:sz w:val="20"/>
                <w:szCs w:val="20"/>
              </w:rPr>
              <w:t xml:space="preserve">better general knowledge and even ‘a greater insight into human nature.’ </w:t>
            </w:r>
            <w:r w:rsidRPr="009C4890">
              <w:rPr>
                <w:rFonts w:ascii="Century Gothic" w:hAnsi="Century Gothic" w:cstheme="minorHAnsi"/>
                <w:sz w:val="20"/>
                <w:szCs w:val="20"/>
              </w:rPr>
              <w:t>Reading for Pleasure: A research overview, National Literacy Trust, 2006</w:t>
            </w:r>
          </w:p>
        </w:tc>
      </w:tr>
      <w:tr w:rsidR="007D0FC4" w:rsidRPr="009C4890" w:rsidTr="009C4890">
        <w:trPr>
          <w:trHeight w:val="7651"/>
        </w:trPr>
        <w:tc>
          <w:tcPr>
            <w:tcW w:w="10996" w:type="dxa"/>
            <w:gridSpan w:val="2"/>
          </w:tcPr>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7D0FC4">
            <w:pPr>
              <w:pStyle w:val="TableParagraph"/>
              <w:ind w:right="620"/>
              <w:rPr>
                <w:rFonts w:ascii="Century Gothic" w:hAnsi="Century Gothic" w:cstheme="minorHAnsi"/>
                <w:b/>
                <w:color w:val="6E2E9F"/>
                <w:sz w:val="24"/>
                <w:szCs w:val="24"/>
              </w:rPr>
            </w:pPr>
            <w:r w:rsidRPr="0061493D">
              <w:rPr>
                <w:rFonts w:ascii="Century Gothic" w:hAnsi="Century Gothic" w:cstheme="minorHAnsi"/>
                <w:b/>
                <w:color w:val="6E2E9F"/>
                <w:sz w:val="24"/>
                <w:szCs w:val="24"/>
              </w:rPr>
              <w:t>Intent</w:t>
            </w:r>
          </w:p>
          <w:p w:rsidR="007D0FC4" w:rsidRPr="009C4890" w:rsidRDefault="007D0FC4">
            <w:pPr>
              <w:pStyle w:val="TableParagraph"/>
              <w:ind w:right="620"/>
              <w:rPr>
                <w:rFonts w:ascii="Century Gothic" w:hAnsi="Century Gothic" w:cstheme="minorHAnsi"/>
                <w:color w:val="000000" w:themeColor="text1"/>
                <w:sz w:val="20"/>
                <w:szCs w:val="20"/>
              </w:rPr>
            </w:pPr>
          </w:p>
          <w:p w:rsidR="007D0FC4" w:rsidRPr="009C4890" w:rsidRDefault="007D0FC4">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At St Ignatius Catholic Primary School, our aim is for every child to become a fluent reader. It is our intent to provide pupils with a high-quality education in reading that will teach pupils to read fluently so that they can communicate their ideas and emotions to others effectively.</w:t>
            </w:r>
          </w:p>
          <w:p w:rsidR="007D0FC4" w:rsidRPr="009C4890" w:rsidRDefault="007D0FC4">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With regards to reading, phonics will be taught in the early teaching of reading when the chi</w:t>
            </w:r>
            <w:r w:rsidR="009C4890" w:rsidRPr="009C4890">
              <w:rPr>
                <w:rFonts w:ascii="Century Gothic" w:hAnsi="Century Gothic" w:cstheme="minorHAnsi"/>
                <w:color w:val="000000" w:themeColor="text1"/>
                <w:sz w:val="20"/>
                <w:szCs w:val="20"/>
              </w:rPr>
              <w:t>ldren start school. We intend</w:t>
            </w:r>
            <w:r w:rsidRPr="009C4890">
              <w:rPr>
                <w:rFonts w:ascii="Century Gothic" w:hAnsi="Century Gothic" w:cstheme="minorHAnsi"/>
                <w:color w:val="000000" w:themeColor="text1"/>
                <w:sz w:val="20"/>
                <w:szCs w:val="20"/>
              </w:rPr>
              <w:t xml:space="preserve"> to encourage all pupils to read widely across both fiction and non-fiction genres to develop their knowledge of themselves and the world in which they live, to establish an appreciation and love of reading, to gain knowledge across the curriculum and develop their comprehension skills. It is our intention to ensure that, by the end of their primary education, all pupils are able to read fluently, and with confidence, in any subject:</w:t>
            </w:r>
          </w:p>
          <w:p w:rsidR="007D0FC4" w:rsidRPr="009C4890" w:rsidRDefault="007D0FC4">
            <w:pPr>
              <w:pStyle w:val="TableParagraph"/>
              <w:ind w:right="620"/>
              <w:rPr>
                <w:rFonts w:ascii="Century Gothic" w:hAnsi="Century Gothic" w:cstheme="minorHAnsi"/>
                <w:color w:val="000000" w:themeColor="text1"/>
                <w:sz w:val="20"/>
                <w:szCs w:val="20"/>
              </w:rPr>
            </w:pPr>
          </w:p>
          <w:p w:rsidR="007D0FC4" w:rsidRPr="009C4890" w:rsidRDefault="007D0FC4">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We aim for child</w:t>
            </w:r>
            <w:r w:rsidR="00727D26" w:rsidRPr="009C4890">
              <w:rPr>
                <w:rFonts w:ascii="Century Gothic" w:hAnsi="Century Gothic" w:cstheme="minorHAnsi"/>
                <w:color w:val="000000" w:themeColor="text1"/>
                <w:sz w:val="20"/>
                <w:szCs w:val="20"/>
              </w:rPr>
              <w:t>ren to:</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Gain a life-long enjoyment of reading and books;</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accurately, fluently and with understanding;</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Apply a knowledge of structured synthetic phonics in order to decode unfamiliar words with increasing accuracy and speed;</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good comprehension drawing from their linguistic knowledge</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Be able to read with expression, clarity and confidence;</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good linguistic knowledge of vocabulary and grammar;</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for pleasure both at home and school on a regular basis;</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deeper level of emotional intelligence and empathy;</w:t>
            </w:r>
          </w:p>
          <w:p w:rsidR="00727D26" w:rsidRPr="009C4890" w:rsidRDefault="00727D26" w:rsidP="00727D26">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their reading in all subjects to support their acquisition of knowledge;</w:t>
            </w:r>
          </w:p>
          <w:p w:rsidR="00727D26" w:rsidRPr="009C4890" w:rsidRDefault="00727D26" w:rsidP="00727D26">
            <w:pPr>
              <w:pStyle w:val="TableParagraph"/>
              <w:ind w:left="832" w:right="620"/>
              <w:rPr>
                <w:rFonts w:ascii="Century Gothic" w:hAnsi="Century Gothic" w:cstheme="minorHAnsi"/>
                <w:color w:val="000000" w:themeColor="text1"/>
                <w:sz w:val="20"/>
                <w:szCs w:val="20"/>
              </w:rPr>
            </w:pPr>
          </w:p>
          <w:p w:rsidR="00727D26" w:rsidRPr="0061493D" w:rsidRDefault="00727D26" w:rsidP="00727D26">
            <w:pPr>
              <w:pStyle w:val="TableParagraph"/>
              <w:ind w:left="163" w:right="620"/>
              <w:rPr>
                <w:rFonts w:ascii="Century Gothic" w:hAnsi="Century Gothic" w:cstheme="minorHAnsi"/>
                <w:b/>
                <w:color w:val="7030A0"/>
                <w:sz w:val="24"/>
                <w:szCs w:val="24"/>
              </w:rPr>
            </w:pPr>
            <w:r w:rsidRPr="0061493D">
              <w:rPr>
                <w:rFonts w:ascii="Century Gothic" w:hAnsi="Century Gothic" w:cstheme="minorHAnsi"/>
                <w:b/>
                <w:color w:val="7030A0"/>
                <w:sz w:val="24"/>
                <w:szCs w:val="24"/>
              </w:rPr>
              <w:t>Implementation</w:t>
            </w:r>
          </w:p>
          <w:p w:rsidR="009C4890" w:rsidRPr="009C4890" w:rsidRDefault="009C4890" w:rsidP="00727D26">
            <w:pPr>
              <w:pStyle w:val="TableParagraph"/>
              <w:ind w:left="163" w:right="620"/>
              <w:rPr>
                <w:rFonts w:ascii="Century Gothic" w:hAnsi="Century Gothic" w:cstheme="minorHAnsi"/>
                <w:b/>
                <w:color w:val="7030A0"/>
                <w:sz w:val="20"/>
                <w:szCs w:val="20"/>
              </w:rPr>
            </w:pPr>
          </w:p>
          <w:p w:rsidR="00727D26" w:rsidRPr="009C4890" w:rsidRDefault="0061493D" w:rsidP="009C4890">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w:t>
            </w:r>
            <w:r w:rsidR="00727D26" w:rsidRPr="009C4890">
              <w:rPr>
                <w:rFonts w:ascii="Century Gothic" w:hAnsi="Century Gothic" w:cstheme="minorHAnsi"/>
                <w:b/>
                <w:color w:val="7030A0"/>
                <w:sz w:val="20"/>
                <w:szCs w:val="20"/>
              </w:rPr>
              <w:t xml:space="preserve">Early Years </w:t>
            </w:r>
          </w:p>
          <w:p w:rsidR="00727D26" w:rsidRPr="009C4890" w:rsidRDefault="00727D26" w:rsidP="00727D26">
            <w:pPr>
              <w:pStyle w:val="TableParagraph"/>
              <w:ind w:right="620"/>
              <w:rPr>
                <w:rFonts w:ascii="Century Gothic" w:hAnsi="Century Gothic" w:cstheme="minorHAnsi"/>
                <w:b/>
                <w:color w:val="7030A0"/>
                <w:sz w:val="20"/>
                <w:szCs w:val="20"/>
              </w:rPr>
            </w:pPr>
          </w:p>
          <w:p w:rsidR="00727D26" w:rsidRPr="009C4890" w:rsidRDefault="00727D26" w:rsidP="00727D26">
            <w:pPr>
              <w:pStyle w:val="TableParagraph"/>
              <w:ind w:left="163"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As soon as children start in our Nursery, we begin the teaching of phonics and start to develop children’s love of books by modeling reading, sharing stories and encouraging children to explore a range of books as part of their daily routine. This continues in Reception, where we also begin to teach children to decode (sound out words) and read independently.</w:t>
            </w:r>
            <w:r w:rsidR="009A7851" w:rsidRPr="009C4890">
              <w:rPr>
                <w:rFonts w:ascii="Century Gothic" w:hAnsi="Century Gothic" w:cstheme="minorHAnsi"/>
                <w:color w:val="000000" w:themeColor="text1"/>
                <w:sz w:val="20"/>
                <w:szCs w:val="20"/>
              </w:rPr>
              <w:t xml:space="preserve"> </w:t>
            </w:r>
            <w:r w:rsidRPr="009C4890">
              <w:rPr>
                <w:rFonts w:ascii="Century Gothic" w:hAnsi="Century Gothic" w:cstheme="minorHAnsi"/>
                <w:color w:val="000000" w:themeColor="text1"/>
                <w:sz w:val="20"/>
                <w:szCs w:val="20"/>
              </w:rPr>
              <w:t xml:space="preserve">Sounds are introduced in Nursery through ‘Jolly Phonics’ so that the children can use the actions to support their acquisition of the initial sounds. The school then follows the Read, Write Inc </w:t>
            </w:r>
            <w:proofErr w:type="spellStart"/>
            <w:r w:rsidRPr="009C4890">
              <w:rPr>
                <w:rFonts w:ascii="Century Gothic" w:hAnsi="Century Gothic" w:cstheme="minorHAnsi"/>
                <w:color w:val="000000" w:themeColor="text1"/>
                <w:sz w:val="20"/>
                <w:szCs w:val="20"/>
              </w:rPr>
              <w:t>programme</w:t>
            </w:r>
            <w:proofErr w:type="spellEnd"/>
            <w:r w:rsidRPr="009C4890">
              <w:rPr>
                <w:rFonts w:ascii="Century Gothic" w:hAnsi="Century Gothic" w:cstheme="minorHAnsi"/>
                <w:color w:val="000000" w:themeColor="text1"/>
                <w:sz w:val="20"/>
                <w:szCs w:val="20"/>
              </w:rPr>
              <w:t xml:space="preserve"> throughout the rest of the foundation stage and Key Stage 1. </w:t>
            </w:r>
          </w:p>
          <w:p w:rsidR="00727D26" w:rsidRPr="009C4890" w:rsidRDefault="00727D26" w:rsidP="00727D26">
            <w:pPr>
              <w:pStyle w:val="TableParagraph"/>
              <w:ind w:left="163"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Children have daily phonics sessions as well as targeted guided reading sessions </w:t>
            </w:r>
            <w:r w:rsidR="009A7851" w:rsidRPr="009C4890">
              <w:rPr>
                <w:rFonts w:ascii="Century Gothic" w:hAnsi="Century Gothic" w:cstheme="minorHAnsi"/>
                <w:color w:val="000000" w:themeColor="text1"/>
                <w:sz w:val="20"/>
                <w:szCs w:val="20"/>
              </w:rPr>
              <w:t xml:space="preserve">in Reception </w:t>
            </w:r>
            <w:r w:rsidRPr="009C4890">
              <w:rPr>
                <w:rFonts w:ascii="Century Gothic" w:hAnsi="Century Gothic" w:cstheme="minorHAnsi"/>
                <w:color w:val="000000" w:themeColor="text1"/>
                <w:sz w:val="20"/>
                <w:szCs w:val="20"/>
              </w:rPr>
              <w:t xml:space="preserve">from Spring term onwards with children reading in groups with an adult. </w:t>
            </w:r>
            <w:proofErr w:type="gramStart"/>
            <w:r w:rsidRPr="009C4890">
              <w:rPr>
                <w:rFonts w:ascii="Century Gothic" w:hAnsi="Century Gothic" w:cstheme="minorHAnsi"/>
                <w:color w:val="000000" w:themeColor="text1"/>
                <w:sz w:val="20"/>
                <w:szCs w:val="20"/>
              </w:rPr>
              <w:t>Staff also listen</w:t>
            </w:r>
            <w:proofErr w:type="gramEnd"/>
            <w:r w:rsidRPr="009C4890">
              <w:rPr>
                <w:rFonts w:ascii="Century Gothic" w:hAnsi="Century Gothic" w:cstheme="minorHAnsi"/>
                <w:color w:val="000000" w:themeColor="text1"/>
                <w:sz w:val="20"/>
                <w:szCs w:val="20"/>
              </w:rPr>
              <w:t xml:space="preserve"> to pupils read on a one-to-one basis where this is needed. Children learning their letters and sounds will have decodable books for independent and home-reading and, wherever possible, in class.</w:t>
            </w:r>
          </w:p>
          <w:p w:rsidR="007D0FC4" w:rsidRPr="009C4890" w:rsidRDefault="007D0FC4">
            <w:pPr>
              <w:pStyle w:val="TableParagraph"/>
              <w:ind w:right="620"/>
              <w:rPr>
                <w:rFonts w:ascii="Century Gothic" w:hAnsi="Century Gothic" w:cstheme="minorHAnsi"/>
                <w:b/>
                <w:color w:val="6E2E9F"/>
                <w:sz w:val="20"/>
                <w:szCs w:val="20"/>
              </w:rPr>
            </w:pPr>
          </w:p>
          <w:p w:rsidR="007D0FC4" w:rsidRPr="009C4890" w:rsidRDefault="009A7851">
            <w:pPr>
              <w:pStyle w:val="TableParagraph"/>
              <w:ind w:right="620"/>
              <w:rPr>
                <w:rFonts w:ascii="Century Gothic" w:hAnsi="Century Gothic" w:cstheme="minorHAnsi"/>
                <w:b/>
                <w:color w:val="6E2E9F"/>
                <w:sz w:val="20"/>
                <w:szCs w:val="20"/>
              </w:rPr>
            </w:pPr>
            <w:r w:rsidRPr="009C4890">
              <w:rPr>
                <w:rFonts w:ascii="Century Gothic" w:hAnsi="Century Gothic" w:cstheme="minorHAnsi"/>
                <w:b/>
                <w:color w:val="6E2E9F"/>
                <w:sz w:val="20"/>
                <w:szCs w:val="20"/>
              </w:rPr>
              <w:t>Key Stage One</w:t>
            </w:r>
          </w:p>
          <w:p w:rsidR="009A7851" w:rsidRPr="009C4890" w:rsidRDefault="009A7851">
            <w:pPr>
              <w:pStyle w:val="TableParagraph"/>
              <w:ind w:right="620"/>
              <w:rPr>
                <w:rFonts w:ascii="Century Gothic" w:hAnsi="Century Gothic" w:cstheme="minorHAnsi"/>
                <w:color w:val="6E2E9F"/>
                <w:sz w:val="20"/>
                <w:szCs w:val="20"/>
              </w:rPr>
            </w:pPr>
          </w:p>
          <w:p w:rsidR="009A7851" w:rsidRPr="009C4890" w:rsidRDefault="009A7851">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We continue to teach phonics daily, using Read, Write Inc every afternoon in Years 1 and 2. These sessions are </w:t>
            </w:r>
            <w:proofErr w:type="spellStart"/>
            <w:r w:rsidRPr="009C4890">
              <w:rPr>
                <w:rFonts w:ascii="Century Gothic" w:hAnsi="Century Gothic" w:cstheme="minorHAnsi"/>
                <w:color w:val="000000" w:themeColor="text1"/>
                <w:sz w:val="20"/>
                <w:szCs w:val="20"/>
              </w:rPr>
              <w:t>organised</w:t>
            </w:r>
            <w:proofErr w:type="spellEnd"/>
            <w:r w:rsidRPr="009C4890">
              <w:rPr>
                <w:rFonts w:ascii="Century Gothic" w:hAnsi="Century Gothic" w:cstheme="minorHAnsi"/>
                <w:color w:val="000000" w:themeColor="text1"/>
                <w:sz w:val="20"/>
                <w:szCs w:val="20"/>
              </w:rPr>
              <w:t xml:space="preserve"> so that the children are put into phase groups. We aim that all children leave Year 2 secure at Phase 6. Through a combination of modeled, shared, guided, individual and independent reading, as appropriate, children continue to enjoy their reading success and progress. They learn to understand, </w:t>
            </w:r>
            <w:proofErr w:type="spellStart"/>
            <w:r w:rsidRPr="009C4890">
              <w:rPr>
                <w:rFonts w:ascii="Century Gothic" w:hAnsi="Century Gothic" w:cstheme="minorHAnsi"/>
                <w:color w:val="000000" w:themeColor="text1"/>
                <w:sz w:val="20"/>
                <w:szCs w:val="20"/>
              </w:rPr>
              <w:t>analyse</w:t>
            </w:r>
            <w:proofErr w:type="spellEnd"/>
            <w:r w:rsidRPr="009C4890">
              <w:rPr>
                <w:rFonts w:ascii="Century Gothic" w:hAnsi="Century Gothic" w:cstheme="minorHAnsi"/>
                <w:color w:val="000000" w:themeColor="text1"/>
                <w:sz w:val="20"/>
                <w:szCs w:val="20"/>
              </w:rPr>
              <w:t xml:space="preserve"> and thoughtfully respond to a wider range of texts. Children continue to take books home to support them both in learning to read and reading for pleasure. </w:t>
            </w:r>
          </w:p>
          <w:p w:rsidR="009A7851" w:rsidRPr="009C4890" w:rsidRDefault="009A7851">
            <w:pPr>
              <w:pStyle w:val="TableParagraph"/>
              <w:ind w:right="620"/>
              <w:rPr>
                <w:rFonts w:ascii="Century Gothic" w:hAnsi="Century Gothic" w:cstheme="minorHAnsi"/>
                <w:b/>
                <w:color w:val="000000" w:themeColor="text1"/>
                <w:sz w:val="20"/>
                <w:szCs w:val="20"/>
              </w:rPr>
            </w:pPr>
          </w:p>
          <w:p w:rsidR="009C4890" w:rsidRDefault="009C4890">
            <w:pPr>
              <w:pStyle w:val="TableParagraph"/>
              <w:ind w:right="620"/>
              <w:rPr>
                <w:rFonts w:ascii="Century Gothic" w:hAnsi="Century Gothic" w:cstheme="minorHAnsi"/>
                <w:b/>
                <w:color w:val="7030A0"/>
                <w:sz w:val="20"/>
                <w:szCs w:val="20"/>
              </w:rPr>
            </w:pPr>
          </w:p>
          <w:p w:rsidR="009C4890" w:rsidRDefault="009C4890" w:rsidP="009C4890">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Key Stage 2</w:t>
            </w:r>
          </w:p>
          <w:p w:rsidR="009C4890" w:rsidRPr="009C4890" w:rsidRDefault="009C4890">
            <w:pPr>
              <w:pStyle w:val="TableParagraph"/>
              <w:ind w:right="620"/>
              <w:rPr>
                <w:rFonts w:ascii="Century Gothic" w:hAnsi="Century Gothic" w:cstheme="minorHAnsi"/>
                <w:b/>
                <w:color w:val="7030A0"/>
                <w:sz w:val="20"/>
                <w:szCs w:val="20"/>
              </w:rPr>
            </w:pPr>
          </w:p>
          <w:p w:rsidR="00F2709C" w:rsidRPr="009C4890" w:rsidRDefault="00F2709C">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Write Inc continues to be taught throughout KS2 for those children not yet at Phase 6: this may be as an intervention. As in KS1, these children will have decodable books for independent and home reading and, wherever available, in class.</w:t>
            </w:r>
          </w:p>
          <w:p w:rsidR="009C4890" w:rsidRPr="009C4890" w:rsidRDefault="00F2709C">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Once children are fluent readers, our approach to the teaching of reading in KS2, like in year 2, is to imbed many of the reading and comprehension skills into the English lessons.</w:t>
            </w:r>
          </w:p>
          <w:p w:rsidR="009C4890" w:rsidRPr="009C4890" w:rsidRDefault="009C4890">
            <w:pPr>
              <w:pStyle w:val="TableParagraph"/>
              <w:ind w:right="620"/>
              <w:rPr>
                <w:rFonts w:ascii="Century Gothic" w:hAnsi="Century Gothic" w:cstheme="minorHAnsi"/>
                <w:color w:val="000000" w:themeColor="text1"/>
                <w:sz w:val="20"/>
                <w:szCs w:val="20"/>
              </w:rPr>
            </w:pPr>
          </w:p>
          <w:p w:rsidR="00F2709C" w:rsidRPr="009C4890" w:rsidRDefault="00F2709C">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 </w:t>
            </w:r>
          </w:p>
          <w:p w:rsidR="00F2709C" w:rsidRPr="009C4890" w:rsidRDefault="00F2709C">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In addition to this, children have 5 x weekly 40 minute ‘Destination Reader’ lessons in which they are taught a very specific skill or strand of read</w:t>
            </w:r>
            <w:r w:rsidR="009C4890" w:rsidRPr="009C4890">
              <w:rPr>
                <w:rFonts w:ascii="Century Gothic" w:hAnsi="Century Gothic" w:cstheme="minorHAnsi"/>
                <w:color w:val="000000" w:themeColor="text1"/>
                <w:sz w:val="20"/>
                <w:szCs w:val="20"/>
              </w:rPr>
              <w:t xml:space="preserve">ing </w:t>
            </w:r>
            <w:proofErr w:type="spellStart"/>
            <w:r w:rsidR="009C4890" w:rsidRPr="009C4890">
              <w:rPr>
                <w:rFonts w:ascii="Century Gothic" w:hAnsi="Century Gothic" w:cstheme="minorHAnsi"/>
                <w:color w:val="000000" w:themeColor="text1"/>
                <w:sz w:val="20"/>
                <w:szCs w:val="20"/>
              </w:rPr>
              <w:t>e.g</w:t>
            </w:r>
            <w:proofErr w:type="spellEnd"/>
            <w:r w:rsidR="009C4890" w:rsidRPr="009C4890">
              <w:rPr>
                <w:rFonts w:ascii="Century Gothic" w:hAnsi="Century Gothic" w:cstheme="minorHAnsi"/>
                <w:color w:val="000000" w:themeColor="text1"/>
                <w:sz w:val="20"/>
                <w:szCs w:val="20"/>
              </w:rPr>
              <w:t xml:space="preserve"> skim-reading, scanning, inference and deduction. This session is taught as a ‘whole class’ using the gradual release model with a short follow up activity and ends with children reading their current reading book for 20 minutes. We use real children’s books to support these sessions. Professional development takes place both externally and internally through visiting speakers and trainers, moderation exercises and attending forums. </w:t>
            </w:r>
          </w:p>
          <w:p w:rsidR="007D0FC4" w:rsidRPr="009C4890" w:rsidRDefault="007D0FC4">
            <w:pPr>
              <w:pStyle w:val="TableParagraph"/>
              <w:ind w:right="620"/>
              <w:rPr>
                <w:rFonts w:ascii="Century Gothic" w:hAnsi="Century Gothic" w:cstheme="minorHAnsi"/>
                <w:b/>
                <w:color w:val="6E2E9F"/>
                <w:sz w:val="20"/>
                <w:szCs w:val="20"/>
              </w:rPr>
            </w:pPr>
          </w:p>
          <w:p w:rsidR="007D0FC4" w:rsidRPr="0061493D" w:rsidRDefault="009C4890" w:rsidP="009C4890">
            <w:pPr>
              <w:pStyle w:val="TableParagraph"/>
              <w:spacing w:line="222" w:lineRule="exact"/>
              <w:ind w:left="0"/>
              <w:rPr>
                <w:rFonts w:ascii="Century Gothic" w:hAnsi="Century Gothic" w:cstheme="minorHAnsi"/>
                <w:b/>
                <w:color w:val="7030A0"/>
                <w:sz w:val="24"/>
                <w:szCs w:val="24"/>
              </w:rPr>
            </w:pPr>
            <w:r w:rsidRPr="0061493D">
              <w:rPr>
                <w:rFonts w:ascii="Century Gothic" w:hAnsi="Century Gothic" w:cstheme="minorHAnsi"/>
                <w:b/>
                <w:color w:val="7030A0"/>
                <w:sz w:val="24"/>
                <w:szCs w:val="24"/>
              </w:rPr>
              <w:t xml:space="preserve">  Impact</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color w:val="000000" w:themeColor="text1"/>
                <w:sz w:val="20"/>
                <w:szCs w:val="20"/>
              </w:rPr>
            </w:pPr>
            <w:r w:rsidRPr="009C4890">
              <w:rPr>
                <w:rFonts w:ascii="Century Gothic" w:hAnsi="Century Gothic" w:cstheme="minorHAnsi"/>
                <w:b/>
                <w:color w:val="7030A0"/>
                <w:sz w:val="20"/>
                <w:szCs w:val="20"/>
              </w:rPr>
              <w:t xml:space="preserve"> </w:t>
            </w:r>
            <w:r w:rsidRPr="009C4890">
              <w:rPr>
                <w:rFonts w:ascii="Century Gothic" w:hAnsi="Century Gothic" w:cstheme="minorHAnsi"/>
                <w:color w:val="000000" w:themeColor="text1"/>
                <w:sz w:val="20"/>
                <w:szCs w:val="20"/>
              </w:rPr>
              <w:t>The impact of the reading emphasis and teaching at St Ignatius will be…</w:t>
            </w:r>
          </w:p>
          <w:p w:rsidR="009C4890" w:rsidRP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be able to read with accuracy, speed, confidence and understanding and be ready to access other subjects in their secondary education</w:t>
            </w: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 fostering of reading for pleasure</w:t>
            </w: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make at least expected progress from their starting points</w:t>
            </w:r>
          </w:p>
          <w:p w:rsidR="009C4890" w:rsidRPr="009C4890" w:rsidRDefault="009C4890" w:rsidP="009C4890">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That all children are encouraged to develop their own love of genres and authors and to review their books objectives, this will enhance a deep love of literature across a range of genres, cultures and styles</w:t>
            </w:r>
          </w:p>
          <w:p w:rsidR="009C4890" w:rsidRPr="009C4890" w:rsidRDefault="009C4890" w:rsidP="009C4890">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Pr>
                <w:rFonts w:ascii="Century Gothic" w:hAnsi="Century Gothic" w:cstheme="minorHAnsi"/>
                <w:color w:val="7030A0"/>
                <w:sz w:val="20"/>
                <w:szCs w:val="20"/>
              </w:rPr>
              <w:t xml:space="preserve">  </w:t>
            </w:r>
            <w:r w:rsidRPr="009C4890">
              <w:rPr>
                <w:rFonts w:ascii="Century Gothic" w:hAnsi="Century Gothic" w:cstheme="minorHAnsi"/>
                <w:color w:val="7030A0"/>
                <w:sz w:val="20"/>
                <w:szCs w:val="20"/>
              </w:rPr>
              <w:t xml:space="preserve"> </w:t>
            </w:r>
            <w:r w:rsidRPr="009C4890">
              <w:rPr>
                <w:rFonts w:ascii="Century Gothic" w:hAnsi="Century Gothic" w:cstheme="minorHAnsi"/>
                <w:b/>
                <w:color w:val="7030A0"/>
                <w:sz w:val="20"/>
                <w:szCs w:val="20"/>
              </w:rPr>
              <w:t>Reading for Pleasure</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p>
          <w:p w:rsidR="009C4890" w:rsidRPr="009C4890" w:rsidRDefault="009C4890" w:rsidP="009C4890">
            <w:pPr>
              <w:pStyle w:val="TableParagraph"/>
              <w:spacing w:line="222" w:lineRule="exact"/>
              <w:ind w:left="163"/>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Reading for Pleasure is encouraged every day so that the children can enjoy reading in a variety of ways: supported one-to one with adults, in breakfast club, listening to their ‘read aloud’ book at the end of the day and events with paired classes and parents. Across the whole school, classes are engaged in reading competitions, trips to the local library, visiting authors and a range of pleasurable, reading activities. Children have access to read outdoors and indoors. The school promotes and celebrates events such as Book Fair, World Book Day and </w:t>
            </w:r>
            <w:proofErr w:type="spellStart"/>
            <w:r w:rsidRPr="009C4890">
              <w:rPr>
                <w:rFonts w:ascii="Century Gothic" w:hAnsi="Century Gothic" w:cstheme="minorHAnsi"/>
                <w:color w:val="000000" w:themeColor="text1"/>
                <w:sz w:val="20"/>
                <w:szCs w:val="20"/>
              </w:rPr>
              <w:t>Readathon</w:t>
            </w:r>
            <w:proofErr w:type="spellEnd"/>
            <w:r w:rsidRPr="009C4890">
              <w:rPr>
                <w:rFonts w:ascii="Century Gothic" w:hAnsi="Century Gothic" w:cstheme="minorHAnsi"/>
                <w:color w:val="000000" w:themeColor="text1"/>
                <w:sz w:val="20"/>
                <w:szCs w:val="20"/>
              </w:rPr>
              <w:t xml:space="preserve">. In KS 2 the children have access to ‘First News’ to encourage </w:t>
            </w:r>
            <w:proofErr w:type="gramStart"/>
            <w:r w:rsidRPr="009C4890">
              <w:rPr>
                <w:rFonts w:ascii="Century Gothic" w:hAnsi="Century Gothic" w:cstheme="minorHAnsi"/>
                <w:color w:val="000000" w:themeColor="text1"/>
                <w:sz w:val="20"/>
                <w:szCs w:val="20"/>
              </w:rPr>
              <w:t>more wider</w:t>
            </w:r>
            <w:proofErr w:type="gramEnd"/>
            <w:r w:rsidRPr="009C4890">
              <w:rPr>
                <w:rFonts w:ascii="Century Gothic" w:hAnsi="Century Gothic" w:cstheme="minorHAnsi"/>
                <w:color w:val="000000" w:themeColor="text1"/>
                <w:sz w:val="20"/>
                <w:szCs w:val="20"/>
              </w:rPr>
              <w:t xml:space="preserve"> </w:t>
            </w:r>
            <w:proofErr w:type="spellStart"/>
            <w:r w:rsidRPr="009C4890">
              <w:rPr>
                <w:rFonts w:ascii="Century Gothic" w:hAnsi="Century Gothic" w:cstheme="minorHAnsi"/>
                <w:color w:val="000000" w:themeColor="text1"/>
                <w:sz w:val="20"/>
                <w:szCs w:val="20"/>
              </w:rPr>
              <w:t>reading.Each</w:t>
            </w:r>
            <w:proofErr w:type="spellEnd"/>
            <w:r w:rsidRPr="009C4890">
              <w:rPr>
                <w:rFonts w:ascii="Century Gothic" w:hAnsi="Century Gothic" w:cstheme="minorHAnsi"/>
                <w:color w:val="000000" w:themeColor="text1"/>
                <w:sz w:val="20"/>
                <w:szCs w:val="20"/>
              </w:rPr>
              <w:t xml:space="preserve"> classroom also has its own book area with both fiction and non-fiction books for children to experience. There are also books displayed within class which link to class topics to encourage children to read information and engage in subjects they are learning about.  Parents are encouraged to attend regular workshops which provide advice and ideas for supporting their children’s reading at home.</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r>
              <w:rPr>
                <w:rFonts w:ascii="Century Gothic" w:hAnsi="Century Gothic" w:cstheme="minorHAnsi"/>
                <w:b/>
                <w:color w:val="7030A0"/>
                <w:sz w:val="20"/>
                <w:szCs w:val="20"/>
              </w:rPr>
              <w:t xml:space="preserve"> </w:t>
            </w:r>
            <w:r w:rsidRPr="009C4890">
              <w:rPr>
                <w:rFonts w:ascii="Century Gothic" w:hAnsi="Century Gothic" w:cstheme="minorHAnsi"/>
                <w:b/>
                <w:color w:val="7030A0"/>
                <w:sz w:val="20"/>
                <w:szCs w:val="20"/>
              </w:rPr>
              <w:t>Working Wall</w:t>
            </w:r>
          </w:p>
          <w:p w:rsidR="009C4890" w:rsidRPr="009C4890" w:rsidRDefault="009C4890" w:rsidP="009C4890">
            <w:pPr>
              <w:pStyle w:val="TableParagraph"/>
              <w:spacing w:line="222" w:lineRule="exact"/>
              <w:ind w:left="0"/>
              <w:rPr>
                <w:rFonts w:ascii="Century Gothic" w:hAnsi="Century Gothic" w:cstheme="minorHAnsi"/>
                <w:b/>
                <w:color w:val="7030A0"/>
                <w:sz w:val="20"/>
                <w:szCs w:val="20"/>
              </w:rPr>
            </w:pP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Displays in all subjects are focused on reading through the curriculum and support the acquisition of reading skills and    vocabulary. The English working wall makes clear the connection between reading and writing outcomes in our English curriculum. For DR there is a reading display which would have the relevant reading stem displayed. </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b/>
                <w:color w:val="7030A0"/>
                <w:sz w:val="20"/>
                <w:szCs w:val="20"/>
              </w:rPr>
            </w:pPr>
            <w:r>
              <w:rPr>
                <w:rFonts w:ascii="Century Gothic" w:hAnsi="Century Gothic" w:cstheme="minorHAnsi"/>
                <w:b/>
                <w:color w:val="000000" w:themeColor="text1"/>
                <w:sz w:val="20"/>
                <w:szCs w:val="20"/>
              </w:rPr>
              <w:t xml:space="preserve">  </w:t>
            </w:r>
            <w:r w:rsidRPr="009C4890">
              <w:rPr>
                <w:rFonts w:ascii="Century Gothic" w:hAnsi="Century Gothic" w:cstheme="minorHAnsi"/>
                <w:b/>
                <w:color w:val="7030A0"/>
                <w:sz w:val="20"/>
                <w:szCs w:val="20"/>
              </w:rPr>
              <w:t>Reading Schemes</w:t>
            </w:r>
          </w:p>
          <w:p w:rsidR="009C4890" w:rsidRDefault="009C4890" w:rsidP="009C4890">
            <w:pPr>
              <w:pStyle w:val="TableParagraph"/>
              <w:spacing w:line="222" w:lineRule="exact"/>
              <w:ind w:left="163"/>
              <w:rPr>
                <w:rFonts w:ascii="Century Gothic" w:hAnsi="Century Gothic" w:cstheme="minorHAnsi"/>
                <w:b/>
                <w:color w:val="7030A0"/>
                <w:sz w:val="20"/>
                <w:szCs w:val="20"/>
              </w:rPr>
            </w:pP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In school, we have a range of fiction and non-fiction decodable reading books which are used throughout school to support children in learning to read. We take a combined approach to matching appropriate levels to the books children read which focuses on not only their decodable ability with words, but also an individual’s ability to read fluently and fully understand the books they read. The schemes used include:</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Oxford Reading Tree, Big Cat, Floppy’s Phonics.</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We use Reading Eggs to support reading at home with children being set tasks weekly. Reading Eggs is also used as a resource when remote learning.</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w:t>
            </w: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color w:val="000000" w:themeColor="text1"/>
                <w:sz w:val="20"/>
                <w:szCs w:val="20"/>
              </w:rPr>
            </w:pPr>
          </w:p>
          <w:p w:rsidR="009C4890" w:rsidRDefault="009C4890" w:rsidP="009C4890">
            <w:pPr>
              <w:pStyle w:val="TableParagraph"/>
              <w:spacing w:line="222" w:lineRule="exact"/>
              <w:ind w:left="0"/>
              <w:rPr>
                <w:rFonts w:ascii="Century Gothic" w:hAnsi="Century Gothic" w:cstheme="minorHAnsi"/>
                <w:b/>
                <w:color w:val="7030A0"/>
                <w:sz w:val="20"/>
                <w:szCs w:val="20"/>
              </w:rPr>
            </w:pPr>
            <w:r>
              <w:rPr>
                <w:rFonts w:ascii="Century Gothic" w:hAnsi="Century Gothic" w:cstheme="minorHAnsi"/>
                <w:color w:val="000000" w:themeColor="text1"/>
                <w:sz w:val="20"/>
                <w:szCs w:val="20"/>
              </w:rPr>
              <w:t xml:space="preserve">  </w:t>
            </w:r>
            <w:r w:rsidRPr="009C4890">
              <w:rPr>
                <w:rFonts w:ascii="Century Gothic" w:hAnsi="Century Gothic" w:cstheme="minorHAnsi"/>
                <w:b/>
                <w:color w:val="7030A0"/>
                <w:sz w:val="20"/>
                <w:szCs w:val="20"/>
              </w:rPr>
              <w:t>Teaching</w:t>
            </w:r>
          </w:p>
          <w:p w:rsidR="009C4890" w:rsidRDefault="009C4890" w:rsidP="009C4890">
            <w:pPr>
              <w:pStyle w:val="TableParagraph"/>
              <w:spacing w:line="222" w:lineRule="exact"/>
              <w:ind w:left="163"/>
              <w:rPr>
                <w:rFonts w:ascii="Century Gothic" w:hAnsi="Century Gothic" w:cstheme="minorHAnsi"/>
                <w:b/>
                <w:color w:val="7030A0"/>
                <w:sz w:val="20"/>
                <w:szCs w:val="20"/>
              </w:rPr>
            </w:pP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Flexible groupings are used during lessons </w:t>
            </w:r>
            <w:proofErr w:type="spellStart"/>
            <w:r>
              <w:rPr>
                <w:rFonts w:ascii="Century Gothic" w:hAnsi="Century Gothic" w:cstheme="minorHAnsi"/>
                <w:color w:val="000000" w:themeColor="text1"/>
                <w:sz w:val="20"/>
                <w:szCs w:val="20"/>
              </w:rPr>
              <w:t>e.g</w:t>
            </w:r>
            <w:proofErr w:type="spellEnd"/>
            <w:r>
              <w:rPr>
                <w:rFonts w:ascii="Century Gothic" w:hAnsi="Century Gothic" w:cstheme="minorHAnsi"/>
                <w:color w:val="000000" w:themeColor="text1"/>
                <w:sz w:val="20"/>
                <w:szCs w:val="20"/>
              </w:rPr>
              <w:t xml:space="preserve"> ability and mixed ability groups, paired reading, </w:t>
            </w:r>
            <w:proofErr w:type="gramStart"/>
            <w:r>
              <w:rPr>
                <w:rFonts w:ascii="Century Gothic" w:hAnsi="Century Gothic" w:cstheme="minorHAnsi"/>
                <w:color w:val="000000" w:themeColor="text1"/>
                <w:sz w:val="20"/>
                <w:szCs w:val="20"/>
              </w:rPr>
              <w:t>guided</w:t>
            </w:r>
            <w:proofErr w:type="gramEnd"/>
            <w:r>
              <w:rPr>
                <w:rFonts w:ascii="Century Gothic" w:hAnsi="Century Gothic" w:cstheme="minorHAnsi"/>
                <w:color w:val="000000" w:themeColor="text1"/>
                <w:sz w:val="20"/>
                <w:szCs w:val="20"/>
              </w:rPr>
              <w:t xml:space="preserve"> reading and independent and whole-class learning. </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Teachers are expected to have a regular ‘read aloud’ session with their class reading a specially selected range of modern and classic books (Pie Corbett’s reading spine). </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Unfamiliar/new vocabulary is taught every Monday with a special vocabulary lesson. Vocabulary is </w:t>
            </w:r>
            <w:proofErr w:type="spellStart"/>
            <w:r>
              <w:rPr>
                <w:rFonts w:ascii="Century Gothic" w:hAnsi="Century Gothic" w:cstheme="minorHAnsi"/>
                <w:color w:val="000000" w:themeColor="text1"/>
                <w:sz w:val="20"/>
                <w:szCs w:val="20"/>
              </w:rPr>
              <w:t>organised</w:t>
            </w:r>
            <w:proofErr w:type="spellEnd"/>
            <w:r>
              <w:rPr>
                <w:rFonts w:ascii="Century Gothic" w:hAnsi="Century Gothic" w:cstheme="minorHAnsi"/>
                <w:color w:val="000000" w:themeColor="text1"/>
                <w:sz w:val="20"/>
                <w:szCs w:val="20"/>
              </w:rPr>
              <w:t xml:space="preserve"> into Tier 1, Tier 2 and Tier 3. </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receive a Reading Diary in which they record comments using specific reading and comprehension skills. It is expected that children read at least x5 per week at home.</w:t>
            </w:r>
          </w:p>
          <w:p w:rsidR="009C4890" w:rsidRDefault="009C4890" w:rsidP="009C4890">
            <w:pPr>
              <w:pStyle w:val="TableParagraph"/>
              <w:spacing w:line="222" w:lineRule="exact"/>
              <w:ind w:left="163"/>
              <w:rPr>
                <w:rFonts w:ascii="Century Gothic" w:hAnsi="Century Gothic" w:cstheme="minorHAnsi"/>
                <w:color w:val="000000" w:themeColor="text1"/>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Assessment</w:t>
            </w: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Formative:</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AFL is used within each lesson to establish next steps for pupils.</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Reading comprehension assessment is built into comprehension activities in class.</w:t>
            </w:r>
          </w:p>
          <w:p w:rsidR="009C4890" w:rsidRPr="009C4890" w:rsidRDefault="009C4890" w:rsidP="009C4890">
            <w:pPr>
              <w:pStyle w:val="TableParagraph"/>
              <w:tabs>
                <w:tab w:val="left" w:pos="832"/>
                <w:tab w:val="left" w:pos="834"/>
              </w:tabs>
              <w:spacing w:line="264"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In KS2 teachers will comment and record children’s progress in the back of their DR books.</w:t>
            </w: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000000" w:themeColor="text1"/>
                <w:sz w:val="20"/>
                <w:szCs w:val="20"/>
              </w:rPr>
            </w:pPr>
          </w:p>
          <w:p w:rsidR="009C4890" w:rsidRPr="009C4890" w:rsidRDefault="009C4890" w:rsidP="009C4890">
            <w:pPr>
              <w:pStyle w:val="TableParagraph"/>
              <w:tabs>
                <w:tab w:val="left" w:pos="832"/>
                <w:tab w:val="left" w:pos="834"/>
              </w:tabs>
              <w:spacing w:line="264" w:lineRule="exact"/>
              <w:rPr>
                <w:rFonts w:ascii="Century Gothic" w:hAnsi="Century Gothic" w:cstheme="minorHAnsi"/>
                <w:b/>
                <w:color w:val="7030A0"/>
                <w:sz w:val="20"/>
                <w:szCs w:val="20"/>
              </w:rPr>
            </w:pPr>
            <w:r w:rsidRPr="009C4890">
              <w:rPr>
                <w:rFonts w:ascii="Century Gothic" w:hAnsi="Century Gothic" w:cstheme="minorHAnsi"/>
                <w:b/>
                <w:color w:val="7030A0"/>
                <w:sz w:val="20"/>
                <w:szCs w:val="20"/>
              </w:rPr>
              <w:t>Summative:</w:t>
            </w:r>
          </w:p>
          <w:p w:rsidR="009C4890" w:rsidRP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All children in EYFS undergo baseline assessment for reading skills.</w:t>
            </w:r>
          </w:p>
          <w:p w:rsidR="009C4890" w:rsidRP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In Year 1 children undergo statutory Phonics Screening (which is repeated in Year 2 for those not meeting expected standards).</w:t>
            </w:r>
          </w:p>
          <w:p w:rsidR="009C4890" w:rsidRDefault="009C4890" w:rsidP="009C4890">
            <w:pPr>
              <w:pStyle w:val="TableParagraph"/>
              <w:tabs>
                <w:tab w:val="left" w:pos="832"/>
                <w:tab w:val="left" w:pos="834"/>
              </w:tabs>
              <w:spacing w:line="264" w:lineRule="exact"/>
              <w:rPr>
                <w:rFonts w:ascii="Century Gothic" w:hAnsi="Century Gothic" w:cstheme="minorHAnsi"/>
                <w:sz w:val="20"/>
                <w:szCs w:val="20"/>
              </w:rPr>
            </w:pPr>
            <w:r w:rsidRPr="009C4890">
              <w:rPr>
                <w:rFonts w:ascii="Century Gothic" w:hAnsi="Century Gothic" w:cstheme="minorHAnsi"/>
                <w:sz w:val="20"/>
                <w:szCs w:val="20"/>
              </w:rPr>
              <w:t xml:space="preserve">A whole school approach to assessment and recording is used- Target Tracker. Teachers will also keep their own records of achievement in reading and to track reading at home. Summative assessment is completed </w:t>
            </w:r>
            <w:proofErr w:type="spellStart"/>
            <w:r w:rsidRPr="009C4890">
              <w:rPr>
                <w:rFonts w:ascii="Century Gothic" w:hAnsi="Century Gothic" w:cstheme="minorHAnsi"/>
                <w:sz w:val="20"/>
                <w:szCs w:val="20"/>
              </w:rPr>
              <w:t>termly</w:t>
            </w:r>
            <w:proofErr w:type="spellEnd"/>
            <w:r w:rsidRPr="009C4890">
              <w:rPr>
                <w:rFonts w:ascii="Century Gothic" w:hAnsi="Century Gothic" w:cstheme="minorHAnsi"/>
                <w:sz w:val="20"/>
                <w:szCs w:val="20"/>
              </w:rPr>
              <w:t xml:space="preserve"> with Year 2 and Year 6 sitting their SATs in the summer term.</w:t>
            </w:r>
            <w:r>
              <w:rPr>
                <w:rFonts w:ascii="Century Gothic" w:hAnsi="Century Gothic" w:cstheme="minorHAnsi"/>
                <w:sz w:val="20"/>
                <w:szCs w:val="20"/>
              </w:rPr>
              <w:t xml:space="preserve"> T</w:t>
            </w:r>
            <w:r w:rsidRPr="009C4890">
              <w:rPr>
                <w:rFonts w:ascii="Century Gothic" w:hAnsi="Century Gothic" w:cstheme="minorHAnsi"/>
                <w:sz w:val="20"/>
                <w:szCs w:val="20"/>
              </w:rPr>
              <w:t>eachers record the attainment of their classes half-</w:t>
            </w:r>
            <w:proofErr w:type="spellStart"/>
            <w:r w:rsidRPr="009C4890">
              <w:rPr>
                <w:rFonts w:ascii="Century Gothic" w:hAnsi="Century Gothic" w:cstheme="minorHAnsi"/>
                <w:sz w:val="20"/>
                <w:szCs w:val="20"/>
              </w:rPr>
              <w:t>termly</w:t>
            </w:r>
            <w:proofErr w:type="spellEnd"/>
            <w:r w:rsidRPr="009C4890">
              <w:rPr>
                <w:rFonts w:ascii="Century Gothic" w:hAnsi="Century Gothic" w:cstheme="minorHAnsi"/>
                <w:sz w:val="20"/>
                <w:szCs w:val="20"/>
              </w:rPr>
              <w:t xml:space="preserve"> on banded book trackers. This provides a clear snapshot of all the children who are reading below, at or above the age-related expectation.</w:t>
            </w:r>
          </w:p>
          <w:p w:rsidR="009C4890" w:rsidRDefault="009C4890" w:rsidP="009C4890">
            <w:pPr>
              <w:rPr>
                <w:rFonts w:ascii="Century Gothic" w:hAnsi="Century Gothic" w:cstheme="minorHAnsi"/>
                <w:sz w:val="20"/>
                <w:szCs w:val="20"/>
              </w:rPr>
            </w:pPr>
          </w:p>
          <w:p w:rsidR="009C4890" w:rsidRPr="009C4890" w:rsidRDefault="009C4890" w:rsidP="009C4890">
            <w:pPr>
              <w:pStyle w:val="TableParagraph"/>
              <w:spacing w:line="222" w:lineRule="exact"/>
              <w:ind w:left="163"/>
              <w:rPr>
                <w:rFonts w:ascii="Century Gothic" w:hAnsi="Century Gothic" w:cstheme="minorHAnsi"/>
                <w:color w:val="000000" w:themeColor="text1"/>
                <w:sz w:val="20"/>
                <w:szCs w:val="20"/>
              </w:rPr>
            </w:pPr>
          </w:p>
        </w:tc>
      </w:tr>
    </w:tbl>
    <w:p w:rsidR="00541A7F" w:rsidRPr="009C4890" w:rsidRDefault="00541A7F">
      <w:pPr>
        <w:rPr>
          <w:rFonts w:ascii="Century Gothic" w:hAnsi="Century Gothic" w:cstheme="minorHAnsi"/>
          <w:sz w:val="20"/>
          <w:szCs w:val="20"/>
        </w:rPr>
        <w:sectPr w:rsidR="00541A7F" w:rsidRPr="009C4890" w:rsidSect="009C4890">
          <w:type w:val="continuous"/>
          <w:pgSz w:w="11920" w:h="16850"/>
          <w:pgMar w:top="540" w:right="220" w:bottom="851" w:left="460" w:header="720" w:footer="720" w:gutter="0"/>
          <w:cols w:space="720"/>
        </w:sectPr>
      </w:pPr>
    </w:p>
    <w:p w:rsidR="009C4890" w:rsidRDefault="009C4890">
      <w:pPr>
        <w:rPr>
          <w:rFonts w:ascii="Century Gothic" w:hAnsi="Century Gothic"/>
          <w:sz w:val="20"/>
          <w:szCs w:val="20"/>
        </w:rPr>
      </w:pPr>
    </w:p>
    <w:p w:rsidR="009C4890" w:rsidRPr="009C4890" w:rsidRDefault="009C4890" w:rsidP="009C4890">
      <w:pPr>
        <w:rPr>
          <w:rFonts w:ascii="Century Gothic" w:hAnsi="Century Gothic"/>
          <w:sz w:val="20"/>
          <w:szCs w:val="20"/>
        </w:rPr>
      </w:pPr>
    </w:p>
    <w:p w:rsidR="009C4890" w:rsidRPr="009C4890" w:rsidRDefault="009C4890" w:rsidP="009C4890">
      <w:pPr>
        <w:rPr>
          <w:rFonts w:ascii="Century Gothic" w:hAnsi="Century Gothic"/>
          <w:sz w:val="20"/>
          <w:szCs w:val="20"/>
        </w:rPr>
      </w:pPr>
    </w:p>
    <w:p w:rsidR="009C4890" w:rsidRDefault="009C4890" w:rsidP="009C4890">
      <w:pPr>
        <w:rPr>
          <w:rFonts w:ascii="Century Gothic" w:hAnsi="Century Gothic"/>
          <w:sz w:val="20"/>
          <w:szCs w:val="20"/>
        </w:rPr>
      </w:pPr>
    </w:p>
    <w:p w:rsidR="00F2709C" w:rsidRPr="009C4890" w:rsidRDefault="009C4890" w:rsidP="009C4890">
      <w:pPr>
        <w:tabs>
          <w:tab w:val="left" w:pos="6630"/>
        </w:tabs>
        <w:rPr>
          <w:rFonts w:ascii="Century Gothic" w:hAnsi="Century Gothic"/>
          <w:sz w:val="20"/>
          <w:szCs w:val="20"/>
        </w:rPr>
      </w:pPr>
      <w:r>
        <w:rPr>
          <w:rFonts w:ascii="Century Gothic" w:hAnsi="Century Gothic"/>
          <w:sz w:val="20"/>
          <w:szCs w:val="20"/>
        </w:rPr>
        <w:tab/>
      </w:r>
    </w:p>
    <w:sectPr w:rsidR="00F2709C" w:rsidRPr="009C4890" w:rsidSect="00541A7F">
      <w:pgSz w:w="11920" w:h="16850"/>
      <w:pgMar w:top="540" w:right="220" w:bottom="280" w:left="4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3">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4">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5">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6">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541A7F"/>
    <w:rsid w:val="00063697"/>
    <w:rsid w:val="00505DAF"/>
    <w:rsid w:val="00541A7F"/>
    <w:rsid w:val="0061493D"/>
    <w:rsid w:val="00727D26"/>
    <w:rsid w:val="007D0FC4"/>
    <w:rsid w:val="009A7851"/>
    <w:rsid w:val="009C4890"/>
    <w:rsid w:val="00A44973"/>
    <w:rsid w:val="00E50B18"/>
    <w:rsid w:val="00F27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cp:lastModifiedBy>
  <cp:revision>2</cp:revision>
  <dcterms:created xsi:type="dcterms:W3CDTF">2021-04-23T13:44:00Z</dcterms:created>
  <dcterms:modified xsi:type="dcterms:W3CDTF">2021-04-23T13:44:00Z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