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06069" w14:textId="77777777" w:rsidR="00346DAE" w:rsidRDefault="00346DAE" w:rsidP="00346DAE">
      <w:pPr>
        <w:rPr>
          <w:rFonts w:ascii="Arial" w:hAnsi="Arial" w:cs="Arial"/>
          <w:b/>
        </w:rPr>
      </w:pPr>
      <w:r>
        <w:rPr>
          <w:rFonts w:ascii="Arial" w:hAnsi="Arial" w:cs="Arial"/>
          <w:b/>
        </w:rPr>
        <w:t>School Development Plan 2022 - 2023</w:t>
      </w:r>
      <w:r w:rsidRPr="00B010AF">
        <w:rPr>
          <w:rFonts w:ascii="Arial" w:hAnsi="Arial" w:cs="Arial"/>
          <w:b/>
        </w:rPr>
        <w:t xml:space="preserve">       A Summary of our Key Priorities </w:t>
      </w:r>
    </w:p>
    <w:tbl>
      <w:tblPr>
        <w:tblStyle w:val="TableGrid"/>
        <w:tblW w:w="0" w:type="auto"/>
        <w:tblLook w:val="04A0" w:firstRow="1" w:lastRow="0" w:firstColumn="1" w:lastColumn="0" w:noHBand="0" w:noVBand="1"/>
      </w:tblPr>
      <w:tblGrid>
        <w:gridCol w:w="1980"/>
        <w:gridCol w:w="13408"/>
      </w:tblGrid>
      <w:tr w:rsidR="00346DAE" w14:paraId="1790A8AD" w14:textId="77777777" w:rsidTr="00AC52FE">
        <w:trPr>
          <w:trHeight w:val="487"/>
        </w:trPr>
        <w:tc>
          <w:tcPr>
            <w:tcW w:w="1980" w:type="dxa"/>
          </w:tcPr>
          <w:p w14:paraId="0A8F69D9" w14:textId="77777777" w:rsidR="00346DAE" w:rsidRPr="00D01C3E" w:rsidRDefault="00346DAE" w:rsidP="00AC52FE">
            <w:pPr>
              <w:rPr>
                <w:rFonts w:ascii="Arial" w:hAnsi="Arial" w:cs="Arial"/>
                <w:b/>
                <w:sz w:val="20"/>
                <w:szCs w:val="20"/>
              </w:rPr>
            </w:pPr>
            <w:r w:rsidRPr="0094103F">
              <w:rPr>
                <w:rFonts w:ascii="Arial" w:hAnsi="Arial" w:cs="Arial"/>
                <w:b/>
                <w:sz w:val="20"/>
                <w:szCs w:val="20"/>
              </w:rPr>
              <w:t xml:space="preserve">Religious Education </w:t>
            </w:r>
          </w:p>
        </w:tc>
        <w:tc>
          <w:tcPr>
            <w:tcW w:w="13408" w:type="dxa"/>
          </w:tcPr>
          <w:p w14:paraId="3ADC6B2C" w14:textId="77777777" w:rsidR="00346DAE" w:rsidRPr="003D293D" w:rsidRDefault="00346DAE" w:rsidP="00346DAE">
            <w:pPr>
              <w:pStyle w:val="ListParagraph"/>
              <w:numPr>
                <w:ilvl w:val="0"/>
                <w:numId w:val="6"/>
              </w:numPr>
              <w:rPr>
                <w:b/>
              </w:rPr>
            </w:pPr>
            <w:r w:rsidRPr="003D293D">
              <w:rPr>
                <w:sz w:val="20"/>
                <w:szCs w:val="20"/>
              </w:rPr>
              <w:t>Ensure classroom religious education and the Catholic life of the school meet all the standards required</w:t>
            </w:r>
          </w:p>
          <w:p w14:paraId="35083972" w14:textId="77777777" w:rsidR="00346DAE" w:rsidRPr="003D293D" w:rsidRDefault="00346DAE" w:rsidP="00346DAE">
            <w:pPr>
              <w:pStyle w:val="ListParagraph"/>
              <w:numPr>
                <w:ilvl w:val="0"/>
                <w:numId w:val="6"/>
              </w:numPr>
              <w:rPr>
                <w:b/>
              </w:rPr>
            </w:pPr>
            <w:r w:rsidRPr="003D293D">
              <w:rPr>
                <w:sz w:val="20"/>
                <w:szCs w:val="20"/>
              </w:rPr>
              <w:t xml:space="preserve">Develop the role of the RE coordinator </w:t>
            </w:r>
          </w:p>
        </w:tc>
      </w:tr>
      <w:tr w:rsidR="00346DAE" w14:paraId="68337FDA" w14:textId="77777777" w:rsidTr="00AC52FE">
        <w:tc>
          <w:tcPr>
            <w:tcW w:w="1980" w:type="dxa"/>
          </w:tcPr>
          <w:p w14:paraId="23A3BBA8" w14:textId="77777777" w:rsidR="00346DAE" w:rsidRPr="0094103F" w:rsidRDefault="00346DAE" w:rsidP="00AC52FE">
            <w:pPr>
              <w:pStyle w:val="TableParagraph"/>
              <w:spacing w:line="248" w:lineRule="exact"/>
              <w:rPr>
                <w:b/>
                <w:sz w:val="20"/>
                <w:szCs w:val="20"/>
              </w:rPr>
            </w:pPr>
            <w:r w:rsidRPr="0094103F">
              <w:rPr>
                <w:b/>
                <w:sz w:val="20"/>
                <w:szCs w:val="20"/>
              </w:rPr>
              <w:t>Quality of Education</w:t>
            </w:r>
          </w:p>
          <w:p w14:paraId="5B62E875" w14:textId="77777777" w:rsidR="00346DAE" w:rsidRDefault="00346DAE" w:rsidP="00AC52FE">
            <w:pPr>
              <w:rPr>
                <w:rFonts w:ascii="Arial" w:hAnsi="Arial" w:cs="Arial"/>
                <w:b/>
              </w:rPr>
            </w:pPr>
          </w:p>
        </w:tc>
        <w:tc>
          <w:tcPr>
            <w:tcW w:w="13408" w:type="dxa"/>
          </w:tcPr>
          <w:p w14:paraId="7C7CB4D4" w14:textId="77777777" w:rsidR="00346DAE" w:rsidRPr="003D293D" w:rsidRDefault="00346DAE" w:rsidP="00346DAE">
            <w:pPr>
              <w:pStyle w:val="ListParagraph"/>
              <w:numPr>
                <w:ilvl w:val="0"/>
                <w:numId w:val="1"/>
              </w:numPr>
              <w:rPr>
                <w:sz w:val="20"/>
                <w:szCs w:val="20"/>
              </w:rPr>
            </w:pPr>
            <w:r w:rsidRPr="003D293D">
              <w:rPr>
                <w:sz w:val="20"/>
                <w:szCs w:val="20"/>
              </w:rPr>
              <w:t>Ensure the school’s curriculum intent and implementation is embedded consistently across the school so that all pupils secure skills, knowledge and understanding across all subjects and achieve well.</w:t>
            </w:r>
          </w:p>
          <w:p w14:paraId="57323189" w14:textId="77777777" w:rsidR="00346DAE" w:rsidRPr="003D293D" w:rsidRDefault="00346DAE" w:rsidP="00346DAE">
            <w:pPr>
              <w:pStyle w:val="ListParagraph"/>
              <w:numPr>
                <w:ilvl w:val="0"/>
                <w:numId w:val="1"/>
              </w:numPr>
              <w:rPr>
                <w:sz w:val="20"/>
                <w:szCs w:val="20"/>
              </w:rPr>
            </w:pPr>
            <w:r w:rsidRPr="003D293D">
              <w:rPr>
                <w:sz w:val="20"/>
                <w:szCs w:val="20"/>
              </w:rPr>
              <w:t>Improve outcomes in Maths across KS2 through developing pupil’s confidence in mathematical skills, in particular in arithmetic</w:t>
            </w:r>
            <w:r>
              <w:rPr>
                <w:sz w:val="20"/>
                <w:szCs w:val="20"/>
              </w:rPr>
              <w:t xml:space="preserve"> and mental M</w:t>
            </w:r>
            <w:r w:rsidRPr="003D293D">
              <w:rPr>
                <w:sz w:val="20"/>
                <w:szCs w:val="20"/>
              </w:rPr>
              <w:t>aths.</w:t>
            </w:r>
          </w:p>
          <w:p w14:paraId="3BA32CD0" w14:textId="77777777" w:rsidR="00346DAE" w:rsidRPr="003D293D" w:rsidRDefault="00346DAE" w:rsidP="00346DAE">
            <w:pPr>
              <w:pStyle w:val="ListParagraph"/>
              <w:numPr>
                <w:ilvl w:val="0"/>
                <w:numId w:val="1"/>
              </w:numPr>
              <w:rPr>
                <w:sz w:val="20"/>
                <w:szCs w:val="20"/>
              </w:rPr>
            </w:pPr>
            <w:r w:rsidRPr="003D293D">
              <w:rPr>
                <w:sz w:val="20"/>
                <w:szCs w:val="20"/>
              </w:rPr>
              <w:t>Develop the quality of teaching and learning of Reading in EYFS and KS1 through the Little Wandle scheme.</w:t>
            </w:r>
          </w:p>
          <w:p w14:paraId="7DFAEB72" w14:textId="77777777" w:rsidR="00346DAE" w:rsidRPr="003D293D" w:rsidRDefault="00346DAE" w:rsidP="00346DAE">
            <w:pPr>
              <w:pStyle w:val="ListParagraph"/>
              <w:numPr>
                <w:ilvl w:val="0"/>
                <w:numId w:val="1"/>
              </w:numPr>
              <w:rPr>
                <w:sz w:val="20"/>
                <w:szCs w:val="20"/>
              </w:rPr>
            </w:pPr>
            <w:r w:rsidRPr="003D293D">
              <w:rPr>
                <w:sz w:val="20"/>
                <w:szCs w:val="20"/>
              </w:rPr>
              <w:t>Further strengthen the expertise of senior and middle leaders so that the school is successful in its ability to provide a high-quality education for all pupils.</w:t>
            </w:r>
          </w:p>
          <w:p w14:paraId="1E2763FC" w14:textId="77777777" w:rsidR="00346DAE" w:rsidRPr="003D293D" w:rsidRDefault="00346DAE" w:rsidP="00346DAE">
            <w:pPr>
              <w:pStyle w:val="ListParagraph"/>
              <w:numPr>
                <w:ilvl w:val="0"/>
                <w:numId w:val="1"/>
              </w:numPr>
              <w:rPr>
                <w:sz w:val="20"/>
                <w:szCs w:val="20"/>
              </w:rPr>
            </w:pPr>
            <w:r w:rsidRPr="003D293D">
              <w:rPr>
                <w:sz w:val="20"/>
                <w:szCs w:val="20"/>
              </w:rPr>
              <w:t>Ensure that teaching and learning is designed to help pupils to remember long term content they have been taught and to integrate new knowledge into larger ideas.</w:t>
            </w:r>
          </w:p>
        </w:tc>
      </w:tr>
      <w:tr w:rsidR="00346DAE" w14:paraId="7BABAA14" w14:textId="77777777" w:rsidTr="00AC52FE">
        <w:tc>
          <w:tcPr>
            <w:tcW w:w="1980" w:type="dxa"/>
          </w:tcPr>
          <w:p w14:paraId="1ABCCF13" w14:textId="77777777" w:rsidR="00346DAE" w:rsidRPr="0094103F" w:rsidRDefault="00346DAE" w:rsidP="00AC52FE">
            <w:pPr>
              <w:rPr>
                <w:rFonts w:ascii="Arial" w:hAnsi="Arial" w:cs="Arial"/>
                <w:b/>
                <w:sz w:val="20"/>
                <w:szCs w:val="20"/>
              </w:rPr>
            </w:pPr>
            <w:r w:rsidRPr="0094103F">
              <w:rPr>
                <w:rFonts w:ascii="Arial" w:hAnsi="Arial" w:cs="Arial"/>
                <w:b/>
                <w:sz w:val="20"/>
                <w:szCs w:val="20"/>
              </w:rPr>
              <w:t>Personal development</w:t>
            </w:r>
          </w:p>
          <w:p w14:paraId="5860CF90" w14:textId="77777777" w:rsidR="00346DAE" w:rsidRDefault="00346DAE" w:rsidP="00AC52FE">
            <w:pPr>
              <w:rPr>
                <w:rFonts w:ascii="Arial" w:hAnsi="Arial" w:cs="Arial"/>
                <w:b/>
              </w:rPr>
            </w:pPr>
          </w:p>
        </w:tc>
        <w:tc>
          <w:tcPr>
            <w:tcW w:w="13408" w:type="dxa"/>
          </w:tcPr>
          <w:p w14:paraId="1507A1FB" w14:textId="77777777" w:rsidR="00346DAE" w:rsidRPr="003D293D" w:rsidRDefault="00346DAE" w:rsidP="00346DAE">
            <w:pPr>
              <w:pStyle w:val="ListParagraph"/>
              <w:numPr>
                <w:ilvl w:val="0"/>
                <w:numId w:val="2"/>
              </w:numPr>
              <w:spacing w:after="160" w:line="259" w:lineRule="auto"/>
              <w:rPr>
                <w:sz w:val="20"/>
                <w:szCs w:val="20"/>
              </w:rPr>
            </w:pPr>
            <w:r w:rsidRPr="003D293D">
              <w:rPr>
                <w:sz w:val="20"/>
                <w:szCs w:val="20"/>
              </w:rPr>
              <w:t>Enhance the curriculum so that the pupils have a wide set of rich experiences at all times because of the opportunities the school offers.</w:t>
            </w:r>
          </w:p>
          <w:p w14:paraId="60DDC56A" w14:textId="77777777" w:rsidR="00346DAE" w:rsidRPr="003D293D" w:rsidRDefault="00346DAE" w:rsidP="00346DAE">
            <w:pPr>
              <w:pStyle w:val="ListParagraph"/>
              <w:numPr>
                <w:ilvl w:val="0"/>
                <w:numId w:val="2"/>
              </w:numPr>
              <w:spacing w:after="160" w:line="259" w:lineRule="auto"/>
              <w:rPr>
                <w:sz w:val="20"/>
                <w:szCs w:val="20"/>
              </w:rPr>
            </w:pPr>
            <w:r w:rsidRPr="003D293D">
              <w:rPr>
                <w:sz w:val="20"/>
                <w:szCs w:val="20"/>
              </w:rPr>
              <w:t xml:space="preserve">Improve and support pupil and staff wellbeing and mental health including through PSHE scheme </w:t>
            </w:r>
            <w:r>
              <w:rPr>
                <w:sz w:val="20"/>
                <w:szCs w:val="20"/>
              </w:rPr>
              <w:t>and nominate a ‘Well-</w:t>
            </w:r>
            <w:r w:rsidRPr="003D293D">
              <w:rPr>
                <w:sz w:val="20"/>
                <w:szCs w:val="20"/>
              </w:rPr>
              <w:t xml:space="preserve">being’ linked governor for the academic year alongside ‘Well- being leads’ for pupils and staff. </w:t>
            </w:r>
          </w:p>
          <w:p w14:paraId="36EB6C4B" w14:textId="77777777" w:rsidR="00346DAE" w:rsidRPr="003D293D" w:rsidRDefault="00346DAE" w:rsidP="00346DAE">
            <w:pPr>
              <w:pStyle w:val="ListParagraph"/>
              <w:numPr>
                <w:ilvl w:val="0"/>
                <w:numId w:val="2"/>
              </w:numPr>
              <w:spacing w:after="160" w:line="259" w:lineRule="auto"/>
              <w:rPr>
                <w:sz w:val="20"/>
                <w:szCs w:val="20"/>
              </w:rPr>
            </w:pPr>
            <w:r w:rsidRPr="003D293D">
              <w:rPr>
                <w:sz w:val="20"/>
                <w:szCs w:val="20"/>
              </w:rPr>
              <w:t>Embed RHE curriculum across the school.</w:t>
            </w:r>
          </w:p>
          <w:p w14:paraId="00A64B99" w14:textId="77777777" w:rsidR="00346DAE" w:rsidRPr="003D293D" w:rsidRDefault="00346DAE" w:rsidP="00346DAE">
            <w:pPr>
              <w:pStyle w:val="ListParagraph"/>
              <w:numPr>
                <w:ilvl w:val="0"/>
                <w:numId w:val="2"/>
              </w:numPr>
              <w:spacing w:after="160" w:line="259" w:lineRule="auto"/>
              <w:rPr>
                <w:sz w:val="20"/>
                <w:szCs w:val="20"/>
              </w:rPr>
            </w:pPr>
            <w:r w:rsidRPr="003D293D">
              <w:rPr>
                <w:sz w:val="20"/>
                <w:szCs w:val="20"/>
              </w:rPr>
              <w:t>Develop and strengthen the teaching of British Values across the school.</w:t>
            </w:r>
          </w:p>
          <w:p w14:paraId="06AED19A" w14:textId="77777777" w:rsidR="00346DAE" w:rsidRPr="003D293D" w:rsidRDefault="00346DAE" w:rsidP="00346DAE">
            <w:pPr>
              <w:pStyle w:val="ListParagraph"/>
              <w:numPr>
                <w:ilvl w:val="0"/>
                <w:numId w:val="2"/>
              </w:numPr>
              <w:spacing w:after="160" w:line="259" w:lineRule="auto"/>
              <w:rPr>
                <w:sz w:val="20"/>
                <w:szCs w:val="20"/>
              </w:rPr>
            </w:pPr>
            <w:r w:rsidRPr="003D293D">
              <w:rPr>
                <w:sz w:val="20"/>
                <w:szCs w:val="20"/>
              </w:rPr>
              <w:t>Embed milestones for Cultural Capital across the school.</w:t>
            </w:r>
          </w:p>
        </w:tc>
      </w:tr>
      <w:tr w:rsidR="00346DAE" w14:paraId="0272689E" w14:textId="77777777" w:rsidTr="00AC52FE">
        <w:tc>
          <w:tcPr>
            <w:tcW w:w="1980" w:type="dxa"/>
          </w:tcPr>
          <w:p w14:paraId="03A8C242" w14:textId="77777777" w:rsidR="00346DAE" w:rsidRDefault="00346DAE" w:rsidP="00AC52FE">
            <w:pPr>
              <w:pStyle w:val="TableParagraph"/>
              <w:spacing w:line="248" w:lineRule="exact"/>
              <w:rPr>
                <w:b/>
                <w:sz w:val="20"/>
                <w:szCs w:val="20"/>
              </w:rPr>
            </w:pPr>
            <w:r>
              <w:rPr>
                <w:b/>
                <w:sz w:val="20"/>
                <w:szCs w:val="20"/>
              </w:rPr>
              <w:t>Behaviour and attitudes</w:t>
            </w:r>
          </w:p>
          <w:p w14:paraId="7C3118F1" w14:textId="77777777" w:rsidR="00346DAE" w:rsidRDefault="00346DAE" w:rsidP="00AC52FE">
            <w:pPr>
              <w:rPr>
                <w:rFonts w:ascii="Arial" w:hAnsi="Arial" w:cs="Arial"/>
                <w:b/>
              </w:rPr>
            </w:pPr>
          </w:p>
        </w:tc>
        <w:tc>
          <w:tcPr>
            <w:tcW w:w="13408" w:type="dxa"/>
          </w:tcPr>
          <w:p w14:paraId="0296D3E2" w14:textId="77777777" w:rsidR="00346DAE" w:rsidRPr="003D293D" w:rsidRDefault="00346DAE" w:rsidP="00346DAE">
            <w:pPr>
              <w:pStyle w:val="TableParagraph"/>
              <w:numPr>
                <w:ilvl w:val="0"/>
                <w:numId w:val="3"/>
              </w:numPr>
              <w:spacing w:line="248" w:lineRule="exact"/>
              <w:jc w:val="both"/>
              <w:rPr>
                <w:b/>
                <w:sz w:val="20"/>
                <w:szCs w:val="20"/>
              </w:rPr>
            </w:pPr>
            <w:r w:rsidRPr="003D293D">
              <w:rPr>
                <w:sz w:val="20"/>
                <w:szCs w:val="20"/>
              </w:rPr>
              <w:t xml:space="preserve">Improve whole school attendance to reach 96%, in particular to reduce the number of persistent absentees - ensure there is a strong focus on attendance and punctuality so that disruption is minimised </w:t>
            </w:r>
          </w:p>
          <w:p w14:paraId="6F4B422A" w14:textId="77777777" w:rsidR="00346DAE" w:rsidRPr="003D293D" w:rsidRDefault="00346DAE" w:rsidP="00346DAE">
            <w:pPr>
              <w:pStyle w:val="TableParagraph"/>
              <w:numPr>
                <w:ilvl w:val="0"/>
                <w:numId w:val="3"/>
              </w:numPr>
              <w:tabs>
                <w:tab w:val="left" w:pos="822"/>
                <w:tab w:val="left" w:pos="823"/>
              </w:tabs>
              <w:spacing w:before="1"/>
              <w:ind w:right="99"/>
              <w:rPr>
                <w:sz w:val="20"/>
                <w:szCs w:val="20"/>
              </w:rPr>
            </w:pPr>
            <w:r w:rsidRPr="003D293D">
              <w:rPr>
                <w:sz w:val="20"/>
                <w:szCs w:val="20"/>
              </w:rPr>
              <w:t>Ensure that all members of staff consistently use the well- established and successful Behaviour Policy (Stay On Green / PEARL Values)</w:t>
            </w:r>
          </w:p>
          <w:p w14:paraId="353646E3" w14:textId="77777777" w:rsidR="00346DAE" w:rsidRPr="003D293D" w:rsidRDefault="00346DAE" w:rsidP="00346DAE">
            <w:pPr>
              <w:pStyle w:val="TableParagraph"/>
              <w:numPr>
                <w:ilvl w:val="0"/>
                <w:numId w:val="3"/>
              </w:numPr>
              <w:spacing w:line="248" w:lineRule="exact"/>
              <w:jc w:val="both"/>
              <w:rPr>
                <w:sz w:val="20"/>
                <w:szCs w:val="20"/>
              </w:rPr>
            </w:pPr>
            <w:r w:rsidRPr="003D293D">
              <w:rPr>
                <w:sz w:val="20"/>
                <w:szCs w:val="20"/>
              </w:rPr>
              <w:t>Ensure that pupil attitudes to their education is positive and that they are committed to their learning, know how to study effectively, are resilient to setbacks and take pride in their achievements</w:t>
            </w:r>
          </w:p>
          <w:p w14:paraId="7E4A4628" w14:textId="77777777" w:rsidR="00346DAE" w:rsidRPr="003D293D" w:rsidRDefault="00346DAE" w:rsidP="00346DAE">
            <w:pPr>
              <w:pStyle w:val="TableParagraph"/>
              <w:numPr>
                <w:ilvl w:val="0"/>
                <w:numId w:val="3"/>
              </w:numPr>
              <w:spacing w:line="248" w:lineRule="exact"/>
              <w:jc w:val="both"/>
              <w:rPr>
                <w:sz w:val="20"/>
                <w:szCs w:val="20"/>
              </w:rPr>
            </w:pPr>
            <w:r w:rsidRPr="003D293D">
              <w:rPr>
                <w:sz w:val="20"/>
                <w:szCs w:val="20"/>
              </w:rPr>
              <w:t xml:space="preserve">Embed our ‘Power of Yet’ and Growth Mindset strategies in to our daily teachings. </w:t>
            </w:r>
          </w:p>
        </w:tc>
      </w:tr>
      <w:tr w:rsidR="00346DAE" w14:paraId="31BDDFFF" w14:textId="77777777" w:rsidTr="00AC52FE">
        <w:tc>
          <w:tcPr>
            <w:tcW w:w="1980" w:type="dxa"/>
          </w:tcPr>
          <w:p w14:paraId="7A242114" w14:textId="77777777" w:rsidR="00346DAE" w:rsidRDefault="00346DAE" w:rsidP="00AC52FE">
            <w:pPr>
              <w:rPr>
                <w:rFonts w:ascii="Arial" w:hAnsi="Arial" w:cs="Arial"/>
                <w:b/>
                <w:sz w:val="20"/>
                <w:szCs w:val="20"/>
              </w:rPr>
            </w:pPr>
            <w:r w:rsidRPr="0003735A">
              <w:rPr>
                <w:rFonts w:ascii="Arial" w:hAnsi="Arial" w:cs="Arial"/>
                <w:b/>
                <w:sz w:val="20"/>
                <w:szCs w:val="20"/>
              </w:rPr>
              <w:t>Effectiveness of Leadership and Management</w:t>
            </w:r>
          </w:p>
          <w:p w14:paraId="5715F87F" w14:textId="77777777" w:rsidR="00346DAE" w:rsidRDefault="00346DAE" w:rsidP="00AC52FE">
            <w:pPr>
              <w:rPr>
                <w:rFonts w:ascii="Arial" w:hAnsi="Arial" w:cs="Arial"/>
                <w:b/>
              </w:rPr>
            </w:pPr>
          </w:p>
        </w:tc>
        <w:tc>
          <w:tcPr>
            <w:tcW w:w="13408" w:type="dxa"/>
          </w:tcPr>
          <w:p w14:paraId="00EB1734" w14:textId="77777777" w:rsidR="00346DAE" w:rsidRPr="003D293D" w:rsidRDefault="00346DAE" w:rsidP="00346DAE">
            <w:pPr>
              <w:pStyle w:val="ListParagraph"/>
              <w:numPr>
                <w:ilvl w:val="0"/>
                <w:numId w:val="4"/>
              </w:numPr>
              <w:rPr>
                <w:sz w:val="20"/>
                <w:szCs w:val="20"/>
              </w:rPr>
            </w:pPr>
            <w:r w:rsidRPr="003D293D">
              <w:rPr>
                <w:sz w:val="20"/>
                <w:szCs w:val="20"/>
              </w:rPr>
              <w:t>Empower all leaders to be more effective developing the quality of education</w:t>
            </w:r>
          </w:p>
          <w:p w14:paraId="55E5CB0E" w14:textId="77777777" w:rsidR="00346DAE" w:rsidRPr="003D293D" w:rsidRDefault="00346DAE" w:rsidP="00346DAE">
            <w:pPr>
              <w:pStyle w:val="ListParagraph"/>
              <w:numPr>
                <w:ilvl w:val="0"/>
                <w:numId w:val="4"/>
              </w:numPr>
              <w:rPr>
                <w:sz w:val="20"/>
                <w:szCs w:val="20"/>
              </w:rPr>
            </w:pPr>
            <w:r w:rsidRPr="003D293D">
              <w:rPr>
                <w:sz w:val="20"/>
                <w:szCs w:val="20"/>
              </w:rPr>
              <w:t>Ensure effective safeguarding arrangements are in place, creating a culture which always acts in the best interests of the pupils</w:t>
            </w:r>
          </w:p>
          <w:p w14:paraId="6BABB585" w14:textId="77777777" w:rsidR="00346DAE" w:rsidRPr="003D293D" w:rsidRDefault="00346DAE" w:rsidP="00346DAE">
            <w:pPr>
              <w:pStyle w:val="ListParagraph"/>
              <w:numPr>
                <w:ilvl w:val="0"/>
                <w:numId w:val="4"/>
              </w:numPr>
              <w:rPr>
                <w:sz w:val="20"/>
                <w:szCs w:val="20"/>
              </w:rPr>
            </w:pPr>
            <w:r w:rsidRPr="003D293D">
              <w:rPr>
                <w:sz w:val="20"/>
                <w:szCs w:val="20"/>
              </w:rPr>
              <w:t xml:space="preserve">Further develop and embed the role of designated link governors, to enable governors to hold SLT to account </w:t>
            </w:r>
          </w:p>
          <w:p w14:paraId="355FA807" w14:textId="77777777" w:rsidR="00346DAE" w:rsidRPr="003D293D" w:rsidRDefault="00346DAE" w:rsidP="00346DAE">
            <w:pPr>
              <w:pStyle w:val="ListParagraph"/>
              <w:numPr>
                <w:ilvl w:val="0"/>
                <w:numId w:val="4"/>
              </w:numPr>
              <w:rPr>
                <w:sz w:val="20"/>
                <w:szCs w:val="20"/>
              </w:rPr>
            </w:pPr>
            <w:r w:rsidRPr="003D293D">
              <w:rPr>
                <w:sz w:val="20"/>
                <w:szCs w:val="20"/>
              </w:rPr>
              <w:t xml:space="preserve">Ensure the well-being and mental health of staff is supported </w:t>
            </w:r>
          </w:p>
        </w:tc>
      </w:tr>
      <w:tr w:rsidR="00346DAE" w14:paraId="70061269" w14:textId="77777777" w:rsidTr="00AC52FE">
        <w:tc>
          <w:tcPr>
            <w:tcW w:w="1980" w:type="dxa"/>
          </w:tcPr>
          <w:p w14:paraId="5C47101A" w14:textId="77777777" w:rsidR="00346DAE" w:rsidRPr="005004A9" w:rsidRDefault="00346DAE" w:rsidP="00AC52FE">
            <w:pPr>
              <w:pStyle w:val="TableParagraph"/>
              <w:spacing w:line="250" w:lineRule="exact"/>
              <w:ind w:left="102"/>
              <w:rPr>
                <w:b/>
                <w:sz w:val="20"/>
                <w:szCs w:val="20"/>
              </w:rPr>
            </w:pPr>
            <w:r w:rsidRPr="005004A9">
              <w:rPr>
                <w:b/>
                <w:sz w:val="20"/>
                <w:szCs w:val="20"/>
              </w:rPr>
              <w:t>The Effectivenes</w:t>
            </w:r>
            <w:r>
              <w:rPr>
                <w:b/>
                <w:sz w:val="20"/>
                <w:szCs w:val="20"/>
              </w:rPr>
              <w:t>s of the Early Years Provision</w:t>
            </w:r>
          </w:p>
          <w:p w14:paraId="2D41A6D0" w14:textId="77777777" w:rsidR="00346DAE" w:rsidRDefault="00346DAE" w:rsidP="00AC52FE">
            <w:pPr>
              <w:rPr>
                <w:rFonts w:ascii="Arial" w:hAnsi="Arial" w:cs="Arial"/>
                <w:b/>
              </w:rPr>
            </w:pPr>
          </w:p>
        </w:tc>
        <w:tc>
          <w:tcPr>
            <w:tcW w:w="13408" w:type="dxa"/>
          </w:tcPr>
          <w:p w14:paraId="4AA94C95" w14:textId="77777777" w:rsidR="00346DAE" w:rsidRPr="00492883" w:rsidRDefault="00346DAE" w:rsidP="00346DAE">
            <w:pPr>
              <w:pStyle w:val="TableParagraph"/>
              <w:numPr>
                <w:ilvl w:val="0"/>
                <w:numId w:val="5"/>
              </w:numPr>
              <w:tabs>
                <w:tab w:val="left" w:pos="822"/>
                <w:tab w:val="left" w:pos="823"/>
              </w:tabs>
              <w:spacing w:before="1"/>
              <w:rPr>
                <w:sz w:val="20"/>
                <w:szCs w:val="20"/>
              </w:rPr>
            </w:pPr>
            <w:r>
              <w:rPr>
                <w:sz w:val="20"/>
                <w:szCs w:val="20"/>
              </w:rPr>
              <w:t>Ensure a</w:t>
            </w:r>
            <w:r w:rsidRPr="00492883">
              <w:rPr>
                <w:sz w:val="20"/>
                <w:szCs w:val="20"/>
              </w:rPr>
              <w:t xml:space="preserve">ll curriculum lead teachers </w:t>
            </w:r>
            <w:r>
              <w:rPr>
                <w:sz w:val="20"/>
                <w:szCs w:val="20"/>
              </w:rPr>
              <w:t>are</w:t>
            </w:r>
            <w:r w:rsidRPr="00492883">
              <w:rPr>
                <w:sz w:val="20"/>
                <w:szCs w:val="20"/>
              </w:rPr>
              <w:t xml:space="preserve"> confident in what their subject looks like in EYFS, including how it links with KS1 and KS2 National curriculum.    </w:t>
            </w:r>
          </w:p>
          <w:p w14:paraId="5BEBD3DB" w14:textId="77777777" w:rsidR="00346DAE" w:rsidRPr="00492883" w:rsidRDefault="00346DAE" w:rsidP="00346DAE">
            <w:pPr>
              <w:pStyle w:val="TableParagraph"/>
              <w:numPr>
                <w:ilvl w:val="0"/>
                <w:numId w:val="5"/>
              </w:numPr>
              <w:tabs>
                <w:tab w:val="left" w:pos="822"/>
                <w:tab w:val="left" w:pos="823"/>
              </w:tabs>
              <w:spacing w:before="1"/>
              <w:rPr>
                <w:sz w:val="20"/>
                <w:szCs w:val="20"/>
              </w:rPr>
            </w:pPr>
            <w:r w:rsidRPr="0088355A">
              <w:rPr>
                <w:color w:val="000000" w:themeColor="text1"/>
                <w:sz w:val="20"/>
                <w:szCs w:val="20"/>
              </w:rPr>
              <w:t xml:space="preserve">Adopt </w:t>
            </w:r>
            <w:r w:rsidRPr="00492883">
              <w:rPr>
                <w:sz w:val="20"/>
                <w:szCs w:val="20"/>
              </w:rPr>
              <w:t xml:space="preserve">a new phonics teaching scheme </w:t>
            </w:r>
            <w:r>
              <w:rPr>
                <w:sz w:val="20"/>
                <w:szCs w:val="20"/>
              </w:rPr>
              <w:t xml:space="preserve">(Little Wandle) </w:t>
            </w:r>
            <w:r w:rsidRPr="00492883">
              <w:rPr>
                <w:sz w:val="20"/>
                <w:szCs w:val="20"/>
              </w:rPr>
              <w:t>to enable the effective teaching of phonics and reading; ensuring that a love of reading has its roots in Foundation Stage.</w:t>
            </w:r>
          </w:p>
          <w:p w14:paraId="012B6FB3" w14:textId="77777777" w:rsidR="00346DAE" w:rsidRDefault="00346DAE" w:rsidP="00346DAE">
            <w:pPr>
              <w:pStyle w:val="TableParagraph"/>
              <w:numPr>
                <w:ilvl w:val="0"/>
                <w:numId w:val="5"/>
              </w:numPr>
              <w:tabs>
                <w:tab w:val="left" w:pos="822"/>
                <w:tab w:val="left" w:pos="823"/>
              </w:tabs>
              <w:spacing w:before="1"/>
              <w:rPr>
                <w:sz w:val="20"/>
                <w:szCs w:val="20"/>
              </w:rPr>
            </w:pPr>
            <w:r w:rsidRPr="00492883">
              <w:rPr>
                <w:sz w:val="20"/>
                <w:szCs w:val="20"/>
              </w:rPr>
              <w:t>Raise the standard of achievement in Communication and Language through interventions</w:t>
            </w:r>
            <w:r>
              <w:rPr>
                <w:sz w:val="20"/>
                <w:szCs w:val="20"/>
              </w:rPr>
              <w:t xml:space="preserve"> using the Early Years Talk Boost programme</w:t>
            </w:r>
            <w:r w:rsidRPr="00492883">
              <w:rPr>
                <w:sz w:val="20"/>
                <w:szCs w:val="20"/>
              </w:rPr>
              <w:t xml:space="preserve">, working with parents and ensuring the learning environment is </w:t>
            </w:r>
            <w:r>
              <w:rPr>
                <w:sz w:val="20"/>
                <w:szCs w:val="20"/>
              </w:rPr>
              <w:t>‘language driven’.</w:t>
            </w:r>
            <w:r w:rsidRPr="00492883">
              <w:rPr>
                <w:sz w:val="20"/>
                <w:szCs w:val="20"/>
              </w:rPr>
              <w:t xml:space="preserve"> </w:t>
            </w:r>
          </w:p>
          <w:p w14:paraId="7A68D228" w14:textId="77777777" w:rsidR="00346DAE" w:rsidRPr="005A53D4" w:rsidRDefault="00346DAE" w:rsidP="00346DAE">
            <w:pPr>
              <w:pStyle w:val="TableParagraph"/>
              <w:numPr>
                <w:ilvl w:val="0"/>
                <w:numId w:val="5"/>
              </w:numPr>
              <w:tabs>
                <w:tab w:val="left" w:pos="822"/>
                <w:tab w:val="left" w:pos="823"/>
              </w:tabs>
              <w:spacing w:before="1"/>
              <w:rPr>
                <w:sz w:val="20"/>
                <w:szCs w:val="20"/>
              </w:rPr>
            </w:pPr>
            <w:r w:rsidRPr="0088355A">
              <w:rPr>
                <w:color w:val="000000" w:themeColor="text1"/>
                <w:sz w:val="20"/>
                <w:szCs w:val="20"/>
                <w:lang w:val="en-GB"/>
              </w:rPr>
              <w:t xml:space="preserve">Ensure </w:t>
            </w:r>
            <w:r w:rsidRPr="0088355A">
              <w:rPr>
                <w:color w:val="000000" w:themeColor="text1"/>
                <w:sz w:val="20"/>
                <w:szCs w:val="20"/>
              </w:rPr>
              <w:t xml:space="preserve">the </w:t>
            </w:r>
            <w:r>
              <w:rPr>
                <w:color w:val="000000" w:themeColor="text1"/>
                <w:sz w:val="20"/>
                <w:szCs w:val="20"/>
                <w:lang w:val="en-GB"/>
              </w:rPr>
              <w:t>personal, social and emotional d</w:t>
            </w:r>
            <w:r w:rsidRPr="0088355A">
              <w:rPr>
                <w:color w:val="000000" w:themeColor="text1"/>
                <w:sz w:val="20"/>
                <w:szCs w:val="20"/>
                <w:lang w:val="en-GB"/>
              </w:rPr>
              <w:t>evelopment of pupils is at the core of our teaching where</w:t>
            </w:r>
            <w:r w:rsidRPr="0088355A">
              <w:rPr>
                <w:color w:val="000000" w:themeColor="text1"/>
                <w:sz w:val="20"/>
                <w:szCs w:val="20"/>
              </w:rPr>
              <w:t xml:space="preserve"> </w:t>
            </w:r>
            <w:r w:rsidRPr="0088355A">
              <w:rPr>
                <w:color w:val="000000" w:themeColor="text1"/>
                <w:sz w:val="20"/>
                <w:szCs w:val="20"/>
                <w:lang w:val="en-GB"/>
              </w:rPr>
              <w:t xml:space="preserve">staff </w:t>
            </w:r>
            <w:r w:rsidRPr="00842B56">
              <w:rPr>
                <w:sz w:val="20"/>
                <w:szCs w:val="20"/>
                <w:lang w:val="en-GB"/>
              </w:rPr>
              <w:t>have a thorough understanding of the importance of the school’s PEARL values, self-regulation strategies and well-being, and know how they support pupils to becom</w:t>
            </w:r>
            <w:r>
              <w:rPr>
                <w:sz w:val="20"/>
                <w:szCs w:val="20"/>
                <w:lang w:val="en-GB"/>
              </w:rPr>
              <w:t xml:space="preserve">e happy and confident learners. </w:t>
            </w:r>
            <w:r w:rsidRPr="00842B56">
              <w:rPr>
                <w:sz w:val="20"/>
                <w:szCs w:val="20"/>
                <w:lang w:val="en-GB"/>
              </w:rPr>
              <w:t xml:space="preserve"> </w:t>
            </w:r>
          </w:p>
          <w:p w14:paraId="22534836" w14:textId="77777777" w:rsidR="00346DAE" w:rsidRPr="005C1030" w:rsidRDefault="00346DAE" w:rsidP="00346DAE">
            <w:pPr>
              <w:pStyle w:val="TableParagraph"/>
              <w:numPr>
                <w:ilvl w:val="0"/>
                <w:numId w:val="5"/>
              </w:numPr>
              <w:spacing w:line="250" w:lineRule="exact"/>
            </w:pPr>
            <w:r>
              <w:rPr>
                <w:sz w:val="20"/>
                <w:szCs w:val="20"/>
              </w:rPr>
              <w:t>Support the physical development of pupils to ensure they have the foundation they need to become writers.</w:t>
            </w:r>
          </w:p>
        </w:tc>
      </w:tr>
    </w:tbl>
    <w:p w14:paraId="33FD3B55" w14:textId="77777777" w:rsidR="008F714D" w:rsidRDefault="00D93CC0"/>
    <w:sectPr w:rsidR="008F714D" w:rsidSect="00346DA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66F25"/>
    <w:multiLevelType w:val="hybridMultilevel"/>
    <w:tmpl w:val="BBAC28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AB573F"/>
    <w:multiLevelType w:val="hybridMultilevel"/>
    <w:tmpl w:val="3BF827D4"/>
    <w:lvl w:ilvl="0" w:tplc="9BE673DC">
      <w:start w:val="1"/>
      <w:numFmt w:val="decimal"/>
      <w:lvlText w:val="%1)"/>
      <w:lvlJc w:val="left"/>
      <w:pPr>
        <w:ind w:left="720" w:hanging="360"/>
      </w:pPr>
      <w:rPr>
        <w:rFonts w:asciiTheme="minorHAnsi" w:hAnsiTheme="minorHAnsi" w:cstheme="minorBidi"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B67FF9"/>
    <w:multiLevelType w:val="hybridMultilevel"/>
    <w:tmpl w:val="FA16A6D8"/>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D74E75"/>
    <w:multiLevelType w:val="hybridMultilevel"/>
    <w:tmpl w:val="5C8E24E0"/>
    <w:lvl w:ilvl="0" w:tplc="324A9042">
      <w:start w:val="1"/>
      <w:numFmt w:val="decimal"/>
      <w:lvlText w:val="%1)"/>
      <w:lvlJc w:val="left"/>
      <w:pPr>
        <w:ind w:left="720" w:hanging="360"/>
      </w:pPr>
      <w:rPr>
        <w:rFonts w:ascii="Arial" w:eastAsiaTheme="minorHAnsi" w:hAnsi="Arial" w:cs="Arial"/>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2E60CDD"/>
    <w:multiLevelType w:val="hybridMultilevel"/>
    <w:tmpl w:val="2CA41F40"/>
    <w:lvl w:ilvl="0" w:tplc="12E0816A">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B763BB"/>
    <w:multiLevelType w:val="hybridMultilevel"/>
    <w:tmpl w:val="E31668BC"/>
    <w:lvl w:ilvl="0" w:tplc="85DCDE18">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A00"/>
    <w:rsid w:val="00346DAE"/>
    <w:rsid w:val="00385A00"/>
    <w:rsid w:val="0047643D"/>
    <w:rsid w:val="00D23CFB"/>
    <w:rsid w:val="00D93C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AFD4"/>
  <w15:chartTrackingRefBased/>
  <w15:docId w15:val="{4ED6F8CF-7BB8-481B-95FE-DB37A3417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D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6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6DAE"/>
    <w:pPr>
      <w:widowControl w:val="0"/>
      <w:autoSpaceDE w:val="0"/>
      <w:autoSpaceDN w:val="0"/>
      <w:spacing w:after="0" w:line="240" w:lineRule="auto"/>
      <w:ind w:left="720"/>
      <w:contextualSpacing/>
    </w:pPr>
    <w:rPr>
      <w:rFonts w:ascii="Arial" w:eastAsia="Arial" w:hAnsi="Arial" w:cs="Arial"/>
      <w:lang w:val="en-US"/>
    </w:rPr>
  </w:style>
  <w:style w:type="paragraph" w:customStyle="1" w:styleId="TableParagraph">
    <w:name w:val="Table Paragraph"/>
    <w:basedOn w:val="Normal"/>
    <w:uiPriority w:val="1"/>
    <w:qFormat/>
    <w:rsid w:val="00346DAE"/>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3114</Characters>
  <Application>Microsoft Office Word</Application>
  <DocSecurity>0</DocSecurity>
  <Lines>25</Lines>
  <Paragraphs>7</Paragraphs>
  <ScaleCrop>false</ScaleCrop>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Curran</dc:creator>
  <cp:keywords/>
  <dc:description/>
  <cp:lastModifiedBy>Karen Taylor</cp:lastModifiedBy>
  <cp:revision>2</cp:revision>
  <dcterms:created xsi:type="dcterms:W3CDTF">2023-05-19T08:35:00Z</dcterms:created>
  <dcterms:modified xsi:type="dcterms:W3CDTF">2023-05-19T08:35:00Z</dcterms:modified>
</cp:coreProperties>
</file>