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F56AFB"/>
    <w:p w:rsidR="00D274BD" w:rsidRDefault="00D274BD" w:rsidP="00F512B5">
      <w:pPr>
        <w:jc w:val="center"/>
        <w:rPr>
          <w:rFonts w:ascii="SassoonPrimaryType" w:hAnsi="SassoonPrimaryType"/>
          <w:sz w:val="44"/>
          <w:szCs w:val="44"/>
        </w:rPr>
      </w:pPr>
      <w:r>
        <w:rPr>
          <w:noProof/>
        </w:rPr>
        <w:drawing>
          <wp:inline distT="0" distB="0" distL="0" distR="0">
            <wp:extent cx="3848100" cy="842288"/>
            <wp:effectExtent l="0" t="0" r="0" b="0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43" cy="8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 xml:space="preserve">Class </w:t>
      </w:r>
      <w:r w:rsidR="00323944">
        <w:rPr>
          <w:rFonts w:ascii="SassoonPrimaryType" w:hAnsi="SassoonPrimaryType"/>
          <w:sz w:val="44"/>
          <w:szCs w:val="44"/>
        </w:rPr>
        <w:t>6</w:t>
      </w:r>
      <w:r w:rsidRPr="00F512B5">
        <w:rPr>
          <w:rFonts w:ascii="SassoonPrimaryType" w:hAnsi="SassoonPrimaryType"/>
          <w:sz w:val="44"/>
          <w:szCs w:val="44"/>
        </w:rPr>
        <w:t xml:space="preserve"> Yearly Overview Maths</w:t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202</w:t>
      </w:r>
      <w:r w:rsidR="00955862">
        <w:rPr>
          <w:rFonts w:ascii="SassoonPrimaryType" w:hAnsi="SassoonPrimaryType"/>
          <w:sz w:val="44"/>
          <w:szCs w:val="44"/>
        </w:rPr>
        <w:t>4/2025</w:t>
      </w:r>
      <w:bookmarkStart w:id="0" w:name="_GoBack"/>
      <w:bookmarkEnd w:id="0"/>
    </w:p>
    <w:tbl>
      <w:tblPr>
        <w:tblStyle w:val="TableGrid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417"/>
        <w:gridCol w:w="1276"/>
        <w:gridCol w:w="1417"/>
        <w:gridCol w:w="1276"/>
        <w:gridCol w:w="1418"/>
        <w:gridCol w:w="1417"/>
        <w:gridCol w:w="1276"/>
        <w:gridCol w:w="1276"/>
        <w:gridCol w:w="1275"/>
        <w:gridCol w:w="1276"/>
        <w:gridCol w:w="1276"/>
      </w:tblGrid>
      <w:tr w:rsidR="008E334A" w:rsidTr="006A627C">
        <w:tc>
          <w:tcPr>
            <w:tcW w:w="283" w:type="dxa"/>
          </w:tcPr>
          <w:p w:rsidR="00F56AFB" w:rsidRDefault="00F56AFB"/>
        </w:tc>
        <w:tc>
          <w:tcPr>
            <w:tcW w:w="1419" w:type="dxa"/>
          </w:tcPr>
          <w:p w:rsidR="00F56AFB" w:rsidRDefault="00F56AFB">
            <w:r>
              <w:t>Week 1</w:t>
            </w:r>
          </w:p>
        </w:tc>
        <w:tc>
          <w:tcPr>
            <w:tcW w:w="1417" w:type="dxa"/>
          </w:tcPr>
          <w:p w:rsidR="00F56AFB" w:rsidRDefault="00F56AFB">
            <w:r>
              <w:t>Week 2</w:t>
            </w:r>
          </w:p>
        </w:tc>
        <w:tc>
          <w:tcPr>
            <w:tcW w:w="1276" w:type="dxa"/>
          </w:tcPr>
          <w:p w:rsidR="00F56AFB" w:rsidRDefault="00F56AFB">
            <w:r>
              <w:t>Week 3</w:t>
            </w:r>
          </w:p>
        </w:tc>
        <w:tc>
          <w:tcPr>
            <w:tcW w:w="1417" w:type="dxa"/>
          </w:tcPr>
          <w:p w:rsidR="00F56AFB" w:rsidRDefault="00F56AFB">
            <w:r>
              <w:t>Week 4</w:t>
            </w:r>
          </w:p>
        </w:tc>
        <w:tc>
          <w:tcPr>
            <w:tcW w:w="1276" w:type="dxa"/>
          </w:tcPr>
          <w:p w:rsidR="00F56AFB" w:rsidRDefault="00F56AFB">
            <w:r>
              <w:t>Week 5</w:t>
            </w:r>
          </w:p>
        </w:tc>
        <w:tc>
          <w:tcPr>
            <w:tcW w:w="1418" w:type="dxa"/>
          </w:tcPr>
          <w:p w:rsidR="00F56AFB" w:rsidRDefault="00F56AFB">
            <w:r>
              <w:t xml:space="preserve">Week 6 </w:t>
            </w:r>
          </w:p>
        </w:tc>
        <w:tc>
          <w:tcPr>
            <w:tcW w:w="1417" w:type="dxa"/>
          </w:tcPr>
          <w:p w:rsidR="00F56AFB" w:rsidRDefault="00F56AFB">
            <w:r>
              <w:t xml:space="preserve">Week 7 </w:t>
            </w:r>
          </w:p>
        </w:tc>
        <w:tc>
          <w:tcPr>
            <w:tcW w:w="1276" w:type="dxa"/>
          </w:tcPr>
          <w:p w:rsidR="00F56AFB" w:rsidRDefault="00F56AFB">
            <w:r>
              <w:t>Week 8</w:t>
            </w:r>
          </w:p>
        </w:tc>
        <w:tc>
          <w:tcPr>
            <w:tcW w:w="1276" w:type="dxa"/>
          </w:tcPr>
          <w:p w:rsidR="00F56AFB" w:rsidRDefault="00F56AFB">
            <w:r>
              <w:t>Week 9</w:t>
            </w:r>
          </w:p>
        </w:tc>
        <w:tc>
          <w:tcPr>
            <w:tcW w:w="1275" w:type="dxa"/>
          </w:tcPr>
          <w:p w:rsidR="00F56AFB" w:rsidRDefault="00F56AFB">
            <w:r>
              <w:t xml:space="preserve">Week 10 </w:t>
            </w:r>
          </w:p>
        </w:tc>
        <w:tc>
          <w:tcPr>
            <w:tcW w:w="1276" w:type="dxa"/>
          </w:tcPr>
          <w:p w:rsidR="00F56AFB" w:rsidRDefault="00F56AFB">
            <w:r>
              <w:t>Week 11</w:t>
            </w:r>
          </w:p>
        </w:tc>
        <w:tc>
          <w:tcPr>
            <w:tcW w:w="1276" w:type="dxa"/>
          </w:tcPr>
          <w:p w:rsidR="00F56AFB" w:rsidRDefault="00F56AFB">
            <w:r>
              <w:t>Week 12</w:t>
            </w:r>
          </w:p>
        </w:tc>
      </w:tr>
      <w:tr w:rsidR="008E334A" w:rsidRPr="00F512B5" w:rsidTr="006A627C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Autumn</w:t>
            </w:r>
          </w:p>
        </w:tc>
        <w:tc>
          <w:tcPr>
            <w:tcW w:w="1419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4D296B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8E334A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</w:t>
            </w:r>
          </w:p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256AFA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</w:t>
            </w:r>
            <w:r w:rsidR="00256AFA">
              <w:rPr>
                <w:rFonts w:ascii="SassoonPrimaryType" w:hAnsi="SassoonPrimaryType"/>
              </w:rPr>
              <w:t xml:space="preserve">ll 4 </w:t>
            </w:r>
          </w:p>
          <w:p w:rsidR="00256AFA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Operations </w:t>
            </w:r>
          </w:p>
          <w:p w:rsidR="0008395C" w:rsidRPr="00F512B5" w:rsidRDefault="0008395C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All 4 </w:t>
            </w:r>
          </w:p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Operations </w:t>
            </w:r>
          </w:p>
          <w:p w:rsidR="006A627C" w:rsidRPr="00F512B5" w:rsidRDefault="006A627C" w:rsidP="00256AFA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All 4 </w:t>
            </w:r>
          </w:p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Operations </w:t>
            </w:r>
          </w:p>
          <w:p w:rsidR="005C0CE0" w:rsidRPr="00F512B5" w:rsidRDefault="005C0CE0" w:rsidP="00256AFA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6A627C" w:rsidRDefault="00256AFA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256AFA" w:rsidRDefault="00256AFA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5C0CE0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275" w:type="dxa"/>
          </w:tcPr>
          <w:p w:rsidR="0008395C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Measures:</w:t>
            </w:r>
          </w:p>
          <w:p w:rsidR="00256AFA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Converting units</w:t>
            </w:r>
          </w:p>
        </w:tc>
        <w:tc>
          <w:tcPr>
            <w:tcW w:w="1276" w:type="dxa"/>
          </w:tcPr>
          <w:p w:rsidR="00F56AFB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Converting units</w:t>
            </w:r>
          </w:p>
        </w:tc>
        <w:tc>
          <w:tcPr>
            <w:tcW w:w="1276" w:type="dxa"/>
          </w:tcPr>
          <w:p w:rsidR="005C0CE0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256AFA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  <w:tr w:rsidR="008E334A" w:rsidRPr="00F512B5" w:rsidTr="006A627C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Spring </w:t>
            </w:r>
          </w:p>
        </w:tc>
        <w:tc>
          <w:tcPr>
            <w:tcW w:w="1419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Number </w:t>
            </w:r>
          </w:p>
          <w:p w:rsidR="0008395C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417" w:type="dxa"/>
          </w:tcPr>
          <w:p w:rsidR="00F56AFB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6" w:type="dxa"/>
          </w:tcPr>
          <w:p w:rsidR="006A627C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256AFA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</w:t>
            </w:r>
          </w:p>
        </w:tc>
        <w:tc>
          <w:tcPr>
            <w:tcW w:w="1417" w:type="dxa"/>
          </w:tcPr>
          <w:p w:rsidR="005C0CE0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Decimals </w:t>
            </w:r>
          </w:p>
        </w:tc>
        <w:tc>
          <w:tcPr>
            <w:tcW w:w="1276" w:type="dxa"/>
          </w:tcPr>
          <w:p w:rsidR="00256AFA" w:rsidRDefault="00256AFA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6A627C" w:rsidRPr="00F512B5" w:rsidRDefault="00256AFA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  <w:r w:rsidR="006A627C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1418" w:type="dxa"/>
          </w:tcPr>
          <w:p w:rsidR="006A627C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  <w:r w:rsidR="006A627C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1417" w:type="dxa"/>
          </w:tcPr>
          <w:p w:rsidR="006A627C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276" w:type="dxa"/>
          </w:tcPr>
          <w:p w:rsidR="00F56AFB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</w:t>
            </w:r>
          </w:p>
          <w:p w:rsidR="00256AFA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Area, </w:t>
            </w:r>
          </w:p>
          <w:p w:rsidR="00256AFA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Perimeter &amp;</w:t>
            </w:r>
          </w:p>
          <w:p w:rsidR="00256AFA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Volume</w:t>
            </w:r>
          </w:p>
        </w:tc>
        <w:tc>
          <w:tcPr>
            <w:tcW w:w="1276" w:type="dxa"/>
          </w:tcPr>
          <w:p w:rsidR="006A627C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Statistics </w:t>
            </w:r>
          </w:p>
        </w:tc>
        <w:tc>
          <w:tcPr>
            <w:tcW w:w="1275" w:type="dxa"/>
          </w:tcPr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Statisti</w:t>
            </w:r>
            <w:r w:rsidR="00256AFA">
              <w:rPr>
                <w:rFonts w:ascii="SassoonPrimaryType" w:hAnsi="SassoonPrimaryType"/>
              </w:rPr>
              <w:t xml:space="preserve">cs </w:t>
            </w:r>
          </w:p>
        </w:tc>
        <w:tc>
          <w:tcPr>
            <w:tcW w:w="1276" w:type="dxa"/>
          </w:tcPr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Fractions/</w:t>
            </w:r>
          </w:p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Decimals/</w:t>
            </w:r>
          </w:p>
          <w:p w:rsidR="00256AFA" w:rsidRPr="00F512B5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Percentages</w:t>
            </w:r>
          </w:p>
        </w:tc>
        <w:tc>
          <w:tcPr>
            <w:tcW w:w="1276" w:type="dxa"/>
          </w:tcPr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Fractions/</w:t>
            </w:r>
          </w:p>
          <w:p w:rsidR="00256AFA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Decimals/</w:t>
            </w:r>
          </w:p>
          <w:p w:rsidR="005C0CE0" w:rsidRPr="00F512B5" w:rsidRDefault="00256AFA" w:rsidP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Percentages</w:t>
            </w:r>
          </w:p>
        </w:tc>
      </w:tr>
      <w:tr w:rsidR="008E334A" w:rsidRPr="00F512B5" w:rsidTr="006A627C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Summer </w:t>
            </w:r>
          </w:p>
        </w:tc>
        <w:tc>
          <w:tcPr>
            <w:tcW w:w="1419" w:type="dxa"/>
          </w:tcPr>
          <w:p w:rsidR="006A627C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SATS </w:t>
            </w:r>
          </w:p>
          <w:p w:rsidR="00256AFA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REVISION</w:t>
            </w:r>
          </w:p>
        </w:tc>
        <w:tc>
          <w:tcPr>
            <w:tcW w:w="1417" w:type="dxa"/>
          </w:tcPr>
          <w:p w:rsidR="006A627C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SATS</w:t>
            </w:r>
          </w:p>
          <w:p w:rsidR="00256AFA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REVISION</w:t>
            </w:r>
          </w:p>
        </w:tc>
        <w:tc>
          <w:tcPr>
            <w:tcW w:w="1276" w:type="dxa"/>
          </w:tcPr>
          <w:p w:rsidR="0008395C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SATS REVISION </w:t>
            </w:r>
          </w:p>
        </w:tc>
        <w:tc>
          <w:tcPr>
            <w:tcW w:w="1417" w:type="dxa"/>
          </w:tcPr>
          <w:p w:rsidR="006A627C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SATS</w:t>
            </w:r>
          </w:p>
          <w:p w:rsidR="00256AFA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REVISION</w:t>
            </w:r>
          </w:p>
        </w:tc>
        <w:tc>
          <w:tcPr>
            <w:tcW w:w="1276" w:type="dxa"/>
          </w:tcPr>
          <w:p w:rsidR="006A627C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SATS</w:t>
            </w:r>
          </w:p>
          <w:p w:rsidR="00256AFA" w:rsidRPr="00F512B5" w:rsidRDefault="00256AFA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REVISION</w:t>
            </w:r>
          </w:p>
        </w:tc>
        <w:tc>
          <w:tcPr>
            <w:tcW w:w="1418" w:type="dxa"/>
          </w:tcPr>
          <w:p w:rsidR="0008395C" w:rsidRDefault="00256AFA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Y6 SATS </w:t>
            </w:r>
          </w:p>
          <w:p w:rsidR="00256AFA" w:rsidRPr="00F512B5" w:rsidRDefault="00256AFA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WEEK</w:t>
            </w:r>
          </w:p>
        </w:tc>
        <w:tc>
          <w:tcPr>
            <w:tcW w:w="1417" w:type="dxa"/>
          </w:tcPr>
          <w:p w:rsidR="00F512B5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 </w:t>
            </w:r>
            <w:r w:rsidR="00256AFA">
              <w:rPr>
                <w:rFonts w:ascii="SassoonPrimaryType" w:hAnsi="SassoonPrimaryType"/>
              </w:rPr>
              <w:t>Ratio</w:t>
            </w:r>
          </w:p>
        </w:tc>
        <w:tc>
          <w:tcPr>
            <w:tcW w:w="1276" w:type="dxa"/>
          </w:tcPr>
          <w:p w:rsidR="006A627C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Ratio</w:t>
            </w:r>
          </w:p>
        </w:tc>
        <w:tc>
          <w:tcPr>
            <w:tcW w:w="1276" w:type="dxa"/>
          </w:tcPr>
          <w:p w:rsidR="008E334A" w:rsidRPr="00F512B5" w:rsidRDefault="00256AFA" w:rsidP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Algebra</w:t>
            </w:r>
          </w:p>
        </w:tc>
        <w:tc>
          <w:tcPr>
            <w:tcW w:w="1275" w:type="dxa"/>
          </w:tcPr>
          <w:p w:rsidR="00841618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Algebra</w:t>
            </w:r>
          </w:p>
        </w:tc>
        <w:tc>
          <w:tcPr>
            <w:tcW w:w="1276" w:type="dxa"/>
          </w:tcPr>
          <w:p w:rsidR="00256AFA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Measures/</w:t>
            </w:r>
          </w:p>
          <w:p w:rsidR="00256AFA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  <w:tc>
          <w:tcPr>
            <w:tcW w:w="1276" w:type="dxa"/>
          </w:tcPr>
          <w:p w:rsidR="006A627C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Recap &amp; </w:t>
            </w:r>
          </w:p>
          <w:p w:rsidR="00256AFA" w:rsidRPr="00F512B5" w:rsidRDefault="00256AF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</w:tbl>
    <w:p w:rsidR="004D296B" w:rsidRPr="00F512B5" w:rsidRDefault="004D296B">
      <w:pPr>
        <w:rPr>
          <w:rFonts w:ascii="SassoonPrimaryType" w:hAnsi="SassoonPrimaryType"/>
        </w:rPr>
      </w:pPr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08395C"/>
    <w:rsid w:val="00256AFA"/>
    <w:rsid w:val="00323944"/>
    <w:rsid w:val="004D296B"/>
    <w:rsid w:val="005C0CE0"/>
    <w:rsid w:val="006A627C"/>
    <w:rsid w:val="00841618"/>
    <w:rsid w:val="008E334A"/>
    <w:rsid w:val="00955862"/>
    <w:rsid w:val="00D274BD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34B0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2024-12-18T14:08:00Z</dcterms:created>
  <dcterms:modified xsi:type="dcterms:W3CDTF">2024-12-18T14:08:00Z</dcterms:modified>
</cp:coreProperties>
</file>