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A088B" w14:textId="6EE56758" w:rsidR="000A3F55" w:rsidRPr="003F289F" w:rsidRDefault="000A3F55" w:rsidP="000A3F55">
      <w:pPr>
        <w:rPr>
          <w:sz w:val="36"/>
          <w:szCs w:val="36"/>
        </w:rPr>
      </w:pPr>
      <w:r w:rsidRPr="003F289F">
        <w:rPr>
          <w:sz w:val="36"/>
          <w:szCs w:val="36"/>
        </w:rPr>
        <w:t>PSHE Skills Progression – St Maria Goretti Catholic Primary School – 202</w:t>
      </w:r>
      <w:r w:rsidR="00180D7F">
        <w:rPr>
          <w:sz w:val="36"/>
          <w:szCs w:val="36"/>
        </w:rPr>
        <w:t>4</w:t>
      </w:r>
    </w:p>
    <w:p w14:paraId="2AD4E642" w14:textId="2B1096A7" w:rsidR="00DB160B" w:rsidRPr="003F289F" w:rsidRDefault="00DB160B" w:rsidP="000A3F5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1984"/>
        <w:gridCol w:w="2126"/>
        <w:gridCol w:w="2127"/>
        <w:gridCol w:w="2189"/>
      </w:tblGrid>
      <w:tr w:rsidR="000A3F55" w14:paraId="09F7F35C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763F47F4" w14:textId="17FCBCE6" w:rsidR="000A3F55" w:rsidRDefault="002B26EB" w:rsidP="000A3F55">
            <w:r>
              <w:t>PSHE Units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74B84762" w14:textId="7DEE6DEE" w:rsidR="000A3F55" w:rsidRDefault="000A3F55" w:rsidP="000A3F55">
            <w:r>
              <w:t>Year 1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5C978298" w14:textId="2D90CE92" w:rsidR="000A3F55" w:rsidRDefault="000A3F55" w:rsidP="000A3F55">
            <w:r>
              <w:t>Year 2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B79F522" w14:textId="146DC837" w:rsidR="000A3F55" w:rsidRDefault="000A3F55" w:rsidP="000A3F55">
            <w:r>
              <w:t>Year 3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50BDF31D" w14:textId="7BD182D3" w:rsidR="000A3F55" w:rsidRDefault="000A3F55" w:rsidP="000A3F55">
            <w:r>
              <w:t>Year 4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2224909B" w14:textId="77BC42FD" w:rsidR="000A3F55" w:rsidRDefault="000A3F55" w:rsidP="000A3F55">
            <w:r>
              <w:t>Year 5</w:t>
            </w:r>
          </w:p>
        </w:tc>
        <w:tc>
          <w:tcPr>
            <w:tcW w:w="2189" w:type="dxa"/>
            <w:shd w:val="clear" w:color="auto" w:fill="FFE599" w:themeFill="accent4" w:themeFillTint="66"/>
          </w:tcPr>
          <w:p w14:paraId="6FCC4174" w14:textId="6AE55875" w:rsidR="000A3F55" w:rsidRDefault="000A3F55" w:rsidP="000A3F55">
            <w:r>
              <w:t>Year 6</w:t>
            </w:r>
          </w:p>
        </w:tc>
      </w:tr>
      <w:tr w:rsidR="002D6781" w14:paraId="710CA809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083FB969" w14:textId="104610D3" w:rsidR="002D6781" w:rsidRPr="00DB160B" w:rsidRDefault="002D678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Emotional Health and wellbeing</w:t>
            </w:r>
          </w:p>
        </w:tc>
        <w:tc>
          <w:tcPr>
            <w:tcW w:w="1984" w:type="dxa"/>
          </w:tcPr>
          <w:p w14:paraId="0FB8B256" w14:textId="3BF33F09" w:rsidR="002D6781" w:rsidRDefault="002D678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identify and name some feelings (for example through interpreting facial expressions)</w:t>
            </w:r>
            <w:r w:rsidR="00AF6C42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. They recognise likes and dislikes and what is fair and unfair.</w:t>
            </w:r>
          </w:p>
        </w:tc>
        <w:tc>
          <w:tcPr>
            <w:tcW w:w="2127" w:type="dxa"/>
          </w:tcPr>
          <w:p w14:paraId="3B9E41C4" w14:textId="0A3B8ABD" w:rsidR="002D6781" w:rsidRDefault="002D678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demonstrate that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br/>
              <w:t xml:space="preserve">they can manage some feelings in a positive and effective way. </w:t>
            </w:r>
            <w:r w:rsidR="00AF6C42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Begin to understand that some feelings are difficult to control.</w:t>
            </w:r>
          </w:p>
        </w:tc>
        <w:tc>
          <w:tcPr>
            <w:tcW w:w="1984" w:type="dxa"/>
          </w:tcPr>
          <w:p w14:paraId="414DE2B5" w14:textId="3EE12350" w:rsidR="002D6781" w:rsidRDefault="002D678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demonstrate that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br/>
              <w:t xml:space="preserve">they recognise their own worth and that of others. 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identify positive things about themselves. </w:t>
            </w:r>
          </w:p>
        </w:tc>
        <w:tc>
          <w:tcPr>
            <w:tcW w:w="2126" w:type="dxa"/>
          </w:tcPr>
          <w:p w14:paraId="5F651733" w14:textId="4D92E309" w:rsidR="002D6781" w:rsidRPr="000A3F55" w:rsidRDefault="002D6781" w:rsidP="001B2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express their views confidently and listen to and show respect for the views of others. </w:t>
            </w:r>
            <w:r w:rsidR="00AF6C42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start to develop strategies for resolving difficult situations.</w:t>
            </w:r>
          </w:p>
        </w:tc>
        <w:tc>
          <w:tcPr>
            <w:tcW w:w="2127" w:type="dxa"/>
          </w:tcPr>
          <w:p w14:paraId="48A8A208" w14:textId="04AFA22F" w:rsidR="002D6781" w:rsidRDefault="002D6781" w:rsidP="0067557F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identify some factors that affect emotional health and well-being.</w:t>
            </w:r>
            <w:r w:rsidR="00FA210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They are able to see others point of view. They can recognise positive things about themselves.</w:t>
            </w:r>
          </w:p>
        </w:tc>
        <w:tc>
          <w:tcPr>
            <w:tcW w:w="2189" w:type="dxa"/>
          </w:tcPr>
          <w:p w14:paraId="085CF416" w14:textId="1C30B791" w:rsidR="002D6781" w:rsidRDefault="003F289F" w:rsidP="001B2CF1">
            <w:pPr>
              <w:spacing w:before="100" w:beforeAutospacing="1" w:after="100" w:afterAutospacing="1"/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with confidence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identify factors that affect emotional health and well-being.</w:t>
            </w:r>
            <w:r w:rsidR="00FA210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They recognise and challenge stereotypes. They recognise positive things about themselves and their </w:t>
            </w:r>
            <w:r w:rsidR="00180D7F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achievements</w:t>
            </w:r>
            <w:r w:rsidR="00FA210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.</w:t>
            </w:r>
          </w:p>
        </w:tc>
      </w:tr>
      <w:tr w:rsidR="001B2CF1" w14:paraId="39A4ECDB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0D975C61" w14:textId="1B359FA0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Relationships and sex education</w:t>
            </w:r>
          </w:p>
        </w:tc>
        <w:tc>
          <w:tcPr>
            <w:tcW w:w="1984" w:type="dxa"/>
          </w:tcPr>
          <w:p w14:paraId="02BFB981" w14:textId="0AFF89B1" w:rsidR="000C50FF" w:rsidRPr="009A58CA" w:rsidRDefault="001B2CF1" w:rsidP="001B2CF1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can name the main parts of the body. They can explain that people grow from young to old.</w:t>
            </w:r>
            <w:r w:rsidR="009A58C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Realise that babies need a lot of care. </w:t>
            </w:r>
            <w:r w:rsidR="000C50FF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Begin to understand that they have rights over their bodies.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Make friends, talk to them and share feelings.</w:t>
            </w:r>
          </w:p>
        </w:tc>
        <w:tc>
          <w:tcPr>
            <w:tcW w:w="2127" w:type="dxa"/>
          </w:tcPr>
          <w:p w14:paraId="103C2930" w14:textId="31455762" w:rsidR="001B2CF1" w:rsidRPr="009A58CA" w:rsidRDefault="001B2CF1" w:rsidP="001B2CF1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begin to share their views and opinions (for example talking about fairness).</w:t>
            </w:r>
            <w:r w:rsidR="009A58C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recognise the effect of their behaviour on other people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and can cooperate with others (for example by </w:t>
            </w:r>
            <w:r w:rsidR="009A58C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sharing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, listening to what others say</w:t>
            </w:r>
            <w:r w:rsidR="009A58C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and taking turns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).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984" w:type="dxa"/>
          </w:tcPr>
          <w:p w14:paraId="577DAD33" w14:textId="77777777" w:rsidR="001B2CF1" w:rsidRDefault="001B2CF1" w:rsidP="001B2CF1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express their views confidently and listen to and show respect for the views of others.</w:t>
            </w:r>
          </w:p>
          <w:p w14:paraId="6F04C711" w14:textId="6BD6659B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explain how their actions have consequences for themselves and others.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126" w:type="dxa"/>
          </w:tcPr>
          <w:p w14:paraId="32769BB0" w14:textId="77777777" w:rsidR="001B2CF1" w:rsidRDefault="001B2CF1" w:rsidP="001B2CF1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know what a friend is and does and how to cope with some friendship problems.</w:t>
            </w:r>
          </w:p>
          <w:p w14:paraId="2555C399" w14:textId="1D8E0159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identify 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and accept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different types of relationship (for example marriage or friendships</w:t>
            </w:r>
            <w:r w:rsidR="0067557F"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) and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can show ways to maintain good relationships (for example listening, supporting, caring).</w:t>
            </w:r>
          </w:p>
        </w:tc>
        <w:tc>
          <w:tcPr>
            <w:tcW w:w="2127" w:type="dxa"/>
          </w:tcPr>
          <w:p w14:paraId="663D9820" w14:textId="4FD17E39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discuss some of the bodily and emotional changes at puberty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can demonstrate some ways of dealing with these in a positive way.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Understand and accept the diversity of family arrangements.</w:t>
            </w:r>
          </w:p>
        </w:tc>
        <w:tc>
          <w:tcPr>
            <w:tcW w:w="2189" w:type="dxa"/>
          </w:tcPr>
          <w:p w14:paraId="6401F1C5" w14:textId="358E4327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discuss 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most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of the bodily and emotional changes at puberty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can demonstrate ways of dealing with these in a positive way.</w:t>
            </w:r>
            <w:r w:rsidR="00E172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They can use the correct terminology to identify personal body parts. Understand the need for trust and love in established relationships.</w:t>
            </w:r>
          </w:p>
        </w:tc>
      </w:tr>
      <w:tr w:rsidR="001B2CF1" w14:paraId="3090949E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071F62AE" w14:textId="5A1EBBC7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Economic wellbeing and financial capability</w:t>
            </w:r>
          </w:p>
        </w:tc>
        <w:tc>
          <w:tcPr>
            <w:tcW w:w="1984" w:type="dxa"/>
          </w:tcPr>
          <w:p w14:paraId="5A196DDF" w14:textId="21D807C5" w:rsidR="001B2CF1" w:rsidRDefault="000C50FF" w:rsidP="001B2CF1">
            <w:r w:rsidRPr="000C50FF">
              <w:rPr>
                <w:rFonts w:ascii="Century Gothic" w:hAnsi="Century Gothic"/>
                <w:sz w:val="16"/>
                <w:szCs w:val="16"/>
              </w:rPr>
              <w:t>Understand that people work for money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  <w:r w:rsidR="00AF6C42">
              <w:rPr>
                <w:rFonts w:ascii="Century Gothic" w:hAnsi="Century Gothic"/>
                <w:sz w:val="16"/>
                <w:szCs w:val="16"/>
              </w:rPr>
              <w:t xml:space="preserve"> Understand that they can’t have everything they want. </w:t>
            </w:r>
          </w:p>
        </w:tc>
        <w:tc>
          <w:tcPr>
            <w:tcW w:w="2127" w:type="dxa"/>
          </w:tcPr>
          <w:p w14:paraId="1C98FADA" w14:textId="77AEC949" w:rsidR="001B2CF1" w:rsidRPr="000C50FF" w:rsidRDefault="000C50FF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Know that it is important to keep money safe.</w:t>
            </w:r>
            <w:r w:rsidR="00AF6C42">
              <w:rPr>
                <w:rFonts w:ascii="Century Gothic" w:hAnsi="Century Gothic"/>
                <w:sz w:val="16"/>
                <w:szCs w:val="16"/>
              </w:rPr>
              <w:t xml:space="preserve"> Understand that they can save their money.</w:t>
            </w:r>
          </w:p>
        </w:tc>
        <w:tc>
          <w:tcPr>
            <w:tcW w:w="1984" w:type="dxa"/>
          </w:tcPr>
          <w:p w14:paraId="33DC33D2" w14:textId="60B97AE5" w:rsidR="001B2CF1" w:rsidRDefault="000C50FF" w:rsidP="001B2CF1">
            <w:r w:rsidRPr="000C50FF">
              <w:rPr>
                <w:rFonts w:ascii="Century Gothic" w:hAnsi="Century Gothic"/>
                <w:sz w:val="16"/>
                <w:szCs w:val="16"/>
              </w:rPr>
              <w:t>Understand that money is used in the exchange of goods and services.</w:t>
            </w:r>
            <w:r w:rsidR="00AF6C4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21BCC2BA" w14:textId="70FACDE3" w:rsidR="001B2CF1" w:rsidRPr="000C50FF" w:rsidRDefault="000C50FF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0C50FF">
              <w:rPr>
                <w:rFonts w:ascii="Century Gothic" w:hAnsi="Century Gothic"/>
                <w:sz w:val="16"/>
                <w:szCs w:val="16"/>
              </w:rPr>
              <w:t>Understand that people need to budget and live within their means.</w:t>
            </w:r>
            <w:r w:rsidR="00AF6C42">
              <w:rPr>
                <w:rFonts w:ascii="Century Gothic" w:hAnsi="Century Gothic"/>
                <w:sz w:val="16"/>
                <w:szCs w:val="16"/>
              </w:rPr>
              <w:t xml:space="preserve"> Understand different ways in which payments can be made.</w:t>
            </w:r>
          </w:p>
        </w:tc>
        <w:tc>
          <w:tcPr>
            <w:tcW w:w="2127" w:type="dxa"/>
          </w:tcPr>
          <w:p w14:paraId="61871F54" w14:textId="1926EAC2" w:rsidR="001B2CF1" w:rsidRDefault="000C50FF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demonstrate how to look after and save money.</w:t>
            </w:r>
            <w:r w:rsidR="00B62756" w:rsidRPr="000C50FF">
              <w:rPr>
                <w:rFonts w:ascii="Century Gothic" w:hAnsi="Century Gothic"/>
                <w:sz w:val="16"/>
                <w:szCs w:val="16"/>
              </w:rPr>
              <w:t xml:space="preserve"> They develop an awareness of the ‘pressure to buy’.</w:t>
            </w:r>
          </w:p>
        </w:tc>
        <w:tc>
          <w:tcPr>
            <w:tcW w:w="2189" w:type="dxa"/>
          </w:tcPr>
          <w:p w14:paraId="17C9B77A" w14:textId="401C3789" w:rsidR="001B2CF1" w:rsidRPr="000C50FF" w:rsidRDefault="000C50FF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0C50FF">
              <w:rPr>
                <w:rFonts w:ascii="Century Gothic" w:hAnsi="Century Gothic"/>
                <w:sz w:val="16"/>
                <w:szCs w:val="16"/>
              </w:rPr>
              <w:t xml:space="preserve">They can consider the impact of personal economic decisions on the world and other people. </w:t>
            </w:r>
          </w:p>
        </w:tc>
      </w:tr>
      <w:tr w:rsidR="005909B2" w14:paraId="3E7ADE68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35A24E4F" w14:textId="01C3ACBB" w:rsidR="005909B2" w:rsidRPr="00DB160B" w:rsidRDefault="005909B2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Drug, alcohol and tobacco awareness</w:t>
            </w:r>
          </w:p>
        </w:tc>
        <w:tc>
          <w:tcPr>
            <w:tcW w:w="1984" w:type="dxa"/>
          </w:tcPr>
          <w:p w14:paraId="2EA30F88" w14:textId="3246A648" w:rsidR="005909B2" w:rsidRPr="00EA14CA" w:rsidRDefault="005909B2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EA14CA">
              <w:rPr>
                <w:rFonts w:ascii="Century Gothic" w:hAnsi="Century Gothic"/>
                <w:sz w:val="16"/>
                <w:szCs w:val="16"/>
              </w:rPr>
              <w:t>Know why we take medicines.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Begin to understand safety rules about medicines. Begin to understand relevant safety rules about medicines.</w:t>
            </w:r>
          </w:p>
        </w:tc>
        <w:tc>
          <w:tcPr>
            <w:tcW w:w="2127" w:type="dxa"/>
          </w:tcPr>
          <w:p w14:paraId="40979E49" w14:textId="0C86E2CE" w:rsidR="005909B2" w:rsidRDefault="005909B2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talk about the harmful aspects of some household products and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medicines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describe ways of keeping safe in familiar situations.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Understand that not all drugs are medicines, and some can be harmful.</w:t>
            </w:r>
          </w:p>
        </w:tc>
        <w:tc>
          <w:tcPr>
            <w:tcW w:w="1984" w:type="dxa"/>
          </w:tcPr>
          <w:p w14:paraId="13A0341C" w14:textId="1AD9A6C9" w:rsidR="005909B2" w:rsidRDefault="005909B2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list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some of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 commonly available substances and drugs that are legal and illegal and can describe some of the effects and risks of these.</w:t>
            </w:r>
          </w:p>
        </w:tc>
        <w:tc>
          <w:tcPr>
            <w:tcW w:w="2126" w:type="dxa"/>
          </w:tcPr>
          <w:p w14:paraId="7EB20DB3" w14:textId="115F7C4C" w:rsidR="005909B2" w:rsidRPr="005909B2" w:rsidRDefault="005909B2" w:rsidP="005909B2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U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nderstand how the body reacts to alcohol and tobacco</w:t>
            </w:r>
            <w:r>
              <w:rPr>
                <w:rFonts w:ascii="Century Gothic" w:hAnsi="Century Gothic" w:cs="Calibri"/>
                <w:sz w:val="16"/>
                <w:szCs w:val="16"/>
              </w:rPr>
              <w:t>. S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tart to understand some of the problems and risks associated with drug use</w:t>
            </w:r>
            <w:r>
              <w:rPr>
                <w:rFonts w:ascii="Century Gothic" w:hAnsi="Century Gothic" w:cs="Calibri"/>
                <w:sz w:val="16"/>
                <w:szCs w:val="16"/>
              </w:rPr>
              <w:t>. B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egin to understand the law in relation to drug use (including alcohol and tobacco</w:t>
            </w:r>
            <w:r>
              <w:rPr>
                <w:rFonts w:ascii="Century Gothic" w:hAnsi="Century Gothic" w:cs="Calibri"/>
                <w:sz w:val="16"/>
                <w:szCs w:val="16"/>
              </w:rPr>
              <w:t>.)</w:t>
            </w:r>
          </w:p>
          <w:p w14:paraId="03FBC4A2" w14:textId="3ED08188" w:rsidR="005909B2" w:rsidRPr="001B2CF1" w:rsidRDefault="005909B2" w:rsidP="001B2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127" w:type="dxa"/>
          </w:tcPr>
          <w:p w14:paraId="4A6ED5D1" w14:textId="77777777" w:rsidR="005909B2" w:rsidRPr="00D4449E" w:rsidRDefault="005909B2" w:rsidP="00D4449E">
            <w:pPr>
              <w:rPr>
                <w:rFonts w:ascii="Century Gothic" w:hAnsi="Century Gothic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lastRenderedPageBreak/>
              <w:t>They can list the commonly available substances and drugs that are legal and illegal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can describe some of the effects and risks of these.</w:t>
            </w:r>
          </w:p>
        </w:tc>
        <w:tc>
          <w:tcPr>
            <w:tcW w:w="2189" w:type="dxa"/>
          </w:tcPr>
          <w:p w14:paraId="190D92FD" w14:textId="419A984E" w:rsidR="005909B2" w:rsidRPr="005909B2" w:rsidRDefault="005909B2" w:rsidP="005909B2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I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dentify drugs as being medicinal, prescription, recreational, legal and illegal</w:t>
            </w:r>
            <w:r>
              <w:rPr>
                <w:rFonts w:ascii="Century Gothic" w:hAnsi="Century Gothic" w:cs="Calibri"/>
                <w:sz w:val="16"/>
                <w:szCs w:val="16"/>
              </w:rPr>
              <w:t>. U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nderstand the law in relation to drug use</w:t>
            </w:r>
            <w:r w:rsidR="00B62756">
              <w:rPr>
                <w:rFonts w:ascii="Century Gothic" w:hAnsi="Century Gothic" w:cs="Calibri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 w:cs="Calibri"/>
                <w:sz w:val="16"/>
                <w:szCs w:val="16"/>
              </w:rPr>
              <w:t>U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nderstand that drugs can be grouped as pain killers, stimulants, sedatives or hallucinogens</w:t>
            </w:r>
            <w:r w:rsidR="00B62756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38CCA224" w14:textId="4069A518" w:rsidR="005909B2" w:rsidRPr="005909B2" w:rsidRDefault="005909B2" w:rsidP="005909B2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lastRenderedPageBreak/>
              <w:t>U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>nderstand about the effects on the human body of tobacco, alcohol and other drugs</w:t>
            </w:r>
            <w:r w:rsidR="00B62756">
              <w:rPr>
                <w:rFonts w:ascii="Century Gothic" w:hAnsi="Century Gothic" w:cs="Calibri"/>
                <w:sz w:val="16"/>
                <w:szCs w:val="16"/>
              </w:rPr>
              <w:t>.</w:t>
            </w:r>
            <w:r w:rsidRPr="005909B2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14:paraId="2ED1B789" w14:textId="537BAB7E" w:rsidR="005909B2" w:rsidRPr="00D4449E" w:rsidRDefault="005909B2" w:rsidP="00D4449E">
            <w:pPr>
              <w:rPr>
                <w:rFonts w:ascii="Century Gothic" w:hAnsi="Century Gothic"/>
              </w:rPr>
            </w:pPr>
          </w:p>
        </w:tc>
      </w:tr>
      <w:tr w:rsidR="00B62756" w:rsidRPr="000F5137" w14:paraId="45B0FDE2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0AB31B3E" w14:textId="1E33B09D" w:rsidR="00B62756" w:rsidRPr="00DB160B" w:rsidRDefault="00B62756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lastRenderedPageBreak/>
              <w:t>Keeping safe</w:t>
            </w:r>
          </w:p>
        </w:tc>
        <w:tc>
          <w:tcPr>
            <w:tcW w:w="1984" w:type="dxa"/>
            <w:vAlign w:val="center"/>
          </w:tcPr>
          <w:p w14:paraId="4CA23EAB" w14:textId="5DA24456" w:rsidR="00B62756" w:rsidRDefault="00B62756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Children can explain different ways that family and friends should care for one another. </w:t>
            </w:r>
            <w:r w:rsidR="00FA210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Begin to understand about some personal dangers. (On the road, with water, with fire)</w:t>
            </w:r>
          </w:p>
          <w:p w14:paraId="103147CA" w14:textId="177B84F7" w:rsidR="00B62756" w:rsidRDefault="00B62756" w:rsidP="001B2C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5CA57D1" w14:textId="1CBEED21" w:rsidR="00B62756" w:rsidRPr="000F5137" w:rsidRDefault="00B62756" w:rsidP="000F5137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B</w:t>
            </w:r>
            <w:r w:rsidRPr="000F5137">
              <w:rPr>
                <w:rFonts w:ascii="Century Gothic" w:hAnsi="Century Gothic" w:cs="Calibri"/>
                <w:sz w:val="16"/>
                <w:szCs w:val="16"/>
              </w:rPr>
              <w:t>egin to understand the safety concerns relevant to them in school and at home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  <w:r w:rsidRPr="000F5137">
              <w:rPr>
                <w:rFonts w:ascii="Century Gothic" w:hAnsi="Century Gothic"/>
                <w:sz w:val="16"/>
                <w:szCs w:val="16"/>
              </w:rPr>
              <w:t xml:space="preserve"> Begin to have an awareness of which adults they can trust and who can help them.</w:t>
            </w:r>
            <w:r w:rsidR="009A58CA">
              <w:rPr>
                <w:rFonts w:ascii="Century Gothic" w:hAnsi="Century Gothic"/>
                <w:sz w:val="16"/>
                <w:szCs w:val="16"/>
              </w:rPr>
              <w:t xml:space="preserve"> Understand the need for personal hygiene</w:t>
            </w:r>
          </w:p>
          <w:p w14:paraId="7EA8EF83" w14:textId="2F1335FB" w:rsidR="00B62756" w:rsidRPr="000F5137" w:rsidRDefault="00B62756" w:rsidP="001B2C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47F17F" w14:textId="121985D2" w:rsidR="00B62756" w:rsidRDefault="00B62756" w:rsidP="000F51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</w:t>
            </w:r>
            <w:r w:rsidRPr="000F5137">
              <w:rPr>
                <w:rFonts w:ascii="Century Gothic" w:hAnsi="Century Gothic"/>
                <w:sz w:val="16"/>
                <w:szCs w:val="16"/>
              </w:rPr>
              <w:t xml:space="preserve">ave an awareness of which adults they can trust and who can help them. </w:t>
            </w:r>
          </w:p>
          <w:p w14:paraId="26085DD2" w14:textId="1259BB35" w:rsidR="00B62756" w:rsidRPr="000F5137" w:rsidRDefault="00B62756" w:rsidP="000F5137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Un</w:t>
            </w:r>
            <w:r w:rsidRPr="000F5137">
              <w:rPr>
                <w:rFonts w:ascii="Century Gothic" w:hAnsi="Century Gothic" w:cs="Calibri"/>
                <w:sz w:val="16"/>
                <w:szCs w:val="16"/>
              </w:rPr>
              <w:t>derstand the safety concerns relevant to them in school and at home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  <w:r w:rsidR="00FA2101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14:paraId="31F95EEA" w14:textId="77777777" w:rsidR="00B62756" w:rsidRPr="000F5137" w:rsidRDefault="00B62756" w:rsidP="001B2C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573BB7" w14:textId="7E6DBECE" w:rsidR="00B62756" w:rsidRPr="00D4449E" w:rsidRDefault="00B62756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D4449E">
              <w:rPr>
                <w:rFonts w:ascii="Century Gothic" w:hAnsi="Century Gothic" w:cs="Calibri"/>
                <w:sz w:val="16"/>
                <w:szCs w:val="16"/>
              </w:rPr>
              <w:t>understand that ourselves and our belongings need to be kept safe from crime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149A9DA5" w14:textId="54647A2A" w:rsidR="00B62756" w:rsidRPr="00D4449E" w:rsidRDefault="00B62756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K</w:t>
            </w:r>
            <w:r w:rsidRPr="00D4449E">
              <w:rPr>
                <w:rFonts w:ascii="Century Gothic" w:hAnsi="Century Gothic" w:cs="Calibri"/>
                <w:sz w:val="16"/>
                <w:szCs w:val="16"/>
              </w:rPr>
              <w:t>now the role played by the police in protecting us from crime</w:t>
            </w:r>
            <w:r w:rsidR="00FA2101">
              <w:rPr>
                <w:rFonts w:ascii="Century Gothic" w:hAnsi="Century Gothic" w:cs="Calibri"/>
                <w:sz w:val="16"/>
                <w:szCs w:val="16"/>
              </w:rPr>
              <w:t xml:space="preserve">. </w:t>
            </w:r>
          </w:p>
          <w:p w14:paraId="46BB0742" w14:textId="77777777" w:rsidR="00B62756" w:rsidRPr="000F5137" w:rsidRDefault="00B62756" w:rsidP="001B2C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30C7017" w14:textId="1B8690B4" w:rsidR="00B62756" w:rsidRPr="00D4449E" w:rsidRDefault="00B62756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D4449E">
              <w:rPr>
                <w:rFonts w:ascii="Century Gothic" w:hAnsi="Century Gothic" w:cs="Calibri"/>
                <w:sz w:val="16"/>
                <w:szCs w:val="16"/>
              </w:rPr>
              <w:t xml:space="preserve">Gain further understanding of the safety concerns relevant to them in school and at home. </w:t>
            </w:r>
            <w:r>
              <w:rPr>
                <w:rFonts w:ascii="Century Gothic" w:hAnsi="Century Gothic" w:cs="Calibri"/>
                <w:sz w:val="16"/>
                <w:szCs w:val="16"/>
              </w:rPr>
              <w:t>I</w:t>
            </w:r>
            <w:r w:rsidRPr="00D4449E">
              <w:rPr>
                <w:rFonts w:ascii="Century Gothic" w:hAnsi="Century Gothic" w:cs="Calibri"/>
                <w:sz w:val="16"/>
                <w:szCs w:val="16"/>
              </w:rPr>
              <w:t>dentify possible dangers and risks on the internet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3278D2F2" w14:textId="2F34EB1D" w:rsidR="00B62756" w:rsidRPr="00D4449E" w:rsidRDefault="00B62756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  <w:p w14:paraId="10123710" w14:textId="77777777" w:rsidR="00B62756" w:rsidRPr="000F5137" w:rsidRDefault="00B62756" w:rsidP="001B2C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9" w:type="dxa"/>
          </w:tcPr>
          <w:p w14:paraId="61B1E110" w14:textId="24B4AA4C" w:rsidR="00B62756" w:rsidRPr="00D4449E" w:rsidRDefault="00B62756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D4449E">
              <w:rPr>
                <w:rFonts w:ascii="Century Gothic" w:hAnsi="Century Gothic" w:cs="Calibri"/>
                <w:sz w:val="16"/>
                <w:szCs w:val="16"/>
              </w:rPr>
              <w:t xml:space="preserve">Recognise potential dangers such as those on the road, in water, with fire and develop strategies for harm reduction in these situations. </w:t>
            </w:r>
            <w:r>
              <w:rPr>
                <w:rFonts w:ascii="Century Gothic" w:hAnsi="Century Gothic" w:cs="Calibri"/>
                <w:sz w:val="16"/>
                <w:szCs w:val="16"/>
              </w:rPr>
              <w:t>U</w:t>
            </w:r>
            <w:r w:rsidRPr="00D4449E">
              <w:rPr>
                <w:rFonts w:ascii="Century Gothic" w:hAnsi="Century Gothic" w:cs="Calibri"/>
                <w:sz w:val="16"/>
                <w:szCs w:val="16"/>
              </w:rPr>
              <w:t>nderstand where help can be obtained if it is needed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0FAD6892" w14:textId="001405CC" w:rsidR="00B62756" w:rsidRPr="00D4449E" w:rsidRDefault="00B62756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  <w:p w14:paraId="25D70A40" w14:textId="77777777" w:rsidR="00B62756" w:rsidRPr="00D4449E" w:rsidRDefault="00B62756" w:rsidP="00D4449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B2CF1" w14:paraId="27D0251B" w14:textId="77777777" w:rsidTr="00B62756">
        <w:trPr>
          <w:trHeight w:val="1266"/>
        </w:trPr>
        <w:tc>
          <w:tcPr>
            <w:tcW w:w="1413" w:type="dxa"/>
            <w:shd w:val="clear" w:color="auto" w:fill="FFE599" w:themeFill="accent4" w:themeFillTint="66"/>
          </w:tcPr>
          <w:p w14:paraId="3208AFA1" w14:textId="0C2DD742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Being a risk taker</w:t>
            </w:r>
          </w:p>
        </w:tc>
        <w:tc>
          <w:tcPr>
            <w:tcW w:w="1984" w:type="dxa"/>
          </w:tcPr>
          <w:p w14:paraId="124675E1" w14:textId="3219B03C" w:rsidR="001B2CF1" w:rsidRPr="00D4449E" w:rsidRDefault="00D4449E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D4449E">
              <w:rPr>
                <w:rFonts w:ascii="Century Gothic" w:hAnsi="Century Gothic"/>
                <w:sz w:val="16"/>
                <w:szCs w:val="16"/>
              </w:rPr>
              <w:t>Understand that sometimes we have to try things.</w:t>
            </w:r>
          </w:p>
        </w:tc>
        <w:tc>
          <w:tcPr>
            <w:tcW w:w="2127" w:type="dxa"/>
          </w:tcPr>
          <w:p w14:paraId="3424E9AB" w14:textId="1C3F784D" w:rsidR="001B2CF1" w:rsidRPr="00D4449E" w:rsidRDefault="001B2CF1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set themselves simple goals</w:t>
            </w:r>
            <w:r w:rsidR="00D4449E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. C</w:t>
            </w:r>
            <w:r w:rsidR="00D4449E" w:rsidRPr="00D4449E">
              <w:rPr>
                <w:rFonts w:ascii="Century Gothic" w:hAnsi="Century Gothic" w:cs="Calibri"/>
                <w:sz w:val="16"/>
                <w:szCs w:val="16"/>
              </w:rPr>
              <w:t>onsider when it is appropriate to take a risk and when to say no and seek help</w:t>
            </w:r>
            <w:r w:rsidR="00D4449E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14:paraId="0725100E" w14:textId="1A67CF26" w:rsidR="001B2CF1" w:rsidRDefault="003F289F" w:rsidP="001B2CF1"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With support t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hey can identify ways to face new c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hallenges.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="00D4449E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With support t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hey can identify and explain how to manage the risks in different familiar situations.</w:t>
            </w:r>
            <w:r w:rsidR="00FA2101">
              <w:rPr>
                <w:rFonts w:ascii="Century Gothic" w:hAnsi="Century Gothic" w:cs="Calibri"/>
                <w:sz w:val="16"/>
                <w:szCs w:val="16"/>
              </w:rPr>
              <w:t xml:space="preserve"> Begin to understand why rules make situations less risky.</w:t>
            </w:r>
          </w:p>
        </w:tc>
        <w:tc>
          <w:tcPr>
            <w:tcW w:w="2126" w:type="dxa"/>
          </w:tcPr>
          <w:p w14:paraId="21EA15A4" w14:textId="77777777" w:rsidR="00D4449E" w:rsidRPr="000F5137" w:rsidRDefault="00D4449E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0F5137">
              <w:rPr>
                <w:rFonts w:ascii="Century Gothic" w:hAnsi="Century Gothic" w:cs="Calibri"/>
                <w:sz w:val="16"/>
                <w:szCs w:val="16"/>
              </w:rPr>
              <w:t>Understand why rules make situations less risky.</w:t>
            </w:r>
          </w:p>
          <w:p w14:paraId="2C4CF22C" w14:textId="32A39F3F" w:rsidR="00D4449E" w:rsidRPr="000F5137" w:rsidRDefault="00D4449E" w:rsidP="00D4449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0F5137">
              <w:rPr>
                <w:rFonts w:ascii="Century Gothic" w:hAnsi="Century Gothic" w:cs="Calibri"/>
                <w:sz w:val="16"/>
                <w:szCs w:val="16"/>
              </w:rPr>
              <w:t>Recognise risk in different situations and make judgements about behaviour and decisions about safety.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Anticipate consequences and use avoidance strategies.</w:t>
            </w:r>
          </w:p>
          <w:p w14:paraId="33E58EC7" w14:textId="77777777" w:rsidR="001B2CF1" w:rsidRDefault="001B2CF1" w:rsidP="001B2CF1"/>
        </w:tc>
        <w:tc>
          <w:tcPr>
            <w:tcW w:w="2127" w:type="dxa"/>
          </w:tcPr>
          <w:p w14:paraId="3DDBE513" w14:textId="600C5F6D" w:rsidR="002B26EB" w:rsidRPr="002B26EB" w:rsidRDefault="002B26EB" w:rsidP="002B26EB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K</w:t>
            </w:r>
            <w:r w:rsidRPr="002B26EB">
              <w:rPr>
                <w:rFonts w:ascii="Century Gothic" w:hAnsi="Century Gothic" w:cs="Calibri"/>
                <w:sz w:val="16"/>
                <w:szCs w:val="16"/>
              </w:rPr>
              <w:t>eep themselves safer in risky situations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37EFE338" w14:textId="0F35DDB4" w:rsidR="002B26EB" w:rsidRPr="002B26EB" w:rsidRDefault="002B26EB" w:rsidP="002B26EB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R</w:t>
            </w:r>
            <w:r w:rsidRPr="002B26EB">
              <w:rPr>
                <w:rFonts w:ascii="Century Gothic" w:hAnsi="Century Gothic" w:cs="Calibri"/>
                <w:sz w:val="16"/>
                <w:szCs w:val="16"/>
              </w:rPr>
              <w:t>ecognise that some actions have greater consequences than others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08ECA29B" w14:textId="6636AF68" w:rsidR="002B26EB" w:rsidRPr="002B26EB" w:rsidRDefault="002B26EB" w:rsidP="002B26EB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A</w:t>
            </w:r>
            <w:r w:rsidRPr="002B26EB">
              <w:rPr>
                <w:rFonts w:ascii="Century Gothic" w:hAnsi="Century Gothic" w:cs="Calibri"/>
                <w:sz w:val="16"/>
                <w:szCs w:val="16"/>
              </w:rPr>
              <w:t>nticipate consequences and calculate risk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08A329C9" w14:textId="590BF63F" w:rsidR="001B2CF1" w:rsidRDefault="001B2CF1" w:rsidP="001B2CF1"/>
        </w:tc>
        <w:tc>
          <w:tcPr>
            <w:tcW w:w="2189" w:type="dxa"/>
          </w:tcPr>
          <w:p w14:paraId="7686AE0D" w14:textId="70880AFE" w:rsidR="001B2CF1" w:rsidRPr="0067557F" w:rsidRDefault="001B2CF1" w:rsidP="006755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identify positive ways to </w:t>
            </w:r>
            <w:r w:rsidR="003F289F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manage risks and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face new challenges (for example the transition to secondary school). </w:t>
            </w:r>
            <w:r w:rsidR="002B26E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M</w:t>
            </w:r>
            <w:r w:rsidR="002B26EB" w:rsidRPr="002B26EB">
              <w:rPr>
                <w:rFonts w:ascii="Century Gothic" w:hAnsi="Century Gothic" w:cs="Calibri"/>
                <w:sz w:val="16"/>
                <w:szCs w:val="16"/>
              </w:rPr>
              <w:t>ake judgements about new situations or new activities and respond accordingly.</w:t>
            </w:r>
          </w:p>
        </w:tc>
      </w:tr>
      <w:tr w:rsidR="001B2CF1" w14:paraId="48195F2C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772C445D" w14:textId="0200A808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Healthy Lifestyles</w:t>
            </w:r>
          </w:p>
        </w:tc>
        <w:tc>
          <w:tcPr>
            <w:tcW w:w="1984" w:type="dxa"/>
          </w:tcPr>
          <w:p w14:paraId="78478F87" w14:textId="62C41BB4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explain ways of keeping clean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.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="00F25AC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understand that their body requires certain things to keep healthy.</w:t>
            </w:r>
          </w:p>
        </w:tc>
        <w:tc>
          <w:tcPr>
            <w:tcW w:w="2127" w:type="dxa"/>
          </w:tcPr>
          <w:p w14:paraId="6C5A3609" w14:textId="4F4DC572" w:rsidR="001B2CF1" w:rsidRPr="0067557F" w:rsidRDefault="001B2CF1" w:rsidP="0067557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make simple choices about some aspects of their health and well-being and know what keeps them healthy.</w:t>
            </w:r>
          </w:p>
        </w:tc>
        <w:tc>
          <w:tcPr>
            <w:tcW w:w="1984" w:type="dxa"/>
          </w:tcPr>
          <w:p w14:paraId="5BD7EB2F" w14:textId="4291CD3E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make choices about how to develop healthy</w:t>
            </w:r>
            <w:r w:rsidR="00F25AC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l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ifestyles.</w:t>
            </w:r>
            <w:r w:rsidR="00F25AC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They understand the need for good hygiene, activity and relaxation. </w:t>
            </w:r>
          </w:p>
        </w:tc>
        <w:tc>
          <w:tcPr>
            <w:tcW w:w="2126" w:type="dxa"/>
          </w:tcPr>
          <w:p w14:paraId="6BAA8214" w14:textId="2F2DA9C8" w:rsidR="00F25AC5" w:rsidRPr="00F25AC5" w:rsidRDefault="00F25AC5" w:rsidP="00F25AC5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Children have a wider</w:t>
            </w:r>
            <w:r w:rsidRPr="00F25AC5">
              <w:rPr>
                <w:rFonts w:ascii="Century Gothic" w:hAnsi="Century Gothic" w:cs="Calibri"/>
                <w:sz w:val="16"/>
                <w:szCs w:val="16"/>
              </w:rPr>
              <w:t xml:space="preserve"> understanding of the</w:t>
            </w:r>
            <w:r>
              <w:rPr>
                <w:rFonts w:ascii="Century Gothic" w:hAnsi="Century Gothic" w:cs="Calibri"/>
                <w:sz w:val="16"/>
                <w:szCs w:val="16"/>
              </w:rPr>
              <w:t>ir</w:t>
            </w:r>
            <w:r w:rsidRPr="00F25AC5">
              <w:rPr>
                <w:rFonts w:ascii="Century Gothic" w:hAnsi="Century Gothic" w:cs="Calibri"/>
                <w:sz w:val="16"/>
                <w:szCs w:val="16"/>
              </w:rPr>
              <w:t xml:space="preserve"> personal responsibility for being healthy</w:t>
            </w:r>
          </w:p>
          <w:p w14:paraId="056643EB" w14:textId="05D72451" w:rsidR="001B2CF1" w:rsidRDefault="00F25AC5" w:rsidP="00F25AC5">
            <w:r w:rsidRPr="00F25AC5">
              <w:rPr>
                <w:rFonts w:ascii="Century Gothic" w:hAnsi="Century Gothic" w:cs="Calibri"/>
                <w:sz w:val="16"/>
                <w:szCs w:val="16"/>
              </w:rPr>
              <w:t>begin to understand the variety of choices available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14:paraId="33D44946" w14:textId="2846E136" w:rsidR="00F25AC5" w:rsidRPr="00F25AC5" w:rsidRDefault="00F25AC5" w:rsidP="00F25AC5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U</w:t>
            </w:r>
            <w:r w:rsidRPr="00F25AC5">
              <w:rPr>
                <w:rFonts w:ascii="Century Gothic" w:hAnsi="Century Gothic" w:cs="Calibri"/>
                <w:sz w:val="16"/>
                <w:szCs w:val="16"/>
              </w:rPr>
              <w:t>nderstand that they have responsibility for their own health being healthy</w:t>
            </w:r>
            <w:r>
              <w:rPr>
                <w:rFonts w:ascii="Century Gothic" w:hAnsi="Century Gothic" w:cs="Calibri"/>
                <w:sz w:val="16"/>
                <w:szCs w:val="16"/>
              </w:rPr>
              <w:t>. U</w:t>
            </w:r>
            <w:r w:rsidRPr="00F25AC5">
              <w:rPr>
                <w:rFonts w:ascii="Century Gothic" w:hAnsi="Century Gothic" w:cs="Calibri"/>
                <w:sz w:val="16"/>
                <w:szCs w:val="16"/>
              </w:rPr>
              <w:t>nderstand that there are many influences and dilemmas that affect a healthy lifestyle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3F4839AE" w14:textId="77777777" w:rsidR="001B2CF1" w:rsidRDefault="001B2CF1" w:rsidP="001B2CF1"/>
        </w:tc>
        <w:tc>
          <w:tcPr>
            <w:tcW w:w="2189" w:type="dxa"/>
          </w:tcPr>
          <w:p w14:paraId="1B7BD314" w14:textId="27C2D27F" w:rsidR="00F25AC5" w:rsidRPr="00F25AC5" w:rsidRDefault="003F289F" w:rsidP="00F25AC5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F25AC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make informed choices about how to develop healthy Lifestyles.</w:t>
            </w:r>
            <w:r w:rsidR="00F25AC5" w:rsidRPr="00F25AC5">
              <w:rPr>
                <w:rFonts w:ascii="Century Gothic" w:hAnsi="Century Gothic" w:cs="Calibri"/>
                <w:sz w:val="16"/>
                <w:szCs w:val="16"/>
              </w:rPr>
              <w:t xml:space="preserve"> They develop strategies for discriminating between the various influences.</w:t>
            </w:r>
          </w:p>
          <w:p w14:paraId="50D9A19A" w14:textId="785D53BE" w:rsidR="001B2CF1" w:rsidRDefault="001B2CF1" w:rsidP="001B2CF1"/>
        </w:tc>
      </w:tr>
      <w:tr w:rsidR="00026AB6" w14:paraId="67443C39" w14:textId="77777777" w:rsidTr="00026AB6">
        <w:trPr>
          <w:trHeight w:val="1215"/>
        </w:trPr>
        <w:tc>
          <w:tcPr>
            <w:tcW w:w="1413" w:type="dxa"/>
            <w:shd w:val="clear" w:color="auto" w:fill="FFE599" w:themeFill="accent4" w:themeFillTint="66"/>
          </w:tcPr>
          <w:p w14:paraId="257809DB" w14:textId="4B9D4921" w:rsidR="00026AB6" w:rsidRPr="00DB160B" w:rsidRDefault="00026AB6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Taking Part</w:t>
            </w:r>
          </w:p>
        </w:tc>
        <w:tc>
          <w:tcPr>
            <w:tcW w:w="1984" w:type="dxa"/>
          </w:tcPr>
          <w:p w14:paraId="091EE66D" w14:textId="62745588" w:rsidR="00026AB6" w:rsidRPr="00026AB6" w:rsidRDefault="00026AB6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026AB6">
              <w:rPr>
                <w:rFonts w:ascii="Century Gothic" w:hAnsi="Century Gothic"/>
                <w:sz w:val="16"/>
                <w:szCs w:val="16"/>
              </w:rPr>
              <w:t>Understand that they belong to different groups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and can identify them. </w:t>
            </w:r>
          </w:p>
        </w:tc>
        <w:tc>
          <w:tcPr>
            <w:tcW w:w="2127" w:type="dxa"/>
          </w:tcPr>
          <w:p w14:paraId="6AA65B16" w14:textId="77777777" w:rsidR="00026AB6" w:rsidRPr="00026AB6" w:rsidRDefault="00026AB6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Begin to understand the need for rules in their classroom and why rules help. Begin to understand what it means to make a contribution to the life of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the class and the school.</w:t>
            </w:r>
          </w:p>
        </w:tc>
        <w:tc>
          <w:tcPr>
            <w:tcW w:w="1984" w:type="dxa"/>
          </w:tcPr>
          <w:p w14:paraId="5A12E991" w14:textId="77777777" w:rsidR="00026AB6" w:rsidRDefault="00026AB6" w:rsidP="001B2CF1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026AB6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lastRenderedPageBreak/>
              <w:t>They can show how they care for the environment (e.g. animals and school grounds)</w:t>
            </w:r>
          </w:p>
          <w:p w14:paraId="5857263F" w14:textId="5FD3EA51" w:rsidR="00026AB6" w:rsidRPr="00026AB6" w:rsidRDefault="00026AB6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Contribute to decision making.</w:t>
            </w:r>
          </w:p>
        </w:tc>
        <w:tc>
          <w:tcPr>
            <w:tcW w:w="2126" w:type="dxa"/>
          </w:tcPr>
          <w:p w14:paraId="226335D7" w14:textId="45753D60" w:rsidR="00026AB6" w:rsidRPr="00026AB6" w:rsidRDefault="00026AB6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Understand the democratic process and voting. Understand human rights. Understand that with rights come responsibilities. </w:t>
            </w:r>
          </w:p>
        </w:tc>
        <w:tc>
          <w:tcPr>
            <w:tcW w:w="2127" w:type="dxa"/>
          </w:tcPr>
          <w:p w14:paraId="53153280" w14:textId="65A604EC" w:rsidR="00026AB6" w:rsidRPr="00026AB6" w:rsidRDefault="00026AB6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Have a confident understanding of rights and responsibilities. Understand that other people have different </w:t>
            </w:r>
            <w:r w:rsidR="00F25AC5">
              <w:rPr>
                <w:rFonts w:ascii="Century Gothic" w:hAnsi="Century Gothic"/>
                <w:sz w:val="16"/>
                <w:szCs w:val="16"/>
              </w:rPr>
              <w:t>viewpoints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="00F25AC5">
              <w:rPr>
                <w:rFonts w:ascii="Century Gothic" w:hAnsi="Century Gothic"/>
                <w:sz w:val="16"/>
                <w:szCs w:val="16"/>
              </w:rPr>
              <w:t xml:space="preserve">Develop a </w:t>
            </w:r>
            <w:r w:rsidR="00F25AC5">
              <w:rPr>
                <w:rFonts w:ascii="Century Gothic" w:hAnsi="Century Gothic"/>
                <w:sz w:val="16"/>
                <w:szCs w:val="16"/>
              </w:rPr>
              <w:lastRenderedPageBreak/>
              <w:t xml:space="preserve">global awareness of environmental issues. </w:t>
            </w:r>
          </w:p>
        </w:tc>
        <w:tc>
          <w:tcPr>
            <w:tcW w:w="2189" w:type="dxa"/>
          </w:tcPr>
          <w:p w14:paraId="6F3F3795" w14:textId="02799CEB" w:rsidR="00026AB6" w:rsidRPr="00026AB6" w:rsidRDefault="00F25AC5" w:rsidP="0067557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lastRenderedPageBreak/>
              <w:t xml:space="preserve">Children have a greater involvement in the decision-making processes of the school. </w:t>
            </w:r>
            <w:r w:rsidR="00026AB6" w:rsidRPr="00026AB6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talk about a range of jobs and explain how they will </w:t>
            </w:r>
            <w:r w:rsidR="00026AB6" w:rsidRPr="00026AB6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lastRenderedPageBreak/>
              <w:t xml:space="preserve">develop skills to work in the future. </w:t>
            </w:r>
          </w:p>
        </w:tc>
      </w:tr>
      <w:tr w:rsidR="001B2CF1" w14:paraId="1DF47A70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3FC74287" w14:textId="0D099862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lastRenderedPageBreak/>
              <w:t>It’s OK to tell</w:t>
            </w:r>
          </w:p>
        </w:tc>
        <w:tc>
          <w:tcPr>
            <w:tcW w:w="1984" w:type="dxa"/>
          </w:tcPr>
          <w:p w14:paraId="5A501D7E" w14:textId="0BA37818" w:rsidR="001B2CF1" w:rsidRPr="00DB7FB3" w:rsidRDefault="00DB7FB3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DB7FB3">
              <w:rPr>
                <w:rFonts w:ascii="Century Gothic" w:hAnsi="Century Gothic"/>
                <w:sz w:val="16"/>
                <w:szCs w:val="16"/>
              </w:rPr>
              <w:t>Recognise situations that make them feel frightened, worried or uncomfortable.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Identify who to tell and practise how to tell.</w:t>
            </w:r>
            <w:r w:rsidRPr="00DB7FB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603E4">
              <w:rPr>
                <w:rFonts w:ascii="Century Gothic" w:hAnsi="Century Gothic"/>
                <w:sz w:val="16"/>
                <w:szCs w:val="16"/>
              </w:rPr>
              <w:t>Be sympathetic to other people and their worries.</w:t>
            </w:r>
          </w:p>
        </w:tc>
        <w:tc>
          <w:tcPr>
            <w:tcW w:w="2127" w:type="dxa"/>
          </w:tcPr>
          <w:p w14:paraId="4E884C8E" w14:textId="2B7A9378" w:rsidR="001B2CF1" w:rsidRPr="00DB7FB3" w:rsidRDefault="00DB7FB3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Recognise that it’s OK to tell if someone is being harmed. Talk about worries. Say ‘no’ this is my body and I do not like what you are </w:t>
            </w:r>
            <w:r w:rsidR="003603E4">
              <w:rPr>
                <w:rFonts w:ascii="Century Gothic" w:hAnsi="Century Gothic"/>
                <w:sz w:val="16"/>
                <w:szCs w:val="16"/>
              </w:rPr>
              <w:t>doing,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and I want you to stop.</w:t>
            </w:r>
          </w:p>
        </w:tc>
        <w:tc>
          <w:tcPr>
            <w:tcW w:w="1984" w:type="dxa"/>
          </w:tcPr>
          <w:p w14:paraId="5DEDBEFF" w14:textId="34E370E0" w:rsidR="001B2CF1" w:rsidRPr="00DB7FB3" w:rsidRDefault="003603E4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DB7FB3">
              <w:rPr>
                <w:rFonts w:ascii="Century Gothic" w:hAnsi="Century Gothic"/>
                <w:sz w:val="16"/>
                <w:szCs w:val="16"/>
              </w:rPr>
              <w:t xml:space="preserve">Recognise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and anticipate </w:t>
            </w:r>
            <w:r w:rsidRPr="00DB7FB3">
              <w:rPr>
                <w:rFonts w:ascii="Century Gothic" w:hAnsi="Century Gothic"/>
                <w:sz w:val="16"/>
                <w:szCs w:val="16"/>
              </w:rPr>
              <w:t>situations that make them feel frightened, worried or uncomfortable.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Identify adults they can trust and who they can ask for help.</w:t>
            </w:r>
          </w:p>
        </w:tc>
        <w:tc>
          <w:tcPr>
            <w:tcW w:w="2126" w:type="dxa"/>
          </w:tcPr>
          <w:p w14:paraId="04C52D8F" w14:textId="45569664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understand when they should keep secrets and promises, and when they should tell somebody about them.</w:t>
            </w:r>
            <w:r w:rsidR="003603E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Know where individuals, families and groups can find help. Recognise the pressure of unwanted physical contacts and know ways of resisting it.</w:t>
            </w:r>
          </w:p>
        </w:tc>
        <w:tc>
          <w:tcPr>
            <w:tcW w:w="2127" w:type="dxa"/>
          </w:tcPr>
          <w:p w14:paraId="1B71702A" w14:textId="6C9C7F2D" w:rsidR="001B2CF1" w:rsidRPr="003603E4" w:rsidRDefault="003603E4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3603E4">
              <w:rPr>
                <w:rFonts w:ascii="Century Gothic" w:hAnsi="Century Gothic"/>
                <w:sz w:val="16"/>
                <w:szCs w:val="16"/>
              </w:rPr>
              <w:t>Understand the meaning of confidentiality.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Know where and how to get help. Recognise good and bad touches.  Identify adults they feel they can trust.</w:t>
            </w:r>
          </w:p>
        </w:tc>
        <w:tc>
          <w:tcPr>
            <w:tcW w:w="2189" w:type="dxa"/>
          </w:tcPr>
          <w:p w14:paraId="69E8AAFC" w14:textId="36F7FD3A" w:rsidR="001B2CF1" w:rsidRPr="003603E4" w:rsidRDefault="003603E4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Understand what the term safeguarding means. Identify organisations who can help children.</w:t>
            </w:r>
          </w:p>
        </w:tc>
      </w:tr>
      <w:tr w:rsidR="001B2CF1" w14:paraId="76A156B3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4709DBF3" w14:textId="31A9BD47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Being different</w:t>
            </w:r>
          </w:p>
        </w:tc>
        <w:tc>
          <w:tcPr>
            <w:tcW w:w="1984" w:type="dxa"/>
          </w:tcPr>
          <w:p w14:paraId="6047DB22" w14:textId="50A9D39E" w:rsidR="001B2CF1" w:rsidRPr="003603E4" w:rsidRDefault="003603E4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3603E4">
              <w:rPr>
                <w:rFonts w:ascii="Century Gothic" w:hAnsi="Century Gothic"/>
                <w:sz w:val="16"/>
                <w:szCs w:val="16"/>
              </w:rPr>
              <w:t xml:space="preserve">Talk about differences.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(Boy/girl, tall/short, old/young.)</w:t>
            </w:r>
          </w:p>
        </w:tc>
        <w:tc>
          <w:tcPr>
            <w:tcW w:w="2127" w:type="dxa"/>
          </w:tcPr>
          <w:p w14:paraId="3FAE89BC" w14:textId="27120F9D" w:rsidR="001B2CF1" w:rsidRPr="003603E4" w:rsidRDefault="003603E4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They can understand and celebrate differences.</w:t>
            </w:r>
          </w:p>
        </w:tc>
        <w:tc>
          <w:tcPr>
            <w:tcW w:w="1984" w:type="dxa"/>
          </w:tcPr>
          <w:p w14:paraId="25E6B7BB" w14:textId="506BB687" w:rsidR="001B2CF1" w:rsidRPr="003603E4" w:rsidRDefault="003603E4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3603E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identify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, celebrate</w:t>
            </w:r>
            <w:r w:rsidRPr="003603E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and respect differences and similarities between people.</w:t>
            </w:r>
          </w:p>
        </w:tc>
        <w:tc>
          <w:tcPr>
            <w:tcW w:w="2126" w:type="dxa"/>
          </w:tcPr>
          <w:p w14:paraId="1F2350E2" w14:textId="14563585" w:rsidR="001B2CF1" w:rsidRPr="003603E4" w:rsidRDefault="00423605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 identify differences in their school/local community (Cultural, religious, disability, race) and celebrate these differences.</w:t>
            </w:r>
          </w:p>
        </w:tc>
        <w:tc>
          <w:tcPr>
            <w:tcW w:w="2127" w:type="dxa"/>
          </w:tcPr>
          <w:p w14:paraId="28E2C0AD" w14:textId="42EFA130" w:rsidR="001B2CF1" w:rsidRPr="003603E4" w:rsidRDefault="00423605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Know and understand about the different forms of bullying around difference. Recognise and challenge stereotypes. Respect other people’s views and beliefs.</w:t>
            </w:r>
          </w:p>
        </w:tc>
        <w:tc>
          <w:tcPr>
            <w:tcW w:w="2189" w:type="dxa"/>
          </w:tcPr>
          <w:p w14:paraId="1E0666C5" w14:textId="33CDF293" w:rsidR="001B2CF1" w:rsidRPr="003603E4" w:rsidRDefault="001B2CF1" w:rsidP="001B2CF1">
            <w:pPr>
              <w:rPr>
                <w:rFonts w:ascii="Century Gothic" w:hAnsi="Century Gothic"/>
                <w:sz w:val="16"/>
                <w:szCs w:val="16"/>
              </w:rPr>
            </w:pPr>
            <w:r w:rsidRPr="003603E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describe some of the different beliefs and values in society</w:t>
            </w:r>
            <w:r w:rsidR="003F289F" w:rsidRPr="003603E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3603E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can demonstrate respect and tolerance towards people different from themselves.</w:t>
            </w:r>
            <w:r w:rsidR="0042360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Know that there is different legislation to protect people from discrimination. </w:t>
            </w:r>
          </w:p>
        </w:tc>
      </w:tr>
      <w:tr w:rsidR="001B2CF1" w14:paraId="6FD8FEF0" w14:textId="77777777" w:rsidTr="00B62756">
        <w:tc>
          <w:tcPr>
            <w:tcW w:w="1413" w:type="dxa"/>
            <w:shd w:val="clear" w:color="auto" w:fill="FFE599" w:themeFill="accent4" w:themeFillTint="66"/>
          </w:tcPr>
          <w:p w14:paraId="5CD474D7" w14:textId="59434653" w:rsidR="001B2CF1" w:rsidRPr="00DB160B" w:rsidRDefault="001B2CF1" w:rsidP="001B2CF1">
            <w:pPr>
              <w:rPr>
                <w:sz w:val="20"/>
                <w:szCs w:val="20"/>
              </w:rPr>
            </w:pPr>
            <w:r w:rsidRPr="00DB160B">
              <w:rPr>
                <w:sz w:val="20"/>
                <w:szCs w:val="20"/>
              </w:rPr>
              <w:t>Anti-bullying</w:t>
            </w:r>
          </w:p>
        </w:tc>
        <w:tc>
          <w:tcPr>
            <w:tcW w:w="1984" w:type="dxa"/>
          </w:tcPr>
          <w:p w14:paraId="5D93386B" w14:textId="3FE205F6" w:rsidR="001B2CF1" w:rsidRPr="00423605" w:rsidRDefault="00423605" w:rsidP="001B2CF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Begin to understand the importance of friendship and of kind behaviour.</w:t>
            </w:r>
          </w:p>
        </w:tc>
        <w:tc>
          <w:tcPr>
            <w:tcW w:w="2127" w:type="dxa"/>
          </w:tcPr>
          <w:p w14:paraId="73E83DC8" w14:textId="73D9DAD8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Children can recognise that bullying is wrong and can list some ways to get help in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dealing with it.</w:t>
            </w:r>
          </w:p>
        </w:tc>
        <w:tc>
          <w:tcPr>
            <w:tcW w:w="1984" w:type="dxa"/>
          </w:tcPr>
          <w:p w14:paraId="0C4B6879" w14:textId="13A7854B" w:rsidR="00423605" w:rsidRPr="00423605" w:rsidRDefault="00423605" w:rsidP="00423605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423605">
              <w:rPr>
                <w:rFonts w:ascii="Century Gothic" w:hAnsi="Century Gothic" w:cs="Calibri"/>
                <w:sz w:val="16"/>
                <w:szCs w:val="16"/>
              </w:rPr>
              <w:t>continue to develop strategies for managing feelings positively and effectively</w:t>
            </w:r>
            <w:r>
              <w:rPr>
                <w:rFonts w:ascii="Century Gothic" w:hAnsi="Century Gothic" w:cs="Calibri"/>
                <w:sz w:val="16"/>
                <w:szCs w:val="16"/>
              </w:rPr>
              <w:t>. U</w:t>
            </w:r>
            <w:r w:rsidRPr="00423605">
              <w:rPr>
                <w:rFonts w:ascii="Century Gothic" w:hAnsi="Century Gothic" w:cs="Calibri"/>
                <w:sz w:val="16"/>
                <w:szCs w:val="16"/>
              </w:rPr>
              <w:t>nderstand what it must be like to be bullied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  <w:r w:rsidR="00026AB6">
              <w:rPr>
                <w:rFonts w:ascii="Century Gothic" w:hAnsi="Century Gothic" w:cs="Calibri"/>
                <w:sz w:val="16"/>
                <w:szCs w:val="16"/>
              </w:rPr>
              <w:t xml:space="preserve"> K</w:t>
            </w:r>
            <w:r w:rsidRPr="00423605">
              <w:rPr>
                <w:rFonts w:ascii="Century Gothic" w:hAnsi="Century Gothic" w:cs="Calibri"/>
                <w:sz w:val="16"/>
                <w:szCs w:val="16"/>
              </w:rPr>
              <w:t>now where to go to get help if they are being bullied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2F97047D" w14:textId="5236E3F3" w:rsidR="001B2CF1" w:rsidRDefault="001B2CF1" w:rsidP="001B2CF1"/>
        </w:tc>
        <w:tc>
          <w:tcPr>
            <w:tcW w:w="2126" w:type="dxa"/>
          </w:tcPr>
          <w:p w14:paraId="4F93F95D" w14:textId="6818AF92" w:rsidR="001B2CF1" w:rsidRDefault="001B2CF1" w:rsidP="001B2CF1"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They can describe the nature and consequences of bullying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can express ways of responding to it.</w:t>
            </w:r>
          </w:p>
        </w:tc>
        <w:tc>
          <w:tcPr>
            <w:tcW w:w="2127" w:type="dxa"/>
          </w:tcPr>
          <w:p w14:paraId="7AD24956" w14:textId="6ED93817" w:rsidR="001B2CF1" w:rsidRDefault="00026AB6" w:rsidP="001B2CF1"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Know and understand about the different forms of bullying. Be able to r</w:t>
            </w:r>
            <w:r w:rsidR="001B2CF1"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espond to, or challenge, negative behaviours such as stereotyping and aggression.</w:t>
            </w:r>
          </w:p>
        </w:tc>
        <w:tc>
          <w:tcPr>
            <w:tcW w:w="2189" w:type="dxa"/>
          </w:tcPr>
          <w:p w14:paraId="70545F4D" w14:textId="5AD50F81" w:rsidR="0067557F" w:rsidRPr="0067557F" w:rsidRDefault="001B2CF1" w:rsidP="0067557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They can make judgements and decisions </w:t>
            </w:r>
            <w:r w:rsidR="00026AB6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about bullying </w:t>
            </w:r>
            <w:r w:rsidRPr="000A3F5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and can list some ways of resisting negative peer pressure</w:t>
            </w:r>
            <w:r w:rsidR="00026AB6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. They can consider the feelings of both the bully and the victim.</w:t>
            </w:r>
          </w:p>
        </w:tc>
      </w:tr>
    </w:tbl>
    <w:p w14:paraId="20C29BB4" w14:textId="77777777" w:rsidR="000A3F55" w:rsidRPr="000A3F55" w:rsidRDefault="000A3F55" w:rsidP="000A3F55"/>
    <w:p w14:paraId="52B46587" w14:textId="77777777" w:rsidR="00030A30" w:rsidRDefault="00030A30"/>
    <w:sectPr w:rsidR="00030A30" w:rsidSect="000B629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A52"/>
    <w:multiLevelType w:val="hybridMultilevel"/>
    <w:tmpl w:val="5C746598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843765"/>
    <w:multiLevelType w:val="hybridMultilevel"/>
    <w:tmpl w:val="C15C877E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71BF"/>
    <w:multiLevelType w:val="hybridMultilevel"/>
    <w:tmpl w:val="F7644234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6189"/>
    <w:multiLevelType w:val="hybridMultilevel"/>
    <w:tmpl w:val="1B1084F2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52AB"/>
    <w:multiLevelType w:val="hybridMultilevel"/>
    <w:tmpl w:val="AB8A683C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50E4"/>
    <w:multiLevelType w:val="hybridMultilevel"/>
    <w:tmpl w:val="F9DE7E6C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45FD"/>
    <w:multiLevelType w:val="hybridMultilevel"/>
    <w:tmpl w:val="79726E60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565B"/>
    <w:multiLevelType w:val="hybridMultilevel"/>
    <w:tmpl w:val="3CB083AE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1451"/>
    <w:multiLevelType w:val="hybridMultilevel"/>
    <w:tmpl w:val="2A1CD2A6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2995"/>
    <w:multiLevelType w:val="hybridMultilevel"/>
    <w:tmpl w:val="C2D0545C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D65BF"/>
    <w:multiLevelType w:val="hybridMultilevel"/>
    <w:tmpl w:val="26027766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C4EAB"/>
    <w:multiLevelType w:val="hybridMultilevel"/>
    <w:tmpl w:val="982C5384"/>
    <w:lvl w:ilvl="0" w:tplc="0824B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366731">
    <w:abstractNumId w:val="3"/>
  </w:num>
  <w:num w:numId="2" w16cid:durableId="1307664642">
    <w:abstractNumId w:val="9"/>
  </w:num>
  <w:num w:numId="3" w16cid:durableId="1768118463">
    <w:abstractNumId w:val="2"/>
  </w:num>
  <w:num w:numId="4" w16cid:durableId="488860663">
    <w:abstractNumId w:val="11"/>
  </w:num>
  <w:num w:numId="5" w16cid:durableId="2052998664">
    <w:abstractNumId w:val="6"/>
  </w:num>
  <w:num w:numId="6" w16cid:durableId="91709795">
    <w:abstractNumId w:val="8"/>
  </w:num>
  <w:num w:numId="7" w16cid:durableId="886917990">
    <w:abstractNumId w:val="5"/>
  </w:num>
  <w:num w:numId="8" w16cid:durableId="724371463">
    <w:abstractNumId w:val="4"/>
  </w:num>
  <w:num w:numId="9" w16cid:durableId="157967706">
    <w:abstractNumId w:val="1"/>
  </w:num>
  <w:num w:numId="10" w16cid:durableId="631403523">
    <w:abstractNumId w:val="7"/>
  </w:num>
  <w:num w:numId="11" w16cid:durableId="2121875807">
    <w:abstractNumId w:val="0"/>
  </w:num>
  <w:num w:numId="12" w16cid:durableId="485048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55"/>
    <w:rsid w:val="00026AB6"/>
    <w:rsid w:val="00030A30"/>
    <w:rsid w:val="000A3F55"/>
    <w:rsid w:val="000B6294"/>
    <w:rsid w:val="000C50FF"/>
    <w:rsid w:val="000F5137"/>
    <w:rsid w:val="00180D7F"/>
    <w:rsid w:val="001B2CF1"/>
    <w:rsid w:val="00244A90"/>
    <w:rsid w:val="002B26EB"/>
    <w:rsid w:val="002D6781"/>
    <w:rsid w:val="003603E4"/>
    <w:rsid w:val="003F289F"/>
    <w:rsid w:val="00423605"/>
    <w:rsid w:val="005909B2"/>
    <w:rsid w:val="00653C39"/>
    <w:rsid w:val="0067557F"/>
    <w:rsid w:val="00726BF1"/>
    <w:rsid w:val="00906332"/>
    <w:rsid w:val="009A58CA"/>
    <w:rsid w:val="00AF6C42"/>
    <w:rsid w:val="00B2121D"/>
    <w:rsid w:val="00B62756"/>
    <w:rsid w:val="00D4449E"/>
    <w:rsid w:val="00DB160B"/>
    <w:rsid w:val="00DB7FB3"/>
    <w:rsid w:val="00DD102C"/>
    <w:rsid w:val="00E17245"/>
    <w:rsid w:val="00EA14CA"/>
    <w:rsid w:val="00F25AC5"/>
    <w:rsid w:val="00FA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21AD"/>
  <w15:chartTrackingRefBased/>
  <w15:docId w15:val="{E3E5FD5B-2C53-0D46-A76A-EC739B1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F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A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D3DFD2-C0E1-4943-ABD2-2F671DD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Drummond</dc:creator>
  <cp:keywords/>
  <dc:description/>
  <cp:lastModifiedBy>Suzanne Drummond</cp:lastModifiedBy>
  <cp:revision>8</cp:revision>
  <cp:lastPrinted>2024-01-31T20:27:00Z</cp:lastPrinted>
  <dcterms:created xsi:type="dcterms:W3CDTF">2020-04-15T11:53:00Z</dcterms:created>
  <dcterms:modified xsi:type="dcterms:W3CDTF">2025-02-07T19:55:00Z</dcterms:modified>
</cp:coreProperties>
</file>