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FB7D" w14:textId="77777777" w:rsidR="0099108C" w:rsidRDefault="0099108C" w:rsidP="0099108C">
      <w:pPr>
        <w:rPr>
          <w:color w:val="auto"/>
          <w:sz w:val="22"/>
          <w:szCs w:val="22"/>
        </w:rPr>
      </w:pPr>
      <w:bookmarkStart w:id="0" w:name="_Toc400361362"/>
      <w:bookmarkStart w:id="1" w:name="_Toc443397153"/>
      <w:bookmarkStart w:id="2" w:name="_Toc357771638"/>
      <w:bookmarkStart w:id="3" w:name="_Toc346793416"/>
      <w:bookmarkStart w:id="4" w:name="_Toc328122777"/>
    </w:p>
    <w:p w14:paraId="562FBD81" w14:textId="77777777" w:rsidR="0099108C" w:rsidRDefault="0099108C" w:rsidP="0099108C">
      <w:hyperlink r:id="rId10" w:history="1">
        <w:r>
          <w:rPr>
            <w:rStyle w:val="Hyperlink"/>
          </w:rPr>
          <w:t>https://forms.office.com/Pages/ResponsePage.aspx?id=QF83S2NHt06j_RFeYu7GMRG2Brk-kypKontQ_O-YoExUOVRINDVLUTVTNjZWVUowQklPQkdNMU5aWC4u</w:t>
        </w:r>
      </w:hyperlink>
      <w:r>
        <w:t xml:space="preserve"> </w:t>
      </w:r>
    </w:p>
    <w:p w14:paraId="4CCF29F9" w14:textId="77777777" w:rsidR="0099108C" w:rsidRDefault="0099108C" w:rsidP="0099108C">
      <w:pPr>
        <w:rPr>
          <w:color w:val="auto"/>
          <w:sz w:val="22"/>
          <w:szCs w:val="22"/>
        </w:rPr>
      </w:pPr>
    </w:p>
    <w:p w14:paraId="428A221A" w14:textId="77777777" w:rsidR="0099108C" w:rsidRDefault="0099108C" w:rsidP="0099108C">
      <w:hyperlink r:id="rId11" w:history="1">
        <w:r>
          <w:rPr>
            <w:rStyle w:val="Hyperlink"/>
          </w:rPr>
          <w:t>https://forms.office.com/Pages/ResponsePage.aspx?id=QF83S2NHt06j_RFeYu7GMRG2Brk-kypKontQ_O-YoExUOVRINDVLUTVTNjZWVUowQklPQkdNMU5aWC4u</w:t>
        </w:r>
      </w:hyperlink>
      <w:r>
        <w:t xml:space="preserve"> </w:t>
      </w:r>
    </w:p>
    <w:p w14:paraId="39CBC62A" w14:textId="77777777" w:rsidR="00753840" w:rsidRDefault="00753840" w:rsidP="00753840">
      <w:pPr>
        <w:rPr>
          <w:color w:val="auto"/>
          <w:sz w:val="22"/>
          <w:szCs w:val="22"/>
        </w:rPr>
      </w:pPr>
    </w:p>
    <w:p w14:paraId="597E0037" w14:textId="77777777" w:rsidR="00753840" w:rsidRDefault="00753840" w:rsidP="00753840">
      <w:hyperlink r:id="rId12" w:history="1">
        <w:r>
          <w:rPr>
            <w:rStyle w:val="Hyperlink"/>
          </w:rPr>
          <w:t>https://forms.office.com/Pages/ResponsePage.aspx?id=QF83S2NHt06j_RFeYu7GMRG2Brk-kypKontQ_O-YoExUOVRINDVLUTVTNjZWVUowQklPQkdNMU5aWC4u</w:t>
        </w:r>
      </w:hyperlink>
      <w:r>
        <w:t xml:space="preserve"> </w:t>
      </w:r>
    </w:p>
    <w:p w14:paraId="3C33D503" w14:textId="77777777" w:rsidR="00753840" w:rsidRDefault="00753840" w:rsidP="00753840">
      <w:pPr>
        <w:rPr>
          <w:color w:val="auto"/>
          <w:sz w:val="22"/>
          <w:szCs w:val="22"/>
        </w:rPr>
      </w:pPr>
    </w:p>
    <w:p w14:paraId="2B7FB3ED" w14:textId="77777777" w:rsidR="00753840" w:rsidRDefault="00753840" w:rsidP="00753840">
      <w:hyperlink r:id="rId13" w:history="1">
        <w:r>
          <w:rPr>
            <w:rStyle w:val="Hyperlink"/>
          </w:rPr>
          <w:t>https://forms.office.com/Pages/ResponsePage.aspx?id=QF83S2NHt06j_RFeYu7GMRG2Brk-kypKontQ_O-YoExUOVRINDVLUTVTNjZWVUowQklPQkdNMU5aWC4u</w:t>
        </w:r>
      </w:hyperlink>
      <w:r>
        <w:t xml:space="preserve"> </w:t>
      </w:r>
    </w:p>
    <w:p w14:paraId="2A7D54B1" w14:textId="25E10E37" w:rsidR="00E66558" w:rsidRDefault="00C11EB4" w:rsidP="00365650">
      <w:pPr>
        <w:pStyle w:val="Heading1"/>
      </w:pPr>
      <w:r>
        <w:rPr>
          <w:b w:val="0"/>
          <w:bCs/>
          <w:noProof/>
          <w:sz w:val="28"/>
          <w:szCs w:val="28"/>
        </w:rPr>
        <w:lastRenderedPageBreak/>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4"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5"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16"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7"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w:t>
      </w:r>
      <w:r w:rsidR="00812107">
        <w:rPr>
          <w:i/>
          <w:iCs/>
        </w:rPr>
        <w:t>St Mary &amp; All Saints CE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76202B6" w:rsidR="002940F3" w:rsidRDefault="00A71CB3" w:rsidP="00C31636">
            <w:pPr>
              <w:pStyle w:val="TableRow"/>
              <w:ind w:left="0" w:right="0"/>
            </w:pPr>
            <w:r>
              <w:t>288</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1539215" w:rsidR="002940F3" w:rsidRDefault="00A71CB3" w:rsidP="00C31636">
            <w:pPr>
              <w:pStyle w:val="TableRow"/>
              <w:ind w:left="0" w:right="0"/>
            </w:pPr>
            <w:r>
              <w:t>93 children – 32%</w:t>
            </w:r>
          </w:p>
        </w:tc>
      </w:tr>
      <w:tr w:rsidR="00A71CB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A71CB3" w:rsidRDefault="00A71CB3" w:rsidP="00A71CB3">
            <w:pPr>
              <w:pStyle w:val="TableRow"/>
              <w:ind w:left="0" w:right="0"/>
            </w:pPr>
            <w:r>
              <w:t xml:space="preserve">Academic year/years that our current pupil premium strategy plan covers </w:t>
            </w:r>
            <w:r w:rsidRPr="1CBF4D92">
              <w:rPr>
                <w:b/>
              </w:rPr>
              <w:t>(</w:t>
            </w:r>
            <w:r w:rsidRPr="004B4D0A">
              <w:rPr>
                <w:b/>
              </w:rPr>
              <w:t>3-year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C4793D4" w:rsidR="00A71CB3" w:rsidRDefault="00A71CB3" w:rsidP="00A71CB3">
            <w:pPr>
              <w:pStyle w:val="TableRow"/>
              <w:ind w:left="0" w:right="0"/>
            </w:pPr>
            <w:r>
              <w:t>2</w:t>
            </w:r>
          </w:p>
        </w:tc>
      </w:tr>
      <w:tr w:rsidR="00A71CB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A71CB3" w:rsidRDefault="00A71CB3" w:rsidP="00A71CB3">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47BFE44" w:rsidR="00A71CB3" w:rsidRDefault="00A71CB3" w:rsidP="00A71CB3">
            <w:pPr>
              <w:pStyle w:val="TableRow"/>
              <w:ind w:left="0" w:right="0"/>
            </w:pPr>
            <w:r>
              <w:t>December 2024</w:t>
            </w:r>
          </w:p>
        </w:tc>
      </w:tr>
      <w:tr w:rsidR="00A71CB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A71CB3" w:rsidRDefault="00A71CB3" w:rsidP="00A71CB3">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FC2D756" w:rsidR="00A71CB3" w:rsidRDefault="00A71CB3" w:rsidP="00A71CB3">
            <w:pPr>
              <w:pStyle w:val="TableRow"/>
              <w:ind w:left="0" w:right="0"/>
            </w:pPr>
            <w:r>
              <w:t>September 2025</w:t>
            </w:r>
          </w:p>
        </w:tc>
      </w:tr>
      <w:tr w:rsidR="00A71CB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A71CB3" w:rsidRDefault="00A71CB3" w:rsidP="00A71CB3">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F354C6C" w:rsidR="00A71CB3" w:rsidRDefault="00A71CB3" w:rsidP="00A71CB3">
            <w:pPr>
              <w:pStyle w:val="TableRow"/>
              <w:ind w:left="0" w:right="0"/>
            </w:pPr>
            <w:r>
              <w:t>Simon Cowley</w:t>
            </w:r>
          </w:p>
        </w:tc>
      </w:tr>
      <w:tr w:rsidR="00A71CB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A71CB3" w:rsidRDefault="00A71CB3" w:rsidP="00A71CB3">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AC1AD89" w:rsidR="00A71CB3" w:rsidRDefault="00A71CB3" w:rsidP="00A71CB3">
            <w:pPr>
              <w:pStyle w:val="TableRow"/>
              <w:ind w:left="0" w:right="0"/>
            </w:pPr>
            <w:r>
              <w:t>Mia Stanbrook / Michelle Birch</w:t>
            </w:r>
          </w:p>
        </w:tc>
      </w:tr>
      <w:tr w:rsidR="00A71CB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A71CB3" w:rsidRDefault="00A71CB3" w:rsidP="00A71CB3">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32B6CF5" w:rsidR="00A71CB3" w:rsidRDefault="00A71CB3" w:rsidP="00A71CB3">
            <w:pPr>
              <w:pStyle w:val="TableRow"/>
              <w:ind w:left="0" w:right="0"/>
            </w:pPr>
            <w:r>
              <w:t>Kathryn Twine &amp; Sam Yarnold</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909AFAB" w:rsidR="00E66558" w:rsidRDefault="009D71E8" w:rsidP="00C31636">
            <w:pPr>
              <w:pStyle w:val="TableRow"/>
              <w:ind w:left="0" w:right="0"/>
            </w:pPr>
            <w:r>
              <w:t>£</w:t>
            </w:r>
            <w:r w:rsidR="00A71CB3">
              <w:t>137,640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0CBAFFF" w:rsidR="00E66558" w:rsidRDefault="009D71E8" w:rsidP="00C31636">
            <w:pPr>
              <w:pStyle w:val="TableRow"/>
              <w:ind w:left="0" w:right="0"/>
            </w:pPr>
            <w:r>
              <w:t>£</w:t>
            </w:r>
            <w:r w:rsidR="00A71CB3">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1EDB1C9" w:rsidR="00E66558" w:rsidRDefault="009D71E8" w:rsidP="00C31636">
            <w:pPr>
              <w:pStyle w:val="TableRow"/>
              <w:ind w:left="0" w:right="0"/>
            </w:pPr>
            <w:r>
              <w:t>£</w:t>
            </w:r>
            <w:r w:rsidR="00A71CB3">
              <w:t>137,640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1086" w14:textId="77777777" w:rsidR="00457DA6" w:rsidRPr="00EC3F25" w:rsidRDefault="00457DA6" w:rsidP="00457DA6">
            <w:pPr>
              <w:spacing w:line="360" w:lineRule="auto"/>
              <w:rPr>
                <w:sz w:val="22"/>
                <w:szCs w:val="22"/>
                <w:lang w:val="en-US"/>
              </w:rPr>
            </w:pPr>
            <w:r w:rsidRPr="00EC3F25">
              <w:rPr>
                <w:sz w:val="22"/>
                <w:szCs w:val="22"/>
                <w:lang w:val="en-US"/>
              </w:rPr>
              <w:t xml:space="preserve">Our intention is that all pupils, irrespective of their background or the challenges they face, make good progress and attain well across all subject areas. The focus of our Pupil Premium Strategy is to support disadvantaged pupils to achieve this goal. </w:t>
            </w:r>
          </w:p>
          <w:p w14:paraId="2CCFADBC" w14:textId="77777777" w:rsidR="00457DA6" w:rsidRPr="00EC3F25" w:rsidRDefault="00457DA6" w:rsidP="00457DA6">
            <w:pPr>
              <w:spacing w:line="360" w:lineRule="auto"/>
              <w:rPr>
                <w:sz w:val="22"/>
                <w:szCs w:val="22"/>
                <w:lang w:val="en-US"/>
              </w:rPr>
            </w:pPr>
            <w:r w:rsidRPr="00EC3F25">
              <w:rPr>
                <w:sz w:val="22"/>
                <w:szCs w:val="22"/>
                <w:lang w:val="en-US"/>
              </w:rPr>
              <w:t>In addition, we have considered the challenges faced by vulnerable pupils (</w:t>
            </w:r>
            <w:r>
              <w:rPr>
                <w:sz w:val="22"/>
                <w:szCs w:val="22"/>
                <w:lang w:val="en-US"/>
              </w:rPr>
              <w:t xml:space="preserve">pupils with SEN, </w:t>
            </w:r>
            <w:r w:rsidRPr="00EC3F25">
              <w:rPr>
                <w:sz w:val="22"/>
                <w:szCs w:val="22"/>
                <w:lang w:val="en-US"/>
              </w:rPr>
              <w:t xml:space="preserve">young </w:t>
            </w:r>
            <w:proofErr w:type="spellStart"/>
            <w:r w:rsidRPr="00EC3F25">
              <w:rPr>
                <w:sz w:val="22"/>
                <w:szCs w:val="22"/>
                <w:lang w:val="en-US"/>
              </w:rPr>
              <w:t>carers</w:t>
            </w:r>
            <w:proofErr w:type="spellEnd"/>
            <w:r w:rsidRPr="00EC3F25">
              <w:rPr>
                <w:sz w:val="22"/>
                <w:szCs w:val="22"/>
                <w:lang w:val="en-US"/>
              </w:rPr>
              <w:t xml:space="preserve">, </w:t>
            </w:r>
            <w:r>
              <w:rPr>
                <w:sz w:val="22"/>
                <w:szCs w:val="22"/>
                <w:lang w:val="en-US"/>
              </w:rPr>
              <w:t xml:space="preserve">LAC </w:t>
            </w:r>
            <w:r w:rsidRPr="00EC3F25">
              <w:rPr>
                <w:sz w:val="22"/>
                <w:szCs w:val="22"/>
                <w:lang w:val="en-US"/>
              </w:rPr>
              <w:t>children</w:t>
            </w:r>
            <w:r>
              <w:rPr>
                <w:sz w:val="22"/>
                <w:szCs w:val="22"/>
                <w:lang w:val="en-US"/>
              </w:rPr>
              <w:t>, those on</w:t>
            </w:r>
            <w:r w:rsidRPr="00EC3F25">
              <w:rPr>
                <w:sz w:val="22"/>
                <w:szCs w:val="22"/>
                <w:lang w:val="en-US"/>
              </w:rPr>
              <w:t xml:space="preserve"> CIN or CP plans and those who are facing homelessness) and intend that the activities outlined in this strategy also support their needs, regardless of whether they are pupil premium or not. </w:t>
            </w:r>
          </w:p>
          <w:p w14:paraId="3648E2F5" w14:textId="3E30C572" w:rsidR="00457DA6" w:rsidRPr="00EC3F25" w:rsidRDefault="00457DA6" w:rsidP="00457DA6">
            <w:pPr>
              <w:spacing w:line="360" w:lineRule="auto"/>
              <w:rPr>
                <w:sz w:val="22"/>
                <w:szCs w:val="22"/>
                <w:lang w:val="en-US"/>
              </w:rPr>
            </w:pPr>
            <w:r w:rsidRPr="00814C20">
              <w:rPr>
                <w:sz w:val="22"/>
                <w:szCs w:val="22"/>
                <w:lang w:val="en-US"/>
              </w:rPr>
              <w:t>Quality First teaching is central to our approach, with a specific focus on areas in which disadvantaged pupils require the most support</w:t>
            </w:r>
            <w:r>
              <w:rPr>
                <w:sz w:val="22"/>
                <w:szCs w:val="22"/>
                <w:lang w:val="en-US"/>
              </w:rPr>
              <w:t>, such as oracy and language acquisition</w:t>
            </w:r>
            <w:r w:rsidRPr="00814C20">
              <w:rPr>
                <w:sz w:val="22"/>
                <w:szCs w:val="22"/>
                <w:lang w:val="en-US"/>
              </w:rPr>
              <w:t>. This approach has been chosen as it has been proven to have the largest impact on closing the attainment gap for disadvantaged pupils and at the same time, will benefit all pupils in school. I</w:t>
            </w:r>
            <w:r>
              <w:rPr>
                <w:sz w:val="22"/>
                <w:szCs w:val="22"/>
                <w:lang w:val="en-US"/>
              </w:rPr>
              <w:t xml:space="preserve">n light of the introduction of a new White Horse Federation trust-wide common curriculum for the core subjects, we are focusing school improvement priorities around the use of assessment and adaption of this curriculum to improve outcomes for all pupils.   </w:t>
            </w:r>
            <w:r w:rsidRPr="00EC3F25">
              <w:rPr>
                <w:sz w:val="22"/>
                <w:szCs w:val="22"/>
                <w:lang w:val="en-US"/>
              </w:rPr>
              <w:t xml:space="preserve">  </w:t>
            </w:r>
          </w:p>
          <w:p w14:paraId="63ECAEC7" w14:textId="77777777" w:rsidR="00457DA6" w:rsidRPr="00EC3F25" w:rsidRDefault="00457DA6" w:rsidP="00457DA6">
            <w:pPr>
              <w:spacing w:line="360" w:lineRule="auto"/>
              <w:rPr>
                <w:sz w:val="22"/>
                <w:szCs w:val="22"/>
                <w:lang w:val="en-US"/>
              </w:rPr>
            </w:pPr>
            <w:r w:rsidRPr="00EC3F25">
              <w:rPr>
                <w:sz w:val="22"/>
                <w:szCs w:val="22"/>
                <w:lang w:val="en-US"/>
              </w:rPr>
              <w:t xml:space="preserve">Our approach will be informed by individual needs. Robust assessment and forensic analysis of data will be integral to informing our judgement rather than </w:t>
            </w:r>
            <w:proofErr w:type="spellStart"/>
            <w:r w:rsidRPr="00EC3F25">
              <w:rPr>
                <w:sz w:val="22"/>
                <w:szCs w:val="22"/>
                <w:lang w:val="en-US"/>
              </w:rPr>
              <w:t>generalisations</w:t>
            </w:r>
            <w:proofErr w:type="spellEnd"/>
            <w:r w:rsidRPr="00EC3F25">
              <w:rPr>
                <w:sz w:val="22"/>
                <w:szCs w:val="22"/>
                <w:lang w:val="en-US"/>
              </w:rPr>
              <w:t xml:space="preserve"> about the impact of disadvantage. The activities and approaches we have adopted complement each other to help children achieve their potential. To ensure they are effective, we will:</w:t>
            </w:r>
          </w:p>
          <w:p w14:paraId="09F9E9A1" w14:textId="77777777" w:rsidR="00457DA6" w:rsidRPr="00EC3F25" w:rsidRDefault="00457DA6" w:rsidP="00457DA6">
            <w:pPr>
              <w:pStyle w:val="ListParagraph"/>
              <w:numPr>
                <w:ilvl w:val="0"/>
                <w:numId w:val="17"/>
              </w:numPr>
              <w:spacing w:line="360" w:lineRule="auto"/>
              <w:rPr>
                <w:sz w:val="22"/>
                <w:szCs w:val="22"/>
                <w:lang w:val="en-US"/>
              </w:rPr>
            </w:pPr>
            <w:r w:rsidRPr="00EC3F25">
              <w:rPr>
                <w:sz w:val="22"/>
                <w:szCs w:val="22"/>
                <w:lang w:val="en-US"/>
              </w:rPr>
              <w:t>Embed a culture in which everyone takes responsibility for</w:t>
            </w:r>
            <w:r>
              <w:rPr>
                <w:sz w:val="22"/>
                <w:szCs w:val="22"/>
                <w:lang w:val="en-US"/>
              </w:rPr>
              <w:t xml:space="preserve"> the outcomes of</w:t>
            </w:r>
            <w:r w:rsidRPr="00EC3F25">
              <w:rPr>
                <w:sz w:val="22"/>
                <w:szCs w:val="22"/>
                <w:lang w:val="en-US"/>
              </w:rPr>
              <w:t xml:space="preserve"> disadvantaged pupils</w:t>
            </w:r>
            <w:r>
              <w:rPr>
                <w:sz w:val="22"/>
                <w:szCs w:val="22"/>
                <w:lang w:val="en-US"/>
              </w:rPr>
              <w:t xml:space="preserve"> </w:t>
            </w:r>
            <w:r w:rsidRPr="00EC3F25">
              <w:rPr>
                <w:sz w:val="22"/>
                <w:szCs w:val="22"/>
                <w:lang w:val="en-US"/>
              </w:rPr>
              <w:t>and has high expectations of what they can achieve</w:t>
            </w:r>
          </w:p>
          <w:p w14:paraId="53847717" w14:textId="701375B0" w:rsidR="00457DA6" w:rsidRDefault="00457DA6" w:rsidP="00457DA6">
            <w:pPr>
              <w:pStyle w:val="ListParagraph"/>
              <w:numPr>
                <w:ilvl w:val="0"/>
                <w:numId w:val="17"/>
              </w:numPr>
              <w:spacing w:line="360" w:lineRule="auto"/>
              <w:rPr>
                <w:sz w:val="22"/>
                <w:szCs w:val="22"/>
                <w:lang w:val="en-US"/>
              </w:rPr>
            </w:pPr>
            <w:r w:rsidRPr="00EC3F25">
              <w:rPr>
                <w:sz w:val="22"/>
                <w:szCs w:val="22"/>
                <w:lang w:val="en-US"/>
              </w:rPr>
              <w:t>Challenge will be prevalent for all disadvantaged children</w:t>
            </w:r>
          </w:p>
          <w:p w14:paraId="3596C185" w14:textId="31E82898" w:rsidR="00457DA6" w:rsidRPr="00EC3F25" w:rsidRDefault="00457DA6" w:rsidP="00457DA6">
            <w:pPr>
              <w:pStyle w:val="ListParagraph"/>
              <w:numPr>
                <w:ilvl w:val="0"/>
                <w:numId w:val="17"/>
              </w:numPr>
              <w:spacing w:line="360" w:lineRule="auto"/>
              <w:rPr>
                <w:sz w:val="22"/>
                <w:szCs w:val="22"/>
                <w:lang w:val="en-US"/>
              </w:rPr>
            </w:pPr>
            <w:r>
              <w:rPr>
                <w:sz w:val="22"/>
                <w:szCs w:val="22"/>
                <w:lang w:val="en-US"/>
              </w:rPr>
              <w:t>The curriculum is sequenced and adapted to specifically support the most disadvantaged pupils</w:t>
            </w:r>
          </w:p>
          <w:p w14:paraId="1BD990A3" w14:textId="77777777" w:rsidR="00457DA6" w:rsidRPr="00EC3F25" w:rsidRDefault="00457DA6" w:rsidP="00457DA6">
            <w:pPr>
              <w:pStyle w:val="ListParagraph"/>
              <w:numPr>
                <w:ilvl w:val="0"/>
                <w:numId w:val="17"/>
              </w:numPr>
              <w:spacing w:line="360" w:lineRule="auto"/>
              <w:rPr>
                <w:sz w:val="22"/>
                <w:szCs w:val="22"/>
                <w:lang w:val="en-US"/>
              </w:rPr>
            </w:pPr>
            <w:r w:rsidRPr="00EC3F25">
              <w:rPr>
                <w:sz w:val="22"/>
                <w:szCs w:val="22"/>
                <w:lang w:val="en-US"/>
              </w:rPr>
              <w:t>Interventions will be expedient</w:t>
            </w:r>
            <w:r>
              <w:rPr>
                <w:sz w:val="22"/>
                <w:szCs w:val="22"/>
                <w:lang w:val="en-US"/>
              </w:rPr>
              <w:t>,</w:t>
            </w:r>
            <w:r w:rsidRPr="00EC3F25">
              <w:rPr>
                <w:sz w:val="22"/>
                <w:szCs w:val="22"/>
                <w:lang w:val="en-US"/>
              </w:rPr>
              <w:t xml:space="preserve"> effective</w:t>
            </w:r>
            <w:r>
              <w:rPr>
                <w:sz w:val="22"/>
                <w:szCs w:val="22"/>
                <w:lang w:val="en-US"/>
              </w:rPr>
              <w:t xml:space="preserve"> and based on assessment </w:t>
            </w:r>
          </w:p>
          <w:p w14:paraId="2A7D54E9" w14:textId="048E8A8B" w:rsidR="00E66558" w:rsidRPr="00AF0618" w:rsidRDefault="00457DA6" w:rsidP="00457DA6">
            <w:pPr>
              <w:pStyle w:val="ListParagraph"/>
              <w:numPr>
                <w:ilvl w:val="0"/>
                <w:numId w:val="17"/>
              </w:numPr>
              <w:rPr>
                <w:i/>
                <w:iCs/>
              </w:rPr>
            </w:pPr>
            <w:r w:rsidRPr="00EC3F25">
              <w:rPr>
                <w:sz w:val="22"/>
                <w:szCs w:val="22"/>
                <w:lang w:val="en-US"/>
              </w:rPr>
              <w:t>Quality first teaching</w:t>
            </w:r>
            <w:r>
              <w:rPr>
                <w:sz w:val="22"/>
                <w:szCs w:val="22"/>
                <w:lang w:val="en-US"/>
              </w:rPr>
              <w:t xml:space="preserve"> for all</w:t>
            </w:r>
            <w:r w:rsidRPr="00EC3F25">
              <w:rPr>
                <w:sz w:val="22"/>
                <w:szCs w:val="22"/>
                <w:lang w:val="en-US"/>
              </w:rPr>
              <w:t xml:space="preserve"> will ensure a consistent whole school approach for improving outcomes and aspirations for all disadvantaged children</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457DA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62F695CA" w:rsidR="00457DA6" w:rsidRDefault="00457DA6" w:rsidP="00457DA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A354" w14:textId="77777777" w:rsidR="008C1D5E" w:rsidRDefault="008C1D5E" w:rsidP="008C1D5E">
            <w:pPr>
              <w:pStyle w:val="TableRowCentered"/>
              <w:ind w:left="0"/>
              <w:jc w:val="left"/>
              <w:rPr>
                <w:sz w:val="22"/>
                <w:szCs w:val="22"/>
              </w:rPr>
            </w:pPr>
            <w:r w:rsidRPr="00C9609D">
              <w:rPr>
                <w:sz w:val="22"/>
                <w:szCs w:val="22"/>
              </w:rPr>
              <w:t>Assessment, observations and pupil voice indicate less developed oral language skills and vocabulary amongst many of our disadvantaged children.</w:t>
            </w:r>
          </w:p>
          <w:p w14:paraId="2A7D54F1" w14:textId="4351C1BD" w:rsidR="00457DA6" w:rsidRPr="008C1D5E" w:rsidRDefault="008C1D5E" w:rsidP="008C1D5E">
            <w:pPr>
              <w:pStyle w:val="TableRowCentered"/>
              <w:ind w:left="0"/>
              <w:jc w:val="left"/>
              <w:rPr>
                <w:sz w:val="22"/>
                <w:szCs w:val="22"/>
              </w:rPr>
            </w:pPr>
            <w:r w:rsidRPr="00E27071">
              <w:rPr>
                <w:sz w:val="22"/>
                <w:szCs w:val="22"/>
              </w:rPr>
              <w:t xml:space="preserve">These are evident from </w:t>
            </w:r>
            <w:r w:rsidR="008A7303">
              <w:rPr>
                <w:sz w:val="22"/>
                <w:szCs w:val="22"/>
              </w:rPr>
              <w:t>Nursery</w:t>
            </w:r>
            <w:r w:rsidRPr="00E27071">
              <w:rPr>
                <w:sz w:val="22"/>
                <w:szCs w:val="22"/>
              </w:rPr>
              <w:t xml:space="preserve"> through to KS2 and in general, are more prevalent among our disadvantaged pupils than their peers.</w:t>
            </w:r>
            <w:r>
              <w:rPr>
                <w:sz w:val="22"/>
                <w:szCs w:val="22"/>
              </w:rPr>
              <w:t xml:space="preserve"> </w:t>
            </w:r>
          </w:p>
        </w:tc>
      </w:tr>
      <w:tr w:rsidR="008C1D5E" w14:paraId="34F2BDC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56AF" w14:textId="6160D8A6" w:rsidR="008C1D5E" w:rsidRDefault="00F80D5F" w:rsidP="00457DA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064" w14:textId="77777777" w:rsidR="009773EC" w:rsidRDefault="008C1D5E" w:rsidP="008C1D5E">
            <w:pPr>
              <w:pStyle w:val="TableRowCentered"/>
              <w:ind w:left="0"/>
              <w:jc w:val="left"/>
              <w:rPr>
                <w:sz w:val="22"/>
                <w:szCs w:val="22"/>
              </w:rPr>
            </w:pPr>
            <w:r>
              <w:rPr>
                <w:sz w:val="22"/>
                <w:szCs w:val="22"/>
              </w:rPr>
              <w:t>Cohort analysis of year groups across the school indicates that approximately 40 to 45% of the children in every year group (Years 1 to 6) joined as an in</w:t>
            </w:r>
            <w:r w:rsidR="009773EC">
              <w:rPr>
                <w:sz w:val="22"/>
                <w:szCs w:val="22"/>
              </w:rPr>
              <w:t>-</w:t>
            </w:r>
            <w:r>
              <w:rPr>
                <w:sz w:val="22"/>
                <w:szCs w:val="22"/>
              </w:rPr>
              <w:t>year</w:t>
            </w:r>
            <w:r w:rsidR="009773EC">
              <w:rPr>
                <w:sz w:val="22"/>
                <w:szCs w:val="22"/>
              </w:rPr>
              <w:t xml:space="preserve"> </w:t>
            </w:r>
            <w:r>
              <w:rPr>
                <w:sz w:val="22"/>
                <w:szCs w:val="22"/>
              </w:rPr>
              <w:t xml:space="preserve">admission and that for most of these, English is an additional language. </w:t>
            </w:r>
          </w:p>
          <w:p w14:paraId="0CE1291C" w14:textId="509DAC77" w:rsidR="008C1D5E" w:rsidRPr="00C9609D" w:rsidRDefault="008C1D5E" w:rsidP="008C1D5E">
            <w:pPr>
              <w:pStyle w:val="TableRowCentered"/>
              <w:ind w:left="0"/>
              <w:jc w:val="left"/>
              <w:rPr>
                <w:sz w:val="22"/>
                <w:szCs w:val="22"/>
              </w:rPr>
            </w:pPr>
            <w:r>
              <w:rPr>
                <w:sz w:val="22"/>
                <w:szCs w:val="22"/>
              </w:rPr>
              <w:t xml:space="preserve">Whilst the majority of these children do not </w:t>
            </w:r>
            <w:r w:rsidR="00F80D5F">
              <w:rPr>
                <w:sz w:val="22"/>
                <w:szCs w:val="22"/>
              </w:rPr>
              <w:t xml:space="preserve">qualify for Pupil Premium funding or other benefits as they are new to the country, requests from these families for support with food, clothing, mental health and overcrowding indicate that they should be considered a hidden disadvantaged group. </w:t>
            </w:r>
          </w:p>
        </w:tc>
      </w:tr>
      <w:tr w:rsidR="00457DA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8377ACE" w:rsidR="00457DA6" w:rsidRDefault="00457DA6" w:rsidP="00457DA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F3670" w14:textId="3A328628" w:rsidR="00457DA6" w:rsidRDefault="00457DA6" w:rsidP="009773EC">
            <w:pPr>
              <w:pStyle w:val="TableRowCentered"/>
              <w:ind w:left="0"/>
              <w:jc w:val="left"/>
              <w:rPr>
                <w:sz w:val="22"/>
                <w:szCs w:val="22"/>
              </w:rPr>
            </w:pPr>
            <w:r>
              <w:rPr>
                <w:sz w:val="22"/>
                <w:szCs w:val="22"/>
              </w:rPr>
              <w:t>Statutory</w:t>
            </w:r>
            <w:r w:rsidRPr="02464C7D">
              <w:rPr>
                <w:sz w:val="22"/>
                <w:szCs w:val="22"/>
              </w:rPr>
              <w:t xml:space="preserve"> </w:t>
            </w:r>
            <w:r>
              <w:rPr>
                <w:sz w:val="22"/>
                <w:szCs w:val="22"/>
              </w:rPr>
              <w:t>a</w:t>
            </w:r>
            <w:r w:rsidRPr="02464C7D">
              <w:rPr>
                <w:sz w:val="22"/>
                <w:szCs w:val="22"/>
              </w:rPr>
              <w:t xml:space="preserve">ssessments indicate that </w:t>
            </w:r>
            <w:r w:rsidR="008A7303">
              <w:rPr>
                <w:sz w:val="22"/>
                <w:szCs w:val="22"/>
              </w:rPr>
              <w:t>combined</w:t>
            </w:r>
            <w:r w:rsidRPr="02464C7D">
              <w:rPr>
                <w:sz w:val="22"/>
                <w:szCs w:val="22"/>
              </w:rPr>
              <w:t xml:space="preserve"> (RWM) attainment</w:t>
            </w:r>
            <w:r w:rsidR="008A7303">
              <w:rPr>
                <w:sz w:val="22"/>
                <w:szCs w:val="22"/>
              </w:rPr>
              <w:t xml:space="preserve"> at KS2</w:t>
            </w:r>
            <w:r w:rsidRPr="02464C7D">
              <w:rPr>
                <w:sz w:val="22"/>
                <w:szCs w:val="22"/>
              </w:rPr>
              <w:t xml:space="preserve"> for disadvantaged children is below that of non-disadvantaged pupils</w:t>
            </w:r>
            <w:r>
              <w:rPr>
                <w:sz w:val="22"/>
                <w:szCs w:val="22"/>
              </w:rPr>
              <w:t xml:space="preserve"> (</w:t>
            </w:r>
            <w:r w:rsidR="009773EC">
              <w:rPr>
                <w:sz w:val="22"/>
                <w:szCs w:val="22"/>
              </w:rPr>
              <w:t>43.8</w:t>
            </w:r>
            <w:r>
              <w:rPr>
                <w:sz w:val="22"/>
                <w:szCs w:val="22"/>
              </w:rPr>
              <w:t>% compared to 4</w:t>
            </w:r>
            <w:r w:rsidR="009773EC">
              <w:rPr>
                <w:sz w:val="22"/>
                <w:szCs w:val="22"/>
              </w:rPr>
              <w:t>8.5</w:t>
            </w:r>
            <w:r>
              <w:rPr>
                <w:sz w:val="22"/>
                <w:szCs w:val="22"/>
              </w:rPr>
              <w:t>%)</w:t>
            </w:r>
            <w:r w:rsidRPr="02464C7D">
              <w:rPr>
                <w:sz w:val="22"/>
                <w:szCs w:val="22"/>
              </w:rPr>
              <w:t>.</w:t>
            </w:r>
            <w:r>
              <w:rPr>
                <w:sz w:val="22"/>
                <w:szCs w:val="22"/>
              </w:rPr>
              <w:t xml:space="preserve"> </w:t>
            </w:r>
          </w:p>
          <w:p w14:paraId="13A3E9E8" w14:textId="1A81BE81" w:rsidR="0023374F" w:rsidRDefault="00457DA6" w:rsidP="0023374F">
            <w:pPr>
              <w:pStyle w:val="TableRowCentered"/>
              <w:ind w:left="0" w:right="0"/>
              <w:jc w:val="left"/>
              <w:rPr>
                <w:sz w:val="22"/>
                <w:szCs w:val="22"/>
              </w:rPr>
            </w:pPr>
            <w:r>
              <w:rPr>
                <w:sz w:val="22"/>
                <w:szCs w:val="22"/>
              </w:rPr>
              <w:t>Internal formative assessment data for Autumn term 202</w:t>
            </w:r>
            <w:r w:rsidR="00AD120E">
              <w:rPr>
                <w:sz w:val="22"/>
                <w:szCs w:val="22"/>
              </w:rPr>
              <w:t>4</w:t>
            </w:r>
            <w:r>
              <w:rPr>
                <w:sz w:val="22"/>
                <w:szCs w:val="22"/>
              </w:rPr>
              <w:t xml:space="preserve">, indicates that significantly fewer disadvantaged children in year 6 are on track to meet age related expectations in </w:t>
            </w:r>
            <w:r w:rsidR="00585E48">
              <w:rPr>
                <w:sz w:val="22"/>
                <w:szCs w:val="22"/>
              </w:rPr>
              <w:t>combined</w:t>
            </w:r>
            <w:r w:rsidR="0023374F">
              <w:rPr>
                <w:sz w:val="22"/>
                <w:szCs w:val="22"/>
              </w:rPr>
              <w:t xml:space="preserve"> attainment</w:t>
            </w:r>
            <w:r>
              <w:rPr>
                <w:sz w:val="22"/>
                <w:szCs w:val="22"/>
              </w:rPr>
              <w:t xml:space="preserve"> by the end of the year compared to their non-disadvantaged peers (</w:t>
            </w:r>
            <w:r w:rsidR="00585E48">
              <w:rPr>
                <w:sz w:val="22"/>
                <w:szCs w:val="22"/>
              </w:rPr>
              <w:t>29</w:t>
            </w:r>
            <w:r>
              <w:rPr>
                <w:sz w:val="22"/>
                <w:szCs w:val="22"/>
              </w:rPr>
              <w:t xml:space="preserve">% compared to </w:t>
            </w:r>
            <w:r w:rsidR="00585E48">
              <w:rPr>
                <w:sz w:val="22"/>
                <w:szCs w:val="22"/>
              </w:rPr>
              <w:t>52</w:t>
            </w:r>
            <w:r>
              <w:rPr>
                <w:sz w:val="22"/>
                <w:szCs w:val="22"/>
              </w:rPr>
              <w:t xml:space="preserve">%). </w:t>
            </w:r>
            <w:r w:rsidR="00585E48">
              <w:rPr>
                <w:sz w:val="22"/>
                <w:szCs w:val="22"/>
              </w:rPr>
              <w:t>This is reflective of all other year groups across the school</w:t>
            </w:r>
            <w:r w:rsidR="0023374F">
              <w:rPr>
                <w:sz w:val="22"/>
                <w:szCs w:val="22"/>
              </w:rPr>
              <w:t>.</w:t>
            </w:r>
          </w:p>
          <w:p w14:paraId="2A7D54F7" w14:textId="696A0459" w:rsidR="00A342CC" w:rsidRDefault="0023374F" w:rsidP="0023374F">
            <w:pPr>
              <w:pStyle w:val="TableRowCentered"/>
              <w:ind w:left="0" w:right="0"/>
              <w:jc w:val="left"/>
              <w:rPr>
                <w:sz w:val="22"/>
                <w:szCs w:val="22"/>
              </w:rPr>
            </w:pPr>
            <w:r>
              <w:rPr>
                <w:sz w:val="22"/>
                <w:szCs w:val="22"/>
              </w:rPr>
              <w:t>This</w:t>
            </w:r>
            <w:r w:rsidR="00A342CC">
              <w:rPr>
                <w:sz w:val="22"/>
                <w:szCs w:val="22"/>
              </w:rPr>
              <w:t xml:space="preserve"> also highlights that attainment for all children is significantly below national expectations</w:t>
            </w:r>
            <w:r>
              <w:rPr>
                <w:sz w:val="22"/>
                <w:szCs w:val="22"/>
              </w:rPr>
              <w:t xml:space="preserve"> in the core subjects and that accelerated progress from lower starting points needs to be made by most children. </w:t>
            </w:r>
          </w:p>
        </w:tc>
      </w:tr>
      <w:tr w:rsidR="00457DA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4A3F94A" w:rsidR="00457DA6" w:rsidRDefault="00457DA6" w:rsidP="00457DA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40B6" w14:textId="697AD50A" w:rsidR="00457DA6" w:rsidRPr="00032AF0" w:rsidRDefault="00457DA6" w:rsidP="00585E48">
            <w:pPr>
              <w:pStyle w:val="TableRowCentered"/>
              <w:ind w:left="0"/>
              <w:jc w:val="left"/>
              <w:rPr>
                <w:color w:val="0D0D0D" w:themeColor="text1" w:themeTint="F2"/>
                <w:sz w:val="22"/>
                <w:szCs w:val="22"/>
              </w:rPr>
            </w:pPr>
            <w:r w:rsidRPr="00032AF0">
              <w:rPr>
                <w:color w:val="0D0D0D" w:themeColor="text1" w:themeTint="F2"/>
                <w:sz w:val="22"/>
                <w:szCs w:val="22"/>
              </w:rPr>
              <w:t>Wider triangulation of data, evidence in books and pupil voice indicate that the education and well-being of many of our disadvantaged children continue</w:t>
            </w:r>
            <w:r w:rsidR="008A7303">
              <w:rPr>
                <w:color w:val="0D0D0D" w:themeColor="text1" w:themeTint="F2"/>
                <w:sz w:val="22"/>
                <w:szCs w:val="22"/>
              </w:rPr>
              <w:t>s</w:t>
            </w:r>
            <w:r w:rsidRPr="00032AF0">
              <w:rPr>
                <w:color w:val="0D0D0D" w:themeColor="text1" w:themeTint="F2"/>
                <w:sz w:val="22"/>
                <w:szCs w:val="22"/>
              </w:rPr>
              <w:t xml:space="preserve"> to be impacted to a greater extent by school closures during the pandemic. These findings are supported by national studies. </w:t>
            </w:r>
          </w:p>
          <w:p w14:paraId="2A7D54FA" w14:textId="2E502305" w:rsidR="00457DA6" w:rsidRDefault="00457DA6" w:rsidP="00457DA6">
            <w:pPr>
              <w:pStyle w:val="TableRowCentered"/>
              <w:ind w:left="0" w:right="0"/>
              <w:jc w:val="left"/>
              <w:rPr>
                <w:iCs/>
                <w:sz w:val="22"/>
              </w:rPr>
            </w:pPr>
            <w:r w:rsidRPr="00032AF0">
              <w:rPr>
                <w:color w:val="0D0D0D" w:themeColor="text1" w:themeTint="F2"/>
                <w:sz w:val="22"/>
                <w:szCs w:val="22"/>
              </w:rPr>
              <w:t>As a result, these children, who are now upper Key Stage 2, have significant ga</w:t>
            </w:r>
            <w:r>
              <w:rPr>
                <w:color w:val="0D0D0D" w:themeColor="text1" w:themeTint="F2"/>
                <w:sz w:val="22"/>
                <w:szCs w:val="22"/>
              </w:rPr>
              <w:t>ps</w:t>
            </w:r>
            <w:r w:rsidRPr="00032AF0">
              <w:rPr>
                <w:color w:val="0D0D0D" w:themeColor="text1" w:themeTint="F2"/>
                <w:sz w:val="22"/>
                <w:szCs w:val="22"/>
              </w:rPr>
              <w:t xml:space="preserve"> and have fallen </w:t>
            </w:r>
            <w:r w:rsidR="008A7303">
              <w:rPr>
                <w:color w:val="0D0D0D" w:themeColor="text1" w:themeTint="F2"/>
                <w:sz w:val="22"/>
                <w:szCs w:val="22"/>
              </w:rPr>
              <w:t>further behind their</w:t>
            </w:r>
            <w:r w:rsidRPr="00032AF0">
              <w:rPr>
                <w:color w:val="0D0D0D" w:themeColor="text1" w:themeTint="F2"/>
                <w:sz w:val="22"/>
                <w:szCs w:val="22"/>
              </w:rPr>
              <w:t xml:space="preserve"> non-disadvantaged peers</w:t>
            </w:r>
            <w:r w:rsidR="00CD2C3C">
              <w:rPr>
                <w:sz w:val="22"/>
                <w:szCs w:val="22"/>
              </w:rPr>
              <w:t xml:space="preserve">. </w:t>
            </w:r>
            <w:r>
              <w:rPr>
                <w:sz w:val="22"/>
                <w:szCs w:val="22"/>
              </w:rPr>
              <w:t xml:space="preserve">This indicates that children from disadvantaged backgrounds are more likely to have gaps in their basic </w:t>
            </w:r>
            <w:r w:rsidR="00CD2C3C">
              <w:rPr>
                <w:sz w:val="22"/>
                <w:szCs w:val="22"/>
              </w:rPr>
              <w:t>foundational knowledge</w:t>
            </w:r>
            <w:r>
              <w:rPr>
                <w:sz w:val="22"/>
                <w:szCs w:val="22"/>
              </w:rPr>
              <w:t xml:space="preserve"> and fluency</w:t>
            </w:r>
            <w:r w:rsidR="00CD2C3C">
              <w:rPr>
                <w:sz w:val="22"/>
                <w:szCs w:val="22"/>
              </w:rPr>
              <w:t xml:space="preserve">. </w:t>
            </w:r>
          </w:p>
        </w:tc>
      </w:tr>
      <w:tr w:rsidR="00457DA6"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BFAFC20" w:rsidR="00457DA6" w:rsidRDefault="00457DA6" w:rsidP="00457DA6">
            <w:pPr>
              <w:pStyle w:val="TableRow"/>
              <w:ind w:left="0" w:right="0"/>
              <w:rPr>
                <w:sz w:val="22"/>
                <w:szCs w:val="22"/>
              </w:rPr>
            </w:pPr>
            <w:r w:rsidRPr="2C7DA403">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1152" w14:textId="77777777" w:rsidR="00457DA6" w:rsidRDefault="00457DA6" w:rsidP="00D471F0">
            <w:pPr>
              <w:pStyle w:val="TableRowCentered"/>
              <w:ind w:left="0"/>
              <w:jc w:val="left"/>
              <w:rPr>
                <w:rFonts w:eastAsia="Arial" w:cs="Arial"/>
                <w:color w:val="0D0D0D" w:themeColor="text1" w:themeTint="F2"/>
                <w:sz w:val="22"/>
                <w:szCs w:val="22"/>
              </w:rPr>
            </w:pPr>
            <w:r w:rsidRPr="02464C7D">
              <w:rPr>
                <w:rFonts w:eastAsia="Arial" w:cs="Arial"/>
                <w:color w:val="000000" w:themeColor="text1"/>
                <w:sz w:val="22"/>
                <w:szCs w:val="22"/>
              </w:rPr>
              <w:t>Our assessments</w:t>
            </w:r>
            <w:r>
              <w:rPr>
                <w:rFonts w:eastAsia="Arial" w:cs="Arial"/>
                <w:color w:val="000000" w:themeColor="text1"/>
                <w:sz w:val="22"/>
                <w:szCs w:val="22"/>
              </w:rPr>
              <w:t>,</w:t>
            </w:r>
            <w:r w:rsidRPr="02464C7D">
              <w:rPr>
                <w:rFonts w:eastAsia="Arial" w:cs="Arial"/>
                <w:color w:val="000000" w:themeColor="text1"/>
                <w:sz w:val="22"/>
                <w:szCs w:val="22"/>
              </w:rPr>
              <w:t xml:space="preserve"> observations and discussions with pupils and families have identified social and emotional issues for many pupils, notably</w:t>
            </w:r>
            <w:r>
              <w:rPr>
                <w:rFonts w:eastAsia="Arial" w:cs="Arial"/>
                <w:color w:val="000000" w:themeColor="text1"/>
                <w:sz w:val="22"/>
                <w:szCs w:val="22"/>
              </w:rPr>
              <w:t xml:space="preserve"> a </w:t>
            </w:r>
            <w:r w:rsidRPr="02464C7D">
              <w:rPr>
                <w:rFonts w:eastAsia="Arial" w:cs="Arial"/>
                <w:color w:val="000000" w:themeColor="text1"/>
                <w:sz w:val="22"/>
                <w:szCs w:val="22"/>
              </w:rPr>
              <w:t>lack of enrichment opportunities</w:t>
            </w:r>
            <w:r>
              <w:rPr>
                <w:rFonts w:eastAsia="Arial" w:cs="Arial"/>
                <w:color w:val="000000" w:themeColor="text1"/>
                <w:sz w:val="22"/>
                <w:szCs w:val="22"/>
              </w:rPr>
              <w:t>.</w:t>
            </w:r>
            <w:r w:rsidRPr="02464C7D">
              <w:rPr>
                <w:rFonts w:eastAsia="Arial" w:cs="Arial"/>
                <w:color w:val="000000" w:themeColor="text1"/>
                <w:sz w:val="22"/>
                <w:szCs w:val="22"/>
              </w:rPr>
              <w:t xml:space="preserve"> These challenges particularly affect disadvantaged pupils, including their </w:t>
            </w:r>
            <w:r>
              <w:rPr>
                <w:rFonts w:eastAsia="Arial" w:cs="Arial"/>
                <w:color w:val="000000" w:themeColor="text1"/>
                <w:sz w:val="22"/>
                <w:szCs w:val="22"/>
              </w:rPr>
              <w:t xml:space="preserve">progress and </w:t>
            </w:r>
            <w:r w:rsidRPr="02464C7D">
              <w:rPr>
                <w:rFonts w:eastAsia="Arial" w:cs="Arial"/>
                <w:color w:val="000000" w:themeColor="text1"/>
                <w:sz w:val="22"/>
                <w:szCs w:val="22"/>
              </w:rPr>
              <w:t xml:space="preserve">attainment. </w:t>
            </w:r>
          </w:p>
          <w:p w14:paraId="2A7D54FD" w14:textId="229E69FC" w:rsidR="00457DA6" w:rsidRDefault="00457DA6" w:rsidP="00457DA6">
            <w:pPr>
              <w:pStyle w:val="TableRowCentered"/>
              <w:ind w:left="0" w:right="0"/>
              <w:jc w:val="left"/>
              <w:rPr>
                <w:iCs/>
                <w:sz w:val="22"/>
              </w:rPr>
            </w:pPr>
            <w:r>
              <w:rPr>
                <w:rFonts w:eastAsia="Arial" w:cs="Arial"/>
                <w:color w:val="000000" w:themeColor="text1"/>
                <w:sz w:val="22"/>
                <w:szCs w:val="22"/>
              </w:rPr>
              <w:t xml:space="preserve">Teacher referrals for support and requests from families for help from our Family Support Worker are high and increasing term-on-term due to the ongoing national cost of living crisis. </w:t>
            </w:r>
            <w:r w:rsidR="0023374F">
              <w:rPr>
                <w:rFonts w:eastAsia="Arial" w:cs="Arial"/>
                <w:color w:val="000000" w:themeColor="text1"/>
                <w:sz w:val="22"/>
                <w:szCs w:val="22"/>
              </w:rPr>
              <w:t xml:space="preserve">This is further highlighted by a significant increase in </w:t>
            </w:r>
            <w:r w:rsidR="00CD2C3C">
              <w:rPr>
                <w:rFonts w:eastAsia="Arial" w:cs="Arial"/>
                <w:color w:val="000000" w:themeColor="text1"/>
                <w:sz w:val="22"/>
                <w:szCs w:val="22"/>
              </w:rPr>
              <w:t xml:space="preserve">safeguarding concerns and reports. </w:t>
            </w:r>
          </w:p>
        </w:tc>
      </w:tr>
      <w:tr w:rsidR="0023374F" w14:paraId="104C036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D49A" w14:textId="7BE68E8E" w:rsidR="0023374F" w:rsidRPr="2C7DA403" w:rsidRDefault="0023374F" w:rsidP="00457DA6">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3E28" w14:textId="77777777" w:rsidR="00504DD9" w:rsidRDefault="00EA1862" w:rsidP="00504DD9">
            <w:pPr>
              <w:pStyle w:val="TableRowCentered"/>
              <w:ind w:left="0"/>
              <w:jc w:val="left"/>
              <w:rPr>
                <w:rFonts w:eastAsia="Arial" w:cs="Arial"/>
                <w:color w:val="000000" w:themeColor="text1"/>
                <w:sz w:val="22"/>
                <w:szCs w:val="22"/>
              </w:rPr>
            </w:pPr>
            <w:r w:rsidRPr="00EA1862">
              <w:rPr>
                <w:rFonts w:eastAsia="Arial" w:cs="Arial"/>
                <w:color w:val="000000" w:themeColor="text1"/>
                <w:sz w:val="22"/>
                <w:szCs w:val="22"/>
              </w:rPr>
              <w:t xml:space="preserve">Our attendance data </w:t>
            </w:r>
            <w:r>
              <w:rPr>
                <w:rFonts w:eastAsia="Arial" w:cs="Arial"/>
                <w:color w:val="000000" w:themeColor="text1"/>
                <w:sz w:val="22"/>
                <w:szCs w:val="22"/>
              </w:rPr>
              <w:t>last academic year</w:t>
            </w:r>
            <w:r w:rsidRPr="00EA1862">
              <w:rPr>
                <w:rFonts w:eastAsia="Arial" w:cs="Arial"/>
                <w:color w:val="000000" w:themeColor="text1"/>
                <w:sz w:val="22"/>
                <w:szCs w:val="22"/>
              </w:rPr>
              <w:t xml:space="preserve"> indicates </w:t>
            </w:r>
            <w:r w:rsidR="00AD172A">
              <w:rPr>
                <w:rFonts w:eastAsia="Arial" w:cs="Arial"/>
                <w:color w:val="000000" w:themeColor="text1"/>
                <w:sz w:val="22"/>
                <w:szCs w:val="22"/>
              </w:rPr>
              <w:t>lower</w:t>
            </w:r>
            <w:r w:rsidRPr="00EA1862">
              <w:rPr>
                <w:rFonts w:eastAsia="Arial" w:cs="Arial"/>
                <w:color w:val="000000" w:themeColor="text1"/>
                <w:sz w:val="22"/>
                <w:szCs w:val="22"/>
              </w:rPr>
              <w:t xml:space="preserve"> attendance among disadvantaged pupils </w:t>
            </w:r>
            <w:r w:rsidR="00AD172A">
              <w:rPr>
                <w:rFonts w:eastAsia="Arial" w:cs="Arial"/>
                <w:color w:val="000000" w:themeColor="text1"/>
                <w:sz w:val="22"/>
                <w:szCs w:val="22"/>
              </w:rPr>
              <w:t xml:space="preserve">(88% and 93.3% academic year 2023 / 2024). </w:t>
            </w:r>
          </w:p>
          <w:p w14:paraId="3B6AEE7D" w14:textId="4F842E6C" w:rsidR="00EA1862" w:rsidRPr="02464C7D" w:rsidRDefault="00AD172A" w:rsidP="00504DD9">
            <w:pPr>
              <w:pStyle w:val="TableRowCentered"/>
              <w:ind w:left="0"/>
              <w:jc w:val="left"/>
              <w:rPr>
                <w:rFonts w:eastAsia="Arial" w:cs="Arial"/>
                <w:color w:val="000000" w:themeColor="text1"/>
                <w:sz w:val="22"/>
                <w:szCs w:val="22"/>
              </w:rPr>
            </w:pPr>
            <w:r>
              <w:rPr>
                <w:rFonts w:eastAsia="Arial" w:cs="Arial"/>
                <w:color w:val="000000" w:themeColor="text1"/>
                <w:sz w:val="22"/>
                <w:szCs w:val="22"/>
              </w:rPr>
              <w:t>This is most noticeable among persistent absentees where a significantly higher proportion are disadvantaged (29%)</w:t>
            </w:r>
            <w:r w:rsidR="00504DD9">
              <w:rPr>
                <w:rFonts w:eastAsia="Arial" w:cs="Arial"/>
                <w:color w:val="000000" w:themeColor="text1"/>
                <w:sz w:val="22"/>
                <w:szCs w:val="22"/>
              </w:rPr>
              <w:t xml:space="preserve"> when compared to non-disadvantaged children (18.2%). Furthermore, male disadvantaged pupils (35%) are more likely to be persistently absent from school when compared to disadvantaged girls (22%). </w:t>
            </w:r>
          </w:p>
        </w:tc>
      </w:tr>
    </w:tbl>
    <w:p w14:paraId="2A7D54FF" w14:textId="77777777" w:rsidR="00E66558" w:rsidRDefault="009D71E8">
      <w:pPr>
        <w:pStyle w:val="Heading2"/>
        <w:spacing w:before="600"/>
      </w:pPr>
      <w:bookmarkStart w:id="18" w:name="_Toc443397160"/>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846A6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CE6CF88" w:rsidR="00846A6F" w:rsidRDefault="00846A6F" w:rsidP="00846A6F">
            <w:pPr>
              <w:pStyle w:val="TableRow"/>
              <w:ind w:left="0" w:right="0"/>
            </w:pPr>
            <w:r w:rsidRPr="00854D0E">
              <w:rPr>
                <w:sz w:val="22"/>
                <w:szCs w:val="22"/>
              </w:rPr>
              <w:t>To improve the oral language skills and vocabulary of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DB45991" w:rsidR="00846A6F" w:rsidRDefault="00846A6F" w:rsidP="00846A6F">
            <w:pPr>
              <w:pStyle w:val="TableRowCentered"/>
              <w:ind w:left="0" w:right="0"/>
              <w:jc w:val="left"/>
              <w:rPr>
                <w:sz w:val="22"/>
                <w:szCs w:val="22"/>
              </w:rPr>
            </w:pPr>
            <w:r w:rsidRPr="00854D0E">
              <w:rPr>
                <w:sz w:val="22"/>
                <w:szCs w:val="22"/>
              </w:rPr>
              <w:t>Assessments and observations will indicate significantly improved oral language skills among disadvantaged pupils. This is evident when triangulated with other sources of evidence, including engagement in lessons, book scrutiny and ongoing formative assessment.</w:t>
            </w:r>
          </w:p>
        </w:tc>
      </w:tr>
      <w:tr w:rsidR="00846A6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DC40" w14:textId="77777777" w:rsidR="00846A6F" w:rsidRPr="00854D0E" w:rsidRDefault="00846A6F" w:rsidP="00846A6F">
            <w:pPr>
              <w:pStyle w:val="TableRow"/>
              <w:rPr>
                <w:sz w:val="22"/>
                <w:szCs w:val="22"/>
              </w:rPr>
            </w:pPr>
            <w:r w:rsidRPr="00854D0E">
              <w:rPr>
                <w:sz w:val="22"/>
                <w:szCs w:val="22"/>
              </w:rPr>
              <w:t>To raise the attainment of disadvantaged children in maths so it is in line with their non-disadvantaged peers.</w:t>
            </w:r>
          </w:p>
          <w:p w14:paraId="05FA7585" w14:textId="77777777" w:rsidR="00846A6F" w:rsidRPr="00854D0E" w:rsidRDefault="00846A6F" w:rsidP="00846A6F">
            <w:pPr>
              <w:pStyle w:val="TableRow"/>
              <w:rPr>
                <w:sz w:val="22"/>
                <w:szCs w:val="22"/>
              </w:rPr>
            </w:pPr>
          </w:p>
          <w:p w14:paraId="747B22F0" w14:textId="77777777" w:rsidR="00846A6F" w:rsidRPr="00854D0E" w:rsidRDefault="00846A6F" w:rsidP="00846A6F">
            <w:pPr>
              <w:pStyle w:val="TableRow"/>
              <w:rPr>
                <w:sz w:val="22"/>
                <w:szCs w:val="22"/>
              </w:rPr>
            </w:pPr>
          </w:p>
          <w:p w14:paraId="32F85729" w14:textId="77777777" w:rsidR="00846A6F" w:rsidRPr="00854D0E" w:rsidRDefault="00846A6F" w:rsidP="00846A6F">
            <w:pPr>
              <w:pStyle w:val="TableRow"/>
              <w:rPr>
                <w:sz w:val="22"/>
                <w:szCs w:val="22"/>
              </w:rPr>
            </w:pPr>
          </w:p>
          <w:p w14:paraId="7C34910A" w14:textId="77777777" w:rsidR="00846A6F" w:rsidRPr="00854D0E" w:rsidRDefault="00846A6F" w:rsidP="00846A6F">
            <w:pPr>
              <w:pStyle w:val="TableRow"/>
              <w:rPr>
                <w:sz w:val="22"/>
                <w:szCs w:val="22"/>
              </w:rPr>
            </w:pPr>
          </w:p>
          <w:p w14:paraId="07AD21F9" w14:textId="77777777" w:rsidR="00846A6F" w:rsidRPr="00854D0E" w:rsidRDefault="00846A6F" w:rsidP="00846A6F">
            <w:pPr>
              <w:pStyle w:val="TableRow"/>
              <w:rPr>
                <w:sz w:val="22"/>
                <w:szCs w:val="22"/>
              </w:rPr>
            </w:pPr>
          </w:p>
          <w:p w14:paraId="2A7D5507" w14:textId="2A2CFFA6" w:rsidR="00846A6F" w:rsidRDefault="00846A6F" w:rsidP="00745984">
            <w:pPr>
              <w:pStyle w:val="TableRow"/>
              <w:rPr>
                <w:sz w:val="22"/>
                <w:szCs w:val="22"/>
              </w:rPr>
            </w:pPr>
            <w:r w:rsidRPr="00854D0E">
              <w:rPr>
                <w:sz w:val="22"/>
                <w:szCs w:val="22"/>
              </w:rPr>
              <w:t>To increase the fluency and recall of key additive and multiplicative facts of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4847E" w14:textId="77777777" w:rsidR="00846A6F" w:rsidRPr="00854D0E" w:rsidRDefault="00846A6F" w:rsidP="00846A6F">
            <w:pPr>
              <w:spacing w:line="240" w:lineRule="auto"/>
              <w:rPr>
                <w:sz w:val="22"/>
                <w:szCs w:val="22"/>
              </w:rPr>
            </w:pPr>
            <w:r w:rsidRPr="00854D0E">
              <w:rPr>
                <w:sz w:val="22"/>
                <w:szCs w:val="22"/>
              </w:rPr>
              <w:t>An increase in disadvantaged children who are on track in maths by the end of KS1 and KS2, so this is broadly in line with their non-disadvantaged peers and national expectations. One barrier to this is fluency and recall of key facts and skills.</w:t>
            </w:r>
          </w:p>
          <w:p w14:paraId="2A7D5508" w14:textId="6F46175A" w:rsidR="00846A6F" w:rsidRDefault="00846A6F" w:rsidP="00846A6F">
            <w:pPr>
              <w:pStyle w:val="TableRowCentered"/>
              <w:ind w:left="0" w:right="0"/>
              <w:jc w:val="left"/>
              <w:rPr>
                <w:sz w:val="22"/>
                <w:szCs w:val="22"/>
              </w:rPr>
            </w:pPr>
            <w:r w:rsidRPr="00854D0E">
              <w:rPr>
                <w:sz w:val="22"/>
                <w:szCs w:val="22"/>
              </w:rPr>
              <w:t xml:space="preserve">Wider triangulation of summative and formative assessment will show an increase in recall and fluency of key facts and skills for </w:t>
            </w:r>
            <w:r w:rsidR="00403E63">
              <w:rPr>
                <w:sz w:val="22"/>
                <w:szCs w:val="22"/>
              </w:rPr>
              <w:t>all</w:t>
            </w:r>
            <w:r w:rsidRPr="00854D0E">
              <w:rPr>
                <w:sz w:val="22"/>
                <w:szCs w:val="22"/>
              </w:rPr>
              <w:t xml:space="preserve"> children. Multiplication Check outcomes for disadvantaged children in year 4 will be broadly in line with national expectations.</w:t>
            </w:r>
          </w:p>
        </w:tc>
      </w:tr>
      <w:tr w:rsidR="00846A6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CFEA74F" w:rsidR="00846A6F" w:rsidRDefault="00846A6F" w:rsidP="00846A6F">
            <w:pPr>
              <w:pStyle w:val="TableRow"/>
              <w:ind w:left="0" w:right="0"/>
              <w:rPr>
                <w:sz w:val="22"/>
                <w:szCs w:val="22"/>
              </w:rPr>
            </w:pPr>
            <w:r w:rsidRPr="00596EE0">
              <w:rPr>
                <w:sz w:val="22"/>
                <w:szCs w:val="22"/>
              </w:rPr>
              <w:t xml:space="preserve">To raise the attainment of </w:t>
            </w:r>
            <w:r>
              <w:rPr>
                <w:sz w:val="22"/>
                <w:szCs w:val="22"/>
              </w:rPr>
              <w:t>disadvantaged</w:t>
            </w:r>
            <w:r w:rsidRPr="00596EE0">
              <w:rPr>
                <w:sz w:val="22"/>
                <w:szCs w:val="22"/>
              </w:rPr>
              <w:t xml:space="preserve"> children in 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686E" w14:textId="77777777" w:rsidR="00846A6F" w:rsidRDefault="00846A6F" w:rsidP="00846A6F">
            <w:pPr>
              <w:spacing w:line="240" w:lineRule="auto"/>
              <w:rPr>
                <w:sz w:val="22"/>
                <w:szCs w:val="22"/>
              </w:rPr>
            </w:pPr>
            <w:r w:rsidRPr="00596EE0">
              <w:rPr>
                <w:sz w:val="22"/>
                <w:szCs w:val="22"/>
              </w:rPr>
              <w:t xml:space="preserve">An increase in </w:t>
            </w:r>
            <w:r>
              <w:rPr>
                <w:sz w:val="22"/>
                <w:szCs w:val="22"/>
              </w:rPr>
              <w:t>disadvantaged</w:t>
            </w:r>
            <w:r w:rsidRPr="00596EE0">
              <w:rPr>
                <w:sz w:val="22"/>
                <w:szCs w:val="22"/>
              </w:rPr>
              <w:t xml:space="preserve"> children who are on track in reading by the end of KS1 and KS2, so this is broadly in line with national expectations</w:t>
            </w:r>
            <w:r>
              <w:rPr>
                <w:sz w:val="22"/>
                <w:szCs w:val="22"/>
              </w:rPr>
              <w:t>.</w:t>
            </w:r>
          </w:p>
          <w:p w14:paraId="2A7D550B" w14:textId="4D63F8A3" w:rsidR="00846A6F" w:rsidRDefault="00846A6F" w:rsidP="00846A6F">
            <w:pPr>
              <w:pStyle w:val="TableRowCentered"/>
              <w:ind w:left="0" w:right="0"/>
              <w:jc w:val="left"/>
              <w:rPr>
                <w:sz w:val="22"/>
                <w:szCs w:val="22"/>
              </w:rPr>
            </w:pPr>
            <w:r>
              <w:rPr>
                <w:sz w:val="22"/>
                <w:szCs w:val="22"/>
              </w:rPr>
              <w:t>Love of reading / engagement</w:t>
            </w:r>
            <w:r w:rsidRPr="00596EE0">
              <w:rPr>
                <w:sz w:val="22"/>
                <w:szCs w:val="22"/>
              </w:rPr>
              <w:t xml:space="preserve"> </w:t>
            </w:r>
          </w:p>
        </w:tc>
      </w:tr>
      <w:tr w:rsidR="00846A6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F46534B" w:rsidR="00846A6F" w:rsidRDefault="00846A6F" w:rsidP="00846A6F">
            <w:pPr>
              <w:pStyle w:val="TableRow"/>
              <w:ind w:left="0" w:right="0"/>
              <w:rPr>
                <w:sz w:val="22"/>
                <w:szCs w:val="22"/>
              </w:rPr>
            </w:pPr>
            <w:r w:rsidRPr="00137513">
              <w:rPr>
                <w:sz w:val="22"/>
                <w:szCs w:val="22"/>
              </w:rPr>
              <w:t xml:space="preserve">To raise the attainment of </w:t>
            </w:r>
            <w:r>
              <w:rPr>
                <w:sz w:val="22"/>
                <w:szCs w:val="22"/>
              </w:rPr>
              <w:t>disadvantaged</w:t>
            </w:r>
            <w:r w:rsidRPr="00137513">
              <w:rPr>
                <w:sz w:val="22"/>
                <w:szCs w:val="22"/>
              </w:rPr>
              <w:t xml:space="preserve"> children in writing through a three-phase approach.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7F63073" w:rsidR="00846A6F" w:rsidRDefault="00846A6F" w:rsidP="00846A6F">
            <w:pPr>
              <w:pStyle w:val="TableRowCentered"/>
              <w:ind w:left="0" w:right="0"/>
              <w:jc w:val="left"/>
              <w:rPr>
                <w:sz w:val="22"/>
                <w:szCs w:val="22"/>
              </w:rPr>
            </w:pPr>
            <w:r>
              <w:rPr>
                <w:sz w:val="22"/>
                <w:szCs w:val="22"/>
              </w:rPr>
              <w:t xml:space="preserve">An increase in writing attainment for all pupils so outcomes at KS1 &amp; KS2 are broadly in line with national expectations for both disadvantaged and non-disadvantaged pupils. This will be evidenced in pupil books where </w:t>
            </w:r>
            <w:r w:rsidRPr="00137513">
              <w:rPr>
                <w:sz w:val="22"/>
                <w:szCs w:val="22"/>
              </w:rPr>
              <w:t xml:space="preserve">taught skills and non-negotiable expectations around presentation, </w:t>
            </w:r>
            <w:r>
              <w:rPr>
                <w:sz w:val="22"/>
                <w:szCs w:val="22"/>
              </w:rPr>
              <w:t xml:space="preserve">basic </w:t>
            </w:r>
            <w:r w:rsidRPr="00137513">
              <w:rPr>
                <w:sz w:val="22"/>
                <w:szCs w:val="22"/>
              </w:rPr>
              <w:t>punctuation and editing</w:t>
            </w:r>
            <w:r>
              <w:rPr>
                <w:sz w:val="22"/>
                <w:szCs w:val="22"/>
              </w:rPr>
              <w:t xml:space="preserve"> are consistent across year groups and key stages</w:t>
            </w:r>
            <w:r w:rsidRPr="00137513">
              <w:rPr>
                <w:sz w:val="22"/>
                <w:szCs w:val="22"/>
              </w:rPr>
              <w:t>.</w:t>
            </w:r>
          </w:p>
        </w:tc>
      </w:tr>
      <w:tr w:rsidR="00846A6F" w14:paraId="7A7AFB7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79D0A" w14:textId="5AAD7B33" w:rsidR="00846A6F" w:rsidRDefault="00846A6F" w:rsidP="00846A6F">
            <w:pPr>
              <w:pStyle w:val="TableRow"/>
              <w:ind w:left="0" w:right="0"/>
              <w:rPr>
                <w:sz w:val="22"/>
                <w:szCs w:val="22"/>
              </w:rPr>
            </w:pPr>
            <w:r w:rsidRPr="007B6979">
              <w:rPr>
                <w:sz w:val="22"/>
                <w:szCs w:val="22"/>
              </w:rPr>
              <w:t xml:space="preserve">To </w:t>
            </w:r>
            <w:r>
              <w:rPr>
                <w:sz w:val="22"/>
                <w:szCs w:val="22"/>
              </w:rPr>
              <w:t>adapt the wider curriculum to support disadvantaged</w:t>
            </w:r>
            <w:r w:rsidRPr="007B6979">
              <w:rPr>
                <w:sz w:val="22"/>
                <w:szCs w:val="22"/>
              </w:rPr>
              <w:t xml:space="preserve"> </w:t>
            </w:r>
            <w:r>
              <w:rPr>
                <w:sz w:val="22"/>
                <w:szCs w:val="22"/>
              </w:rPr>
              <w:t>children</w:t>
            </w:r>
            <w:r w:rsidRPr="007B6979">
              <w:rPr>
                <w:sz w:val="22"/>
                <w:szCs w:val="22"/>
              </w:rPr>
              <w:t xml:space="preserve"> and their families with mental, emotional and physical health concerns.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420C" w14:textId="77777777" w:rsidR="00846A6F" w:rsidRPr="007B6979" w:rsidRDefault="00846A6F" w:rsidP="00846A6F">
            <w:pPr>
              <w:spacing w:line="240" w:lineRule="auto"/>
              <w:rPr>
                <w:sz w:val="22"/>
                <w:szCs w:val="22"/>
              </w:rPr>
            </w:pPr>
            <w:r w:rsidRPr="007B6979">
              <w:rPr>
                <w:sz w:val="22"/>
                <w:szCs w:val="22"/>
              </w:rPr>
              <w:t xml:space="preserve">Disadvantaged pupils can explain how they are supported to achieve at school. </w:t>
            </w:r>
          </w:p>
          <w:p w14:paraId="3B605A75" w14:textId="0A5E9D21" w:rsidR="00846A6F" w:rsidRDefault="00846A6F" w:rsidP="00846A6F">
            <w:pPr>
              <w:pStyle w:val="TableRowCentered"/>
              <w:ind w:left="0" w:right="0"/>
              <w:jc w:val="left"/>
              <w:rPr>
                <w:sz w:val="22"/>
                <w:szCs w:val="22"/>
              </w:rPr>
            </w:pPr>
            <w:r w:rsidRPr="007B6979">
              <w:rPr>
                <w:sz w:val="22"/>
                <w:szCs w:val="22"/>
              </w:rPr>
              <w:t>Parents of disadvantaged children give positive feedback on how their children’s emotional and physical needs are met.</w:t>
            </w:r>
          </w:p>
        </w:tc>
      </w:tr>
      <w:tr w:rsidR="00846A6F" w14:paraId="720845F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F1DBF" w14:textId="6ABEBB80" w:rsidR="00846A6F" w:rsidRDefault="00846A6F" w:rsidP="00846A6F">
            <w:pPr>
              <w:pStyle w:val="TableRow"/>
              <w:ind w:left="0" w:right="0"/>
              <w:rPr>
                <w:sz w:val="22"/>
                <w:szCs w:val="22"/>
              </w:rPr>
            </w:pPr>
            <w:r w:rsidRPr="007B6979">
              <w:rPr>
                <w:sz w:val="22"/>
                <w:szCs w:val="22"/>
              </w:rPr>
              <w:t xml:space="preserve">To ensure that all </w:t>
            </w:r>
            <w:r>
              <w:rPr>
                <w:sz w:val="22"/>
                <w:szCs w:val="22"/>
              </w:rPr>
              <w:t>disadvantaged children</w:t>
            </w:r>
            <w:r w:rsidRPr="007B6979">
              <w:rPr>
                <w:sz w:val="22"/>
                <w:szCs w:val="22"/>
              </w:rPr>
              <w:t xml:space="preserve"> have access enriching and experiential </w:t>
            </w:r>
            <w:r>
              <w:rPr>
                <w:sz w:val="22"/>
                <w:szCs w:val="22"/>
              </w:rPr>
              <w:t xml:space="preserve">learning opportunities to </w:t>
            </w:r>
            <w:r w:rsidRPr="007B6979">
              <w:rPr>
                <w:sz w:val="22"/>
                <w:szCs w:val="22"/>
              </w:rPr>
              <w:t>increase</w:t>
            </w:r>
            <w:r>
              <w:rPr>
                <w:sz w:val="22"/>
                <w:szCs w:val="22"/>
              </w:rPr>
              <w:t xml:space="preserve"> their</w:t>
            </w:r>
            <w:r w:rsidRPr="007B6979">
              <w:rPr>
                <w:sz w:val="22"/>
                <w:szCs w:val="22"/>
              </w:rPr>
              <w:t xml:space="preserve"> cultural capital</w:t>
            </w:r>
            <w:r>
              <w:rPr>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0667" w14:textId="77777777" w:rsidR="00846A6F" w:rsidRPr="007B6979" w:rsidRDefault="00846A6F" w:rsidP="00846A6F">
            <w:pPr>
              <w:spacing w:line="240" w:lineRule="auto"/>
              <w:rPr>
                <w:sz w:val="22"/>
                <w:szCs w:val="22"/>
              </w:rPr>
            </w:pPr>
            <w:r w:rsidRPr="007B6979">
              <w:rPr>
                <w:sz w:val="22"/>
                <w:szCs w:val="22"/>
              </w:rPr>
              <w:t>Positive pupil voice on the curriculum offer they receive. Children speak highly of their experiences in schoo</w:t>
            </w:r>
            <w:r>
              <w:rPr>
                <w:sz w:val="22"/>
                <w:szCs w:val="22"/>
              </w:rPr>
              <w:t>l and how they have positively impacted their learning.</w:t>
            </w:r>
            <w:r w:rsidRPr="007B6979">
              <w:rPr>
                <w:sz w:val="22"/>
                <w:szCs w:val="22"/>
              </w:rPr>
              <w:t xml:space="preserve"> </w:t>
            </w:r>
          </w:p>
          <w:p w14:paraId="5EF4D7D1" w14:textId="5DFE5C48" w:rsidR="00846A6F" w:rsidRDefault="00846A6F" w:rsidP="00846A6F">
            <w:pPr>
              <w:pStyle w:val="TableRowCentered"/>
              <w:ind w:left="0" w:right="0"/>
              <w:jc w:val="left"/>
              <w:rPr>
                <w:sz w:val="22"/>
                <w:szCs w:val="22"/>
              </w:rPr>
            </w:pPr>
            <w:r w:rsidRPr="007B6979">
              <w:rPr>
                <w:sz w:val="22"/>
                <w:szCs w:val="22"/>
              </w:rPr>
              <w:lastRenderedPageBreak/>
              <w:t>Enrolment of pupil premium children onto extracurricular clubs</w:t>
            </w:r>
            <w:r>
              <w:rPr>
                <w:sz w:val="22"/>
                <w:szCs w:val="22"/>
              </w:rPr>
              <w:t xml:space="preserve"> and residential trips</w:t>
            </w:r>
            <w:r w:rsidRPr="007B6979">
              <w:rPr>
                <w:sz w:val="22"/>
                <w:szCs w:val="22"/>
              </w:rPr>
              <w:t xml:space="preserve"> increases.  </w:t>
            </w:r>
          </w:p>
        </w:tc>
      </w:tr>
      <w:tr w:rsidR="004B63C8" w14:paraId="09D4E63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BABF4" w14:textId="5C57E762" w:rsidR="004B63C8" w:rsidRDefault="004B63C8" w:rsidP="00846A6F">
            <w:pPr>
              <w:pStyle w:val="TableRow"/>
              <w:ind w:left="0" w:right="0"/>
              <w:rPr>
                <w:sz w:val="22"/>
                <w:szCs w:val="22"/>
              </w:rPr>
            </w:pPr>
            <w:r>
              <w:rPr>
                <w:sz w:val="22"/>
                <w:szCs w:val="22"/>
              </w:rPr>
              <w:lastRenderedPageBreak/>
              <w:t>To raise</w:t>
            </w:r>
            <w:r w:rsidR="008B4DAE">
              <w:rPr>
                <w:sz w:val="22"/>
                <w:szCs w:val="22"/>
              </w:rPr>
              <w:t xml:space="preserve"> and sustain</w:t>
            </w:r>
            <w:r>
              <w:rPr>
                <w:sz w:val="22"/>
                <w:szCs w:val="22"/>
              </w:rPr>
              <w:t xml:space="preserve"> </w:t>
            </w:r>
            <w:r w:rsidR="0004275B">
              <w:rPr>
                <w:sz w:val="22"/>
                <w:szCs w:val="22"/>
              </w:rPr>
              <w:t xml:space="preserve">attendance </w:t>
            </w:r>
            <w:r w:rsidR="008B4DAE">
              <w:rPr>
                <w:sz w:val="22"/>
                <w:szCs w:val="22"/>
              </w:rPr>
              <w:t>for a</w:t>
            </w:r>
            <w:r w:rsidR="00196E74">
              <w:rPr>
                <w:sz w:val="22"/>
                <w:szCs w:val="22"/>
              </w:rPr>
              <w:t>l</w:t>
            </w:r>
            <w:r w:rsidR="008B4DAE">
              <w:rPr>
                <w:sz w:val="22"/>
                <w:szCs w:val="22"/>
              </w:rPr>
              <w:t>l pupils</w:t>
            </w:r>
            <w:r w:rsidR="00BF2702">
              <w:rPr>
                <w:sz w:val="22"/>
                <w:szCs w:val="22"/>
              </w:rPr>
              <w:t>, particularly disadvantaged children.</w:t>
            </w:r>
          </w:p>
          <w:p w14:paraId="3C43454E" w14:textId="77A1685F" w:rsidR="0004275B" w:rsidRPr="007B6979" w:rsidRDefault="0004275B" w:rsidP="00846A6F">
            <w:pPr>
              <w:pStyle w:val="TableRow"/>
              <w:ind w:left="0" w:right="0"/>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4AD0" w14:textId="77777777" w:rsidR="00F20DE5" w:rsidRDefault="00030B13" w:rsidP="00846A6F">
            <w:pPr>
              <w:spacing w:line="240" w:lineRule="auto"/>
              <w:rPr>
                <w:sz w:val="22"/>
                <w:szCs w:val="22"/>
              </w:rPr>
            </w:pPr>
            <w:r>
              <w:rPr>
                <w:sz w:val="22"/>
                <w:szCs w:val="22"/>
              </w:rPr>
              <w:t xml:space="preserve">The attendance gap between disadvantage and non-disadvantaged children </w:t>
            </w:r>
            <w:r w:rsidR="00BC07BC">
              <w:rPr>
                <w:sz w:val="22"/>
                <w:szCs w:val="22"/>
              </w:rPr>
              <w:t xml:space="preserve">is reduced </w:t>
            </w:r>
            <w:r w:rsidR="00641758">
              <w:rPr>
                <w:sz w:val="22"/>
                <w:szCs w:val="22"/>
              </w:rPr>
              <w:t xml:space="preserve">so they are </w:t>
            </w:r>
            <w:r w:rsidR="00164209">
              <w:rPr>
                <w:sz w:val="22"/>
                <w:szCs w:val="22"/>
              </w:rPr>
              <w:t>broadly in line</w:t>
            </w:r>
            <w:r w:rsidR="00787EE5">
              <w:rPr>
                <w:sz w:val="22"/>
                <w:szCs w:val="22"/>
              </w:rPr>
              <w:t xml:space="preserve"> with eac</w:t>
            </w:r>
            <w:r w:rsidR="00164209">
              <w:rPr>
                <w:sz w:val="22"/>
                <w:szCs w:val="22"/>
              </w:rPr>
              <w:t xml:space="preserve">h other. </w:t>
            </w:r>
          </w:p>
          <w:p w14:paraId="7B859C0D" w14:textId="77777777" w:rsidR="00F20DE5" w:rsidRDefault="00164209" w:rsidP="00846A6F">
            <w:pPr>
              <w:spacing w:line="240" w:lineRule="auto"/>
              <w:rPr>
                <w:sz w:val="22"/>
                <w:szCs w:val="22"/>
              </w:rPr>
            </w:pPr>
            <w:r>
              <w:rPr>
                <w:sz w:val="22"/>
                <w:szCs w:val="22"/>
              </w:rPr>
              <w:t>The number of persistently absent</w:t>
            </w:r>
            <w:r w:rsidR="00BC07BC">
              <w:rPr>
                <w:sz w:val="22"/>
                <w:szCs w:val="22"/>
              </w:rPr>
              <w:t xml:space="preserve"> disadvantaged pupils to be reduced </w:t>
            </w:r>
            <w:r w:rsidR="00E0748B">
              <w:rPr>
                <w:sz w:val="22"/>
                <w:szCs w:val="22"/>
              </w:rPr>
              <w:t xml:space="preserve">to be </w:t>
            </w:r>
            <w:r w:rsidR="00032919">
              <w:rPr>
                <w:sz w:val="22"/>
                <w:szCs w:val="22"/>
              </w:rPr>
              <w:t>in line with national average.</w:t>
            </w:r>
            <w:r w:rsidR="00E0748B">
              <w:rPr>
                <w:sz w:val="22"/>
                <w:szCs w:val="22"/>
              </w:rPr>
              <w:t xml:space="preserve"> </w:t>
            </w:r>
            <w:r w:rsidR="00F20DE5">
              <w:rPr>
                <w:sz w:val="22"/>
                <w:szCs w:val="22"/>
              </w:rPr>
              <w:t xml:space="preserve"> </w:t>
            </w:r>
          </w:p>
          <w:p w14:paraId="7BC68478" w14:textId="25A783F3" w:rsidR="00164209" w:rsidRPr="007B6979" w:rsidRDefault="00E0748B" w:rsidP="00846A6F">
            <w:pPr>
              <w:spacing w:line="240" w:lineRule="auto"/>
              <w:rPr>
                <w:sz w:val="22"/>
                <w:szCs w:val="22"/>
              </w:rPr>
            </w:pPr>
            <w:r>
              <w:rPr>
                <w:sz w:val="22"/>
                <w:szCs w:val="22"/>
              </w:rPr>
              <w:t xml:space="preserve">Persistent and severely absent disadvantaged boys </w:t>
            </w:r>
            <w:r w:rsidR="00966E22">
              <w:rPr>
                <w:sz w:val="22"/>
                <w:szCs w:val="22"/>
              </w:rPr>
              <w:t>to monitored closely and families supported so children meet SMART incr</w:t>
            </w:r>
            <w:r w:rsidR="00F20DE5">
              <w:rPr>
                <w:sz w:val="22"/>
                <w:szCs w:val="22"/>
              </w:rPr>
              <w:t>emental attendance targets.</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4260070" w:rsidR="00E66558" w:rsidRDefault="009D71E8">
      <w:r>
        <w:t xml:space="preserve">Budgeted cost: </w:t>
      </w:r>
      <w:r w:rsidR="00BF59CD">
        <w:t>£</w:t>
      </w:r>
      <w:r w:rsidR="00EA2DF2">
        <w:t>39</w:t>
      </w:r>
      <w:r w:rsidR="00E87B16">
        <w:t>,000</w:t>
      </w:r>
    </w:p>
    <w:tbl>
      <w:tblPr>
        <w:tblW w:w="5000" w:type="pct"/>
        <w:tblLayout w:type="fixed"/>
        <w:tblCellMar>
          <w:left w:w="10" w:type="dxa"/>
          <w:right w:w="10" w:type="dxa"/>
        </w:tblCellMar>
        <w:tblLook w:val="04A0" w:firstRow="1" w:lastRow="0" w:firstColumn="1" w:lastColumn="0" w:noHBand="0" w:noVBand="1"/>
      </w:tblPr>
      <w:tblGrid>
        <w:gridCol w:w="2689"/>
        <w:gridCol w:w="4252"/>
        <w:gridCol w:w="2545"/>
      </w:tblGrid>
      <w:tr w:rsidR="00E66558" w14:paraId="2A7D5519"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A17B29" w14:paraId="2A7D551D"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12DCACD" w:rsidR="00A17B29" w:rsidRDefault="00A17B29" w:rsidP="00A17B29">
            <w:pPr>
              <w:pStyle w:val="TableRow"/>
              <w:ind w:left="0" w:right="0"/>
            </w:pPr>
            <w:r>
              <w:rPr>
                <w:iCs/>
                <w:sz w:val="22"/>
                <w:szCs w:val="22"/>
              </w:rPr>
              <w:t>Embed</w:t>
            </w:r>
            <w:r w:rsidRPr="00F9001C">
              <w:rPr>
                <w:iCs/>
                <w:sz w:val="22"/>
                <w:szCs w:val="22"/>
              </w:rPr>
              <w:t xml:space="preserve"> mastery approach to the teaching of mathematics in line with DfE and EEF guidance. To include funding release time for CPP &amp; planning clinics with subject lead and maths specialist.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C927" w14:textId="77777777" w:rsidR="00A17B29" w:rsidRPr="00F9001C" w:rsidRDefault="00A17B29" w:rsidP="00A17B29">
            <w:pPr>
              <w:pStyle w:val="TableRowCentered"/>
              <w:jc w:val="left"/>
              <w:rPr>
                <w:sz w:val="22"/>
                <w:szCs w:val="22"/>
              </w:rPr>
            </w:pPr>
            <w:r w:rsidRPr="00F9001C">
              <w:rPr>
                <w:sz w:val="22"/>
                <w:szCs w:val="22"/>
              </w:rPr>
              <w:t>EEF teaching &amp; learning toolkit +5</w:t>
            </w:r>
          </w:p>
          <w:p w14:paraId="5C36BD3A" w14:textId="77777777" w:rsidR="00A17B29" w:rsidRPr="00F9001C" w:rsidRDefault="00A17B29" w:rsidP="00A17B29">
            <w:pPr>
              <w:pStyle w:val="TableRowCentered"/>
              <w:jc w:val="left"/>
              <w:rPr>
                <w:sz w:val="22"/>
                <w:szCs w:val="22"/>
              </w:rPr>
            </w:pPr>
            <w:r w:rsidRPr="00F9001C">
              <w:rPr>
                <w:sz w:val="22"/>
                <w:szCs w:val="22"/>
              </w:rPr>
              <w:t>Mastery Learning – high impact for very low cost.</w:t>
            </w:r>
          </w:p>
          <w:p w14:paraId="3B063A21" w14:textId="77777777" w:rsidR="00A17B29" w:rsidRPr="00F9001C" w:rsidRDefault="00A17B29" w:rsidP="00A17B29">
            <w:pPr>
              <w:pStyle w:val="TableRowCentered"/>
              <w:jc w:val="left"/>
              <w:rPr>
                <w:sz w:val="22"/>
                <w:szCs w:val="22"/>
              </w:rPr>
            </w:pPr>
          </w:p>
          <w:p w14:paraId="78F0D894" w14:textId="77777777" w:rsidR="00A17B29" w:rsidRPr="00F9001C" w:rsidRDefault="001A5436" w:rsidP="00A17B29">
            <w:pPr>
              <w:pStyle w:val="TableRowCentered"/>
              <w:jc w:val="left"/>
              <w:rPr>
                <w:sz w:val="22"/>
                <w:szCs w:val="22"/>
              </w:rPr>
            </w:pPr>
            <w:hyperlink r:id="rId18" w:history="1">
              <w:r w:rsidR="00A17B29" w:rsidRPr="00F9001C">
                <w:rPr>
                  <w:rStyle w:val="Hyperlink"/>
                  <w:sz w:val="22"/>
                  <w:szCs w:val="22"/>
                </w:rPr>
                <w:t>https://educationendowmentfoundation.org.uk/education-evidence/teaching-learning-toolkit/mastery-learning</w:t>
              </w:r>
            </w:hyperlink>
          </w:p>
          <w:p w14:paraId="4AB1A8BD" w14:textId="77777777" w:rsidR="00A17B29" w:rsidRPr="00F9001C" w:rsidRDefault="00A17B29" w:rsidP="00A17B29">
            <w:pPr>
              <w:pStyle w:val="TableRowCentered"/>
              <w:jc w:val="left"/>
              <w:rPr>
                <w:sz w:val="22"/>
                <w:szCs w:val="22"/>
              </w:rPr>
            </w:pPr>
          </w:p>
          <w:p w14:paraId="2A7D551B" w14:textId="1CA347FC" w:rsidR="00A17B29" w:rsidRDefault="001A5436" w:rsidP="00A17B29">
            <w:pPr>
              <w:pStyle w:val="TableRowCentered"/>
              <w:ind w:left="0" w:right="0"/>
              <w:jc w:val="left"/>
              <w:rPr>
                <w:sz w:val="22"/>
              </w:rPr>
            </w:pPr>
            <w:hyperlink r:id="rId19" w:history="1">
              <w:r w:rsidR="00A17B29" w:rsidRPr="00F9001C">
                <w:rPr>
                  <w:color w:val="0070C0"/>
                  <w:sz w:val="22"/>
                  <w:szCs w:val="22"/>
                  <w:u w:val="single"/>
                </w:rPr>
                <w:t>Maths_guidance_KS_1_and_2.pdf (publishing.service.gov.uk)</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78241F" w:rsidR="00A17B29" w:rsidRDefault="00A17B29" w:rsidP="00A17B29">
            <w:pPr>
              <w:pStyle w:val="TableRowCentered"/>
              <w:ind w:left="0" w:right="0"/>
              <w:jc w:val="left"/>
              <w:rPr>
                <w:sz w:val="22"/>
              </w:rPr>
            </w:pPr>
            <w:r w:rsidRPr="00403903">
              <w:rPr>
                <w:sz w:val="22"/>
                <w:szCs w:val="22"/>
              </w:rPr>
              <w:t>1,</w:t>
            </w:r>
            <w:r w:rsidR="00DF2220">
              <w:rPr>
                <w:sz w:val="22"/>
                <w:szCs w:val="22"/>
              </w:rPr>
              <w:t xml:space="preserve"> 2,</w:t>
            </w:r>
            <w:r w:rsidRPr="00403903">
              <w:rPr>
                <w:sz w:val="22"/>
                <w:szCs w:val="22"/>
              </w:rPr>
              <w:t xml:space="preserve"> </w:t>
            </w:r>
            <w:r w:rsidRPr="00DF2220">
              <w:rPr>
                <w:b/>
                <w:bCs/>
                <w:sz w:val="22"/>
                <w:szCs w:val="22"/>
              </w:rPr>
              <w:t>3</w:t>
            </w:r>
            <w:r w:rsidRPr="00403903">
              <w:rPr>
                <w:sz w:val="22"/>
                <w:szCs w:val="22"/>
              </w:rPr>
              <w:t xml:space="preserve"> &amp; 4</w:t>
            </w:r>
          </w:p>
        </w:tc>
      </w:tr>
      <w:tr w:rsidR="00A17B29" w14:paraId="2A7D5521"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A244E2E" w:rsidR="00A17B29" w:rsidRDefault="00A17B29" w:rsidP="00A17B29">
            <w:pPr>
              <w:pStyle w:val="TableRow"/>
              <w:ind w:left="0" w:right="0"/>
              <w:rPr>
                <w:i/>
                <w:sz w:val="22"/>
              </w:rPr>
            </w:pPr>
            <w:r>
              <w:rPr>
                <w:sz w:val="22"/>
                <w:szCs w:val="22"/>
              </w:rPr>
              <w:t xml:space="preserve">To adapt the school approach </w:t>
            </w:r>
            <w:r w:rsidRPr="00F9001C">
              <w:rPr>
                <w:sz w:val="22"/>
                <w:szCs w:val="22"/>
              </w:rPr>
              <w:t>to reading with a focus on early reading</w:t>
            </w:r>
            <w:r>
              <w:rPr>
                <w:sz w:val="22"/>
                <w:szCs w:val="22"/>
              </w:rPr>
              <w:t>, fluency and pupil / parent engagement</w:t>
            </w:r>
            <w:r w:rsidRPr="00F9001C">
              <w:rPr>
                <w:sz w:val="22"/>
                <w:szCs w:val="22"/>
              </w:rPr>
              <w:t>. To include</w:t>
            </w:r>
            <w:r w:rsidR="00636D39">
              <w:rPr>
                <w:sz w:val="22"/>
                <w:szCs w:val="22"/>
              </w:rPr>
              <w:t xml:space="preserve"> funding</w:t>
            </w:r>
            <w:r w:rsidR="00005CE3">
              <w:rPr>
                <w:sz w:val="22"/>
                <w:szCs w:val="22"/>
              </w:rPr>
              <w:t xml:space="preserve"> release time for</w:t>
            </w:r>
            <w:r w:rsidRPr="00F9001C">
              <w:rPr>
                <w:sz w:val="22"/>
                <w:szCs w:val="22"/>
              </w:rPr>
              <w:t xml:space="preserve"> CPD for teachers</w:t>
            </w:r>
            <w:r w:rsidR="00502A9D">
              <w:rPr>
                <w:sz w:val="22"/>
                <w:szCs w:val="22"/>
              </w:rPr>
              <w:t xml:space="preserve"> </w:t>
            </w:r>
            <w:r w:rsidR="00B13437">
              <w:rPr>
                <w:sz w:val="22"/>
                <w:szCs w:val="22"/>
              </w:rPr>
              <w:t>and</w:t>
            </w:r>
            <w:r w:rsidR="00502A9D">
              <w:rPr>
                <w:sz w:val="22"/>
                <w:szCs w:val="22"/>
              </w:rPr>
              <w:t xml:space="preserve"> subject lea</w:t>
            </w:r>
            <w:r w:rsidR="00720179">
              <w:rPr>
                <w:sz w:val="22"/>
                <w:szCs w:val="22"/>
              </w:rPr>
              <w:t>d</w:t>
            </w:r>
            <w:r w:rsidR="00B13437">
              <w:rPr>
                <w:sz w:val="22"/>
                <w:szCs w:val="22"/>
              </w:rPr>
              <w:t xml:space="preserve"> and</w:t>
            </w:r>
            <w:r w:rsidR="00720179">
              <w:rPr>
                <w:sz w:val="22"/>
                <w:szCs w:val="22"/>
              </w:rPr>
              <w:t xml:space="preserve"> </w:t>
            </w:r>
            <w:r w:rsidRPr="00F9001C">
              <w:rPr>
                <w:sz w:val="22"/>
                <w:szCs w:val="22"/>
              </w:rPr>
              <w:t>the purchase of age-appropriate texts</w:t>
            </w:r>
            <w:r w:rsidR="00720179">
              <w:rPr>
                <w:sz w:val="22"/>
                <w:szCs w:val="22"/>
              </w:rPr>
              <w:t xml:space="preserve"> </w:t>
            </w:r>
            <w:r w:rsidR="00B13437">
              <w:rPr>
                <w:sz w:val="22"/>
                <w:szCs w:val="22"/>
              </w:rPr>
              <w:t>to</w:t>
            </w:r>
            <w:r w:rsidR="007251DF">
              <w:rPr>
                <w:sz w:val="22"/>
                <w:szCs w:val="22"/>
              </w:rPr>
              <w:t xml:space="preserve"> help </w:t>
            </w:r>
            <w:r w:rsidR="007251DF">
              <w:rPr>
                <w:sz w:val="22"/>
                <w:szCs w:val="22"/>
              </w:rPr>
              <w:lastRenderedPageBreak/>
              <w:t>develop</w:t>
            </w:r>
            <w:r w:rsidR="00720179">
              <w:rPr>
                <w:sz w:val="22"/>
                <w:szCs w:val="22"/>
              </w:rPr>
              <w:t xml:space="preserve"> reading corners in every classroom.</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B6D3" w14:textId="77777777" w:rsidR="00A17B29" w:rsidRPr="00F9001C" w:rsidRDefault="00A17B29" w:rsidP="00A17B29">
            <w:pPr>
              <w:pStyle w:val="TableRowCentered"/>
              <w:jc w:val="left"/>
              <w:rPr>
                <w:sz w:val="22"/>
                <w:szCs w:val="22"/>
              </w:rPr>
            </w:pPr>
            <w:r w:rsidRPr="00F9001C">
              <w:rPr>
                <w:sz w:val="22"/>
                <w:szCs w:val="22"/>
              </w:rPr>
              <w:lastRenderedPageBreak/>
              <w:t>EEF teaching &amp; learning toolkit +6</w:t>
            </w:r>
          </w:p>
          <w:p w14:paraId="370C6723" w14:textId="77777777" w:rsidR="00A17B29" w:rsidRPr="00F9001C" w:rsidRDefault="00A17B29" w:rsidP="00A17B29">
            <w:pPr>
              <w:pStyle w:val="TableRowCentered"/>
              <w:jc w:val="left"/>
              <w:rPr>
                <w:sz w:val="22"/>
                <w:szCs w:val="22"/>
              </w:rPr>
            </w:pPr>
            <w:r w:rsidRPr="00F9001C">
              <w:rPr>
                <w:sz w:val="22"/>
                <w:szCs w:val="22"/>
              </w:rPr>
              <w:t>Reading comprehension strategies – very high impact for very low-cost base.</w:t>
            </w:r>
          </w:p>
          <w:p w14:paraId="71DD832D" w14:textId="77777777" w:rsidR="00A17B29" w:rsidRPr="00F9001C" w:rsidRDefault="00A17B29" w:rsidP="00A17B29">
            <w:pPr>
              <w:pStyle w:val="TableRowCentered"/>
              <w:jc w:val="left"/>
              <w:rPr>
                <w:sz w:val="22"/>
                <w:szCs w:val="22"/>
              </w:rPr>
            </w:pPr>
          </w:p>
          <w:p w14:paraId="59FE50E7" w14:textId="77777777" w:rsidR="00A17B29" w:rsidRPr="00F9001C" w:rsidRDefault="001A5436" w:rsidP="00A17B29">
            <w:pPr>
              <w:pStyle w:val="TableRowCentered"/>
              <w:jc w:val="left"/>
              <w:rPr>
                <w:sz w:val="22"/>
                <w:szCs w:val="22"/>
              </w:rPr>
            </w:pPr>
            <w:hyperlink r:id="rId20" w:history="1">
              <w:r w:rsidR="00A17B29" w:rsidRPr="00F9001C">
                <w:rPr>
                  <w:rStyle w:val="Hyperlink"/>
                  <w:sz w:val="22"/>
                  <w:szCs w:val="22"/>
                </w:rPr>
                <w:t>https://educationendowmentfoundation.org.uk/education-evidence/teaching-learning-toolkit/reading-comprehension-strategies</w:t>
              </w:r>
            </w:hyperlink>
          </w:p>
          <w:p w14:paraId="2A7D551F" w14:textId="77777777" w:rsidR="00A17B29" w:rsidRDefault="00A17B29" w:rsidP="00A17B29">
            <w:pPr>
              <w:pStyle w:val="TableRowCentered"/>
              <w:ind w:left="0" w:right="0"/>
              <w:jc w:val="left"/>
              <w:rPr>
                <w:sz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69A4CD8" w:rsidR="00A17B29" w:rsidRDefault="00A17B29" w:rsidP="00A17B29">
            <w:pPr>
              <w:pStyle w:val="TableRowCentered"/>
              <w:ind w:left="0" w:right="0"/>
              <w:jc w:val="left"/>
              <w:rPr>
                <w:sz w:val="22"/>
              </w:rPr>
            </w:pPr>
            <w:r w:rsidRPr="00E66982">
              <w:rPr>
                <w:sz w:val="22"/>
                <w:szCs w:val="22"/>
              </w:rPr>
              <w:t xml:space="preserve">1, </w:t>
            </w:r>
            <w:r w:rsidR="00DF2220" w:rsidRPr="005B5724">
              <w:rPr>
                <w:b/>
                <w:bCs/>
                <w:sz w:val="22"/>
                <w:szCs w:val="22"/>
              </w:rPr>
              <w:t>2</w:t>
            </w:r>
            <w:r w:rsidR="00DF2220">
              <w:rPr>
                <w:sz w:val="22"/>
                <w:szCs w:val="22"/>
              </w:rPr>
              <w:t xml:space="preserve">, </w:t>
            </w:r>
            <w:r w:rsidRPr="005B5724">
              <w:rPr>
                <w:b/>
                <w:bCs/>
                <w:sz w:val="22"/>
                <w:szCs w:val="22"/>
              </w:rPr>
              <w:t>3</w:t>
            </w:r>
            <w:r w:rsidRPr="00E66982">
              <w:rPr>
                <w:sz w:val="22"/>
                <w:szCs w:val="22"/>
              </w:rPr>
              <w:t xml:space="preserve"> &amp; 4</w:t>
            </w:r>
          </w:p>
        </w:tc>
      </w:tr>
      <w:tr w:rsidR="00406EEE" w14:paraId="7F80FCFD"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3281" w14:textId="69FED608" w:rsidR="00406EEE" w:rsidRDefault="00406EEE" w:rsidP="00406EEE">
            <w:pPr>
              <w:pStyle w:val="TableRow"/>
              <w:ind w:left="0" w:right="0"/>
              <w:rPr>
                <w:sz w:val="22"/>
                <w:szCs w:val="22"/>
              </w:rPr>
            </w:pPr>
            <w:r w:rsidRPr="00F9001C">
              <w:rPr>
                <w:rFonts w:cs="Arial"/>
                <w:iCs/>
                <w:color w:val="auto"/>
                <w:sz w:val="22"/>
                <w:szCs w:val="22"/>
              </w:rPr>
              <w:t xml:space="preserve">Continued subscription to a </w:t>
            </w:r>
            <w:hyperlink r:id="rId21" w:history="1">
              <w:r w:rsidRPr="00F9001C">
                <w:rPr>
                  <w:rStyle w:val="Hyperlink"/>
                  <w:rFonts w:cs="Arial"/>
                  <w:iCs/>
                  <w:color w:val="0070C0"/>
                  <w:sz w:val="22"/>
                  <w:szCs w:val="22"/>
                </w:rPr>
                <w:t>D</w:t>
              </w:r>
              <w:r w:rsidRPr="00F9001C">
                <w:rPr>
                  <w:rStyle w:val="Hyperlink"/>
                  <w:color w:val="0070C0"/>
                  <w:sz w:val="22"/>
                  <w:szCs w:val="22"/>
                </w:rPr>
                <w:t xml:space="preserve">fE </w:t>
              </w:r>
              <w:r w:rsidRPr="00F9001C">
                <w:rPr>
                  <w:rStyle w:val="Hyperlink"/>
                  <w:rFonts w:cs="Arial"/>
                  <w:iCs/>
                  <w:color w:val="0070C0"/>
                  <w:sz w:val="22"/>
                  <w:szCs w:val="22"/>
                </w:rPr>
                <w:t>validated Systematic Synthetic Phonics programme</w:t>
              </w:r>
            </w:hyperlink>
            <w:r w:rsidRPr="00F9001C">
              <w:rPr>
                <w:rFonts w:cs="Arial"/>
                <w:iCs/>
                <w:color w:val="auto"/>
                <w:sz w:val="22"/>
                <w:szCs w:val="22"/>
              </w:rPr>
              <w:t xml:space="preserve"> to </w:t>
            </w:r>
            <w:r>
              <w:rPr>
                <w:rFonts w:cs="Arial"/>
                <w:iCs/>
                <w:color w:val="auto"/>
                <w:sz w:val="22"/>
                <w:szCs w:val="22"/>
              </w:rPr>
              <w:t>ensure fidelity to the focus scheme.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D1DC" w14:textId="42AFD75F" w:rsidR="00406EEE" w:rsidRPr="00F9001C" w:rsidRDefault="00406EEE" w:rsidP="00406EEE">
            <w:pPr>
              <w:pStyle w:val="TableRowCentered"/>
              <w:jc w:val="left"/>
              <w:rPr>
                <w:sz w:val="22"/>
                <w:szCs w:val="22"/>
              </w:rPr>
            </w:pPr>
            <w:r w:rsidRPr="00F9001C">
              <w:rPr>
                <w:sz w:val="22"/>
                <w:szCs w:val="22"/>
              </w:rPr>
              <w:t>EEF teaching &amp; learning toolkit +</w:t>
            </w:r>
            <w:r w:rsidR="00BF6D9E">
              <w:rPr>
                <w:sz w:val="22"/>
                <w:szCs w:val="22"/>
              </w:rPr>
              <w:t>6</w:t>
            </w:r>
          </w:p>
          <w:p w14:paraId="0D30E6C7" w14:textId="77777777" w:rsidR="00406EEE" w:rsidRPr="00F9001C" w:rsidRDefault="00406EEE" w:rsidP="00406EEE">
            <w:pPr>
              <w:pStyle w:val="TableRowCentered"/>
              <w:jc w:val="left"/>
              <w:rPr>
                <w:sz w:val="22"/>
                <w:szCs w:val="22"/>
              </w:rPr>
            </w:pPr>
            <w:r w:rsidRPr="00F9001C">
              <w:rPr>
                <w:sz w:val="22"/>
                <w:szCs w:val="22"/>
              </w:rPr>
              <w:t>Phonics – high impact for very low cost.</w:t>
            </w:r>
          </w:p>
          <w:p w14:paraId="28120B87" w14:textId="77777777" w:rsidR="00406EEE" w:rsidRPr="00F9001C" w:rsidRDefault="00406EEE" w:rsidP="00406EEE">
            <w:pPr>
              <w:pStyle w:val="TableRowCentered"/>
              <w:jc w:val="left"/>
              <w:rPr>
                <w:rFonts w:cs="Arial"/>
                <w:color w:val="auto"/>
                <w:sz w:val="22"/>
                <w:szCs w:val="22"/>
              </w:rPr>
            </w:pPr>
          </w:p>
          <w:p w14:paraId="01696CA3" w14:textId="57510C77" w:rsidR="00406EEE" w:rsidRPr="00F9001C" w:rsidRDefault="001A5436" w:rsidP="00406EEE">
            <w:pPr>
              <w:pStyle w:val="TableRowCentered"/>
              <w:jc w:val="left"/>
              <w:rPr>
                <w:sz w:val="22"/>
                <w:szCs w:val="22"/>
              </w:rPr>
            </w:pPr>
            <w:hyperlink r:id="rId22" w:history="1">
              <w:r w:rsidR="00406EEE" w:rsidRPr="00F9001C">
                <w:rPr>
                  <w:color w:val="0070C0"/>
                  <w:sz w:val="22"/>
                  <w:szCs w:val="22"/>
                  <w:u w:val="single"/>
                </w:rPr>
                <w:t>Phonics | Toolkit Strand | Education Endowment Foundation | EEF</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960BD" w14:textId="1FE95CB0" w:rsidR="00406EEE" w:rsidRPr="00E66982" w:rsidRDefault="00EA5939" w:rsidP="00406EEE">
            <w:pPr>
              <w:pStyle w:val="TableRowCentered"/>
              <w:ind w:left="0" w:right="0"/>
              <w:jc w:val="left"/>
              <w:rPr>
                <w:sz w:val="22"/>
                <w:szCs w:val="22"/>
              </w:rPr>
            </w:pPr>
            <w:r w:rsidRPr="00EA5939">
              <w:rPr>
                <w:color w:val="auto"/>
                <w:sz w:val="22"/>
                <w:szCs w:val="22"/>
              </w:rPr>
              <w:t>1</w:t>
            </w:r>
            <w:r>
              <w:rPr>
                <w:color w:val="auto"/>
                <w:sz w:val="22"/>
                <w:szCs w:val="22"/>
              </w:rPr>
              <w:t xml:space="preserve">, </w:t>
            </w:r>
            <w:r w:rsidRPr="00EA5939">
              <w:rPr>
                <w:b/>
                <w:bCs/>
                <w:color w:val="auto"/>
                <w:sz w:val="22"/>
                <w:szCs w:val="22"/>
              </w:rPr>
              <w:t>2</w:t>
            </w:r>
            <w:r>
              <w:rPr>
                <w:color w:val="auto"/>
                <w:sz w:val="22"/>
                <w:szCs w:val="22"/>
              </w:rPr>
              <w:t xml:space="preserve"> &amp;</w:t>
            </w:r>
            <w:r w:rsidRPr="00EA5939">
              <w:rPr>
                <w:b/>
                <w:bCs/>
                <w:color w:val="auto"/>
                <w:sz w:val="22"/>
                <w:szCs w:val="22"/>
              </w:rPr>
              <w:t xml:space="preserve"> 3</w:t>
            </w:r>
          </w:p>
        </w:tc>
      </w:tr>
      <w:tr w:rsidR="007251DF" w14:paraId="1B8EDE8C"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A72C2" w14:textId="65BB1D1E" w:rsidR="007251DF" w:rsidRPr="00F9001C" w:rsidRDefault="007251DF" w:rsidP="007251DF">
            <w:pPr>
              <w:pStyle w:val="TableRow"/>
              <w:ind w:left="0" w:right="0"/>
              <w:rPr>
                <w:rFonts w:cs="Arial"/>
                <w:iCs/>
                <w:color w:val="auto"/>
                <w:sz w:val="22"/>
                <w:szCs w:val="22"/>
              </w:rPr>
            </w:pPr>
            <w:r>
              <w:rPr>
                <w:sz w:val="22"/>
                <w:szCs w:val="22"/>
              </w:rPr>
              <w:t xml:space="preserve">To adapt the school approach </w:t>
            </w:r>
            <w:r w:rsidRPr="00F9001C">
              <w:rPr>
                <w:sz w:val="22"/>
                <w:szCs w:val="22"/>
              </w:rPr>
              <w:t xml:space="preserve">to </w:t>
            </w:r>
            <w:r>
              <w:rPr>
                <w:sz w:val="22"/>
                <w:szCs w:val="22"/>
              </w:rPr>
              <w:t>writing</w:t>
            </w:r>
            <w:r w:rsidRPr="00F9001C">
              <w:rPr>
                <w:sz w:val="22"/>
                <w:szCs w:val="22"/>
              </w:rPr>
              <w:t xml:space="preserve"> with a focus </w:t>
            </w:r>
            <w:r>
              <w:rPr>
                <w:sz w:val="22"/>
                <w:szCs w:val="22"/>
              </w:rPr>
              <w:t xml:space="preserve">on </w:t>
            </w:r>
            <w:r w:rsidR="001176F8">
              <w:rPr>
                <w:sz w:val="22"/>
                <w:szCs w:val="22"/>
              </w:rPr>
              <w:t xml:space="preserve">developing oracy skills and improving vocabulary. </w:t>
            </w:r>
            <w:r w:rsidR="00DF23B2" w:rsidRPr="00F9001C">
              <w:rPr>
                <w:iCs/>
                <w:sz w:val="22"/>
                <w:szCs w:val="22"/>
              </w:rPr>
              <w:t xml:space="preserve">To include funding release time for CPP &amp; planning clinics with subject lead and </w:t>
            </w:r>
            <w:r w:rsidR="00B957D7">
              <w:rPr>
                <w:iCs/>
                <w:sz w:val="22"/>
                <w:szCs w:val="22"/>
              </w:rPr>
              <w:t>writing</w:t>
            </w:r>
            <w:r w:rsidR="00DF23B2" w:rsidRPr="00F9001C">
              <w:rPr>
                <w:iCs/>
                <w:sz w:val="22"/>
                <w:szCs w:val="22"/>
              </w:rPr>
              <w:t xml:space="preserve"> specialist.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94CB7" w14:textId="77777777" w:rsidR="00B957D7" w:rsidRPr="00F9001C" w:rsidRDefault="00B957D7" w:rsidP="00B957D7">
            <w:pPr>
              <w:pStyle w:val="TableRowCentered"/>
              <w:jc w:val="left"/>
              <w:rPr>
                <w:sz w:val="22"/>
                <w:szCs w:val="22"/>
              </w:rPr>
            </w:pPr>
            <w:r w:rsidRPr="00F9001C">
              <w:rPr>
                <w:sz w:val="22"/>
                <w:szCs w:val="22"/>
              </w:rPr>
              <w:t>EEF teaching &amp; learning toolkit +5</w:t>
            </w:r>
          </w:p>
          <w:p w14:paraId="7F70CF49" w14:textId="4A6C592B" w:rsidR="00B957D7" w:rsidRPr="00F9001C" w:rsidRDefault="003D3E76" w:rsidP="00B957D7">
            <w:pPr>
              <w:pStyle w:val="TableRowCentered"/>
              <w:jc w:val="left"/>
              <w:rPr>
                <w:sz w:val="22"/>
                <w:szCs w:val="22"/>
              </w:rPr>
            </w:pPr>
            <w:r>
              <w:rPr>
                <w:sz w:val="22"/>
                <w:szCs w:val="22"/>
              </w:rPr>
              <w:t>Oral language interventions</w:t>
            </w:r>
            <w:r w:rsidR="00B957D7" w:rsidRPr="00F9001C">
              <w:rPr>
                <w:sz w:val="22"/>
                <w:szCs w:val="22"/>
              </w:rPr>
              <w:t xml:space="preserve"> – high impact for very low cost.</w:t>
            </w:r>
          </w:p>
          <w:p w14:paraId="49154DDE" w14:textId="77777777" w:rsidR="007251DF" w:rsidRDefault="007251DF" w:rsidP="007251DF">
            <w:pPr>
              <w:pStyle w:val="TableRowCentered"/>
              <w:jc w:val="left"/>
              <w:rPr>
                <w:sz w:val="22"/>
                <w:szCs w:val="22"/>
              </w:rPr>
            </w:pPr>
          </w:p>
          <w:p w14:paraId="2360CA92" w14:textId="77777777" w:rsidR="00B957D7" w:rsidRDefault="001A5436" w:rsidP="007251DF">
            <w:pPr>
              <w:pStyle w:val="TableRowCentered"/>
              <w:jc w:val="left"/>
            </w:pPr>
            <w:hyperlink r:id="rId23" w:history="1">
              <w:r w:rsidR="003D3E76">
                <w:rPr>
                  <w:rStyle w:val="Hyperlink"/>
                </w:rPr>
                <w:t>Oral language interventions | EEF</w:t>
              </w:r>
            </w:hyperlink>
          </w:p>
          <w:p w14:paraId="6AF13BA4" w14:textId="7BBD2C7E" w:rsidR="003D3E76" w:rsidRPr="00F9001C" w:rsidRDefault="003D3E76" w:rsidP="007251DF">
            <w:pPr>
              <w:pStyle w:val="TableRowCentered"/>
              <w:jc w:val="left"/>
              <w:rPr>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9E123" w14:textId="5E125D01" w:rsidR="007251DF" w:rsidRPr="00F9001C" w:rsidRDefault="00EA5939" w:rsidP="007251DF">
            <w:pPr>
              <w:pStyle w:val="TableRowCentered"/>
              <w:ind w:left="0" w:right="0"/>
              <w:jc w:val="left"/>
              <w:rPr>
                <w:color w:val="auto"/>
                <w:sz w:val="22"/>
                <w:szCs w:val="22"/>
              </w:rPr>
            </w:pPr>
            <w:r w:rsidRPr="00EA5939">
              <w:rPr>
                <w:b/>
                <w:bCs/>
                <w:color w:val="auto"/>
                <w:sz w:val="22"/>
                <w:szCs w:val="22"/>
              </w:rPr>
              <w:t>1</w:t>
            </w:r>
            <w:r>
              <w:rPr>
                <w:color w:val="auto"/>
                <w:sz w:val="22"/>
                <w:szCs w:val="22"/>
              </w:rPr>
              <w:t xml:space="preserve">, 2, </w:t>
            </w:r>
            <w:r w:rsidRPr="00EA5939">
              <w:rPr>
                <w:b/>
                <w:bCs/>
                <w:color w:val="auto"/>
                <w:sz w:val="22"/>
                <w:szCs w:val="22"/>
              </w:rPr>
              <w:t>3</w:t>
            </w:r>
            <w:r>
              <w:rPr>
                <w:color w:val="auto"/>
                <w:sz w:val="22"/>
                <w:szCs w:val="22"/>
              </w:rPr>
              <w:t xml:space="preserve"> &amp; 4</w:t>
            </w:r>
          </w:p>
        </w:tc>
      </w:tr>
      <w:tr w:rsidR="007251DF" w14:paraId="0C7BC619" w14:textId="77777777" w:rsidTr="00223F3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3A3A" w14:textId="5A8E1024" w:rsidR="007251DF" w:rsidRDefault="007251DF" w:rsidP="007251DF">
            <w:pPr>
              <w:pStyle w:val="TableRow"/>
              <w:ind w:left="0" w:right="0"/>
              <w:rPr>
                <w:sz w:val="22"/>
                <w:szCs w:val="22"/>
              </w:rPr>
            </w:pPr>
            <w:r w:rsidRPr="00F9001C">
              <w:rPr>
                <w:iCs/>
                <w:color w:val="auto"/>
                <w:sz w:val="22"/>
                <w:szCs w:val="22"/>
                <w:lang w:val="en-US"/>
              </w:rPr>
              <w:t>Develop the use of collaborative learning opportunities across the curriculum</w:t>
            </w:r>
            <w:r>
              <w:rPr>
                <w:iCs/>
                <w:color w:val="auto"/>
                <w:sz w:val="22"/>
                <w:szCs w:val="22"/>
                <w:lang w:val="en-US"/>
              </w:rPr>
              <w:t xml:space="preserve"> to raise engagement of all pupils in their own learning</w:t>
            </w:r>
            <w:r w:rsidRPr="00F9001C">
              <w:rPr>
                <w:iCs/>
                <w:color w:val="auto"/>
                <w:sz w:val="22"/>
                <w:szCs w:val="22"/>
                <w:lang w:val="en-US"/>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2AF1" w14:textId="77777777" w:rsidR="007251DF" w:rsidRPr="00F9001C" w:rsidRDefault="007251DF" w:rsidP="007251DF">
            <w:pPr>
              <w:pStyle w:val="TableRowCentered"/>
              <w:jc w:val="left"/>
              <w:rPr>
                <w:sz w:val="22"/>
                <w:szCs w:val="22"/>
              </w:rPr>
            </w:pPr>
            <w:r w:rsidRPr="00F9001C">
              <w:rPr>
                <w:sz w:val="22"/>
                <w:szCs w:val="22"/>
              </w:rPr>
              <w:t>EEF teaching &amp; learning toolkit +5</w:t>
            </w:r>
          </w:p>
          <w:p w14:paraId="15922EAE" w14:textId="77777777" w:rsidR="007251DF" w:rsidRPr="00F9001C" w:rsidRDefault="007251DF" w:rsidP="007251DF">
            <w:pPr>
              <w:pStyle w:val="TableRowCentered"/>
              <w:jc w:val="left"/>
              <w:rPr>
                <w:sz w:val="22"/>
                <w:szCs w:val="22"/>
              </w:rPr>
            </w:pPr>
            <w:r w:rsidRPr="00F9001C">
              <w:rPr>
                <w:sz w:val="22"/>
                <w:szCs w:val="22"/>
              </w:rPr>
              <w:t>Collaborative Learning – high impact for very low cost.</w:t>
            </w:r>
          </w:p>
          <w:p w14:paraId="511579C4" w14:textId="4BED82C5" w:rsidR="007251DF" w:rsidRPr="00F9001C" w:rsidRDefault="001A5436" w:rsidP="007251DF">
            <w:pPr>
              <w:pStyle w:val="TableRowCentered"/>
              <w:jc w:val="left"/>
              <w:rPr>
                <w:sz w:val="22"/>
                <w:szCs w:val="22"/>
              </w:rPr>
            </w:pPr>
            <w:hyperlink r:id="rId24" w:history="1">
              <w:r w:rsidR="00842D8E">
                <w:rPr>
                  <w:rStyle w:val="Hyperlink"/>
                </w:rPr>
                <w:t>Collaborative learning approaches | EEF</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D44F8" w14:textId="170F1645" w:rsidR="007251DF" w:rsidRPr="00B03F6A" w:rsidRDefault="007251DF" w:rsidP="007251DF">
            <w:pPr>
              <w:pStyle w:val="TableRowCentered"/>
              <w:ind w:left="0" w:right="0"/>
              <w:jc w:val="left"/>
              <w:rPr>
                <w:sz w:val="22"/>
                <w:szCs w:val="22"/>
              </w:rPr>
            </w:pPr>
            <w:r w:rsidRPr="00F9001C">
              <w:rPr>
                <w:color w:val="auto"/>
                <w:sz w:val="22"/>
                <w:szCs w:val="22"/>
              </w:rPr>
              <w:t>1, 2, 3</w:t>
            </w:r>
            <w:r w:rsidR="00B03F6A">
              <w:rPr>
                <w:color w:val="auto"/>
                <w:sz w:val="22"/>
                <w:szCs w:val="22"/>
              </w:rPr>
              <w:t>,</w:t>
            </w:r>
            <w:r w:rsidRPr="00F9001C">
              <w:rPr>
                <w:color w:val="auto"/>
                <w:sz w:val="22"/>
                <w:szCs w:val="22"/>
              </w:rPr>
              <w:t xml:space="preserve"> </w:t>
            </w:r>
            <w:r w:rsidRPr="00B03F6A">
              <w:rPr>
                <w:b/>
                <w:bCs/>
                <w:color w:val="auto"/>
                <w:sz w:val="22"/>
                <w:szCs w:val="22"/>
              </w:rPr>
              <w:t>4</w:t>
            </w:r>
            <w:r w:rsidR="00E531C7">
              <w:rPr>
                <w:b/>
                <w:bCs/>
                <w:color w:val="auto"/>
                <w:sz w:val="22"/>
                <w:szCs w:val="22"/>
              </w:rPr>
              <w:t>,</w:t>
            </w:r>
            <w:r w:rsidR="00B03F6A">
              <w:rPr>
                <w:color w:val="auto"/>
                <w:sz w:val="22"/>
                <w:szCs w:val="22"/>
              </w:rPr>
              <w:t xml:space="preserve"> 6</w:t>
            </w:r>
            <w:r w:rsidR="00E531C7">
              <w:rPr>
                <w:color w:val="auto"/>
                <w:sz w:val="22"/>
                <w:szCs w:val="22"/>
              </w:rPr>
              <w:t xml:space="preserve"> &amp; 7</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24A8632" w:rsidR="00E66558" w:rsidRDefault="009D71E8">
      <w:r>
        <w:t>Budgeted cost: £</w:t>
      </w:r>
      <w:r w:rsidR="00DC2A58">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D93B51">
        <w:trPr>
          <w:trHeight w:val="1200"/>
        </w:trPr>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36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4AA0406" w:rsidR="00E66360" w:rsidRDefault="00E66360" w:rsidP="00E66360">
            <w:pPr>
              <w:pStyle w:val="TableRow"/>
              <w:ind w:left="0" w:right="0"/>
            </w:pPr>
            <w:r w:rsidRPr="004E44E5">
              <w:rPr>
                <w:iCs/>
                <w:sz w:val="22"/>
                <w:szCs w:val="22"/>
              </w:rPr>
              <w:t xml:space="preserve">Improved Speech and language communication for pupil premium children. </w:t>
            </w:r>
            <w:r w:rsidR="004F6538">
              <w:rPr>
                <w:iCs/>
                <w:sz w:val="22"/>
                <w:szCs w:val="22"/>
              </w:rPr>
              <w:t>To include funding s</w:t>
            </w:r>
            <w:r w:rsidRPr="004E44E5">
              <w:rPr>
                <w:iCs/>
                <w:sz w:val="22"/>
                <w:szCs w:val="22"/>
              </w:rPr>
              <w:t>peech and Language Therapist (SALT)</w:t>
            </w:r>
            <w:r w:rsidR="004F6538">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C1B2" w14:textId="77777777" w:rsidR="00E66360" w:rsidRDefault="00E66360" w:rsidP="00E66360">
            <w:pPr>
              <w:pStyle w:val="TableRowCentered"/>
              <w:ind w:left="0" w:right="0"/>
              <w:jc w:val="left"/>
              <w:rPr>
                <w:sz w:val="22"/>
                <w:szCs w:val="22"/>
              </w:rPr>
            </w:pPr>
            <w:r w:rsidRPr="004E44E5">
              <w:rPr>
                <w:sz w:val="22"/>
                <w:szCs w:val="22"/>
              </w:rPr>
              <w:t>Special Educational Needs in Mainstream Schools. Evidence Review March 2020</w:t>
            </w:r>
          </w:p>
          <w:p w14:paraId="09DE81CE" w14:textId="77777777" w:rsidR="00666489" w:rsidRDefault="00666489" w:rsidP="00E66360">
            <w:pPr>
              <w:pStyle w:val="TableRowCentered"/>
              <w:ind w:left="0" w:right="0"/>
              <w:jc w:val="left"/>
              <w:rPr>
                <w:sz w:val="22"/>
              </w:rPr>
            </w:pPr>
          </w:p>
          <w:p w14:paraId="76C41ED5" w14:textId="77777777" w:rsidR="00666489" w:rsidRDefault="00666489" w:rsidP="00666489">
            <w:pPr>
              <w:pStyle w:val="TableRowCentered"/>
              <w:ind w:left="0"/>
              <w:jc w:val="left"/>
              <w:rPr>
                <w:sz w:val="22"/>
                <w:szCs w:val="22"/>
              </w:rPr>
            </w:pPr>
            <w:r w:rsidRPr="004E44E5">
              <w:rPr>
                <w:sz w:val="22"/>
                <w:szCs w:val="22"/>
              </w:rPr>
              <w:t xml:space="preserve">EEF_SEND </w:t>
            </w:r>
          </w:p>
          <w:p w14:paraId="2A7D552A" w14:textId="034BB6C5" w:rsidR="00BC4754" w:rsidRPr="00666489" w:rsidRDefault="001A5436" w:rsidP="00666489">
            <w:pPr>
              <w:pStyle w:val="TableRowCentered"/>
              <w:ind w:left="0"/>
              <w:jc w:val="left"/>
              <w:rPr>
                <w:sz w:val="22"/>
                <w:szCs w:val="22"/>
              </w:rPr>
            </w:pPr>
            <w:hyperlink r:id="rId25" w:history="1">
              <w:r w:rsidR="00BC4754" w:rsidRPr="00BC4754">
                <w:rPr>
                  <w:rStyle w:val="Hyperlink"/>
                  <w:sz w:val="22"/>
                  <w:szCs w:val="22"/>
                </w:rPr>
                <w:t>Special Educational Needs in Mainstream Schools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CE70579" w:rsidR="00E66360" w:rsidRDefault="00E66360" w:rsidP="00E66360">
            <w:pPr>
              <w:pStyle w:val="TableRowCentered"/>
              <w:ind w:left="0" w:right="0"/>
              <w:jc w:val="left"/>
              <w:rPr>
                <w:sz w:val="22"/>
              </w:rPr>
            </w:pPr>
            <w:r w:rsidRPr="0051466A">
              <w:rPr>
                <w:b/>
                <w:bCs/>
                <w:sz w:val="22"/>
                <w:szCs w:val="22"/>
              </w:rPr>
              <w:t>1</w:t>
            </w:r>
            <w:r w:rsidR="000D4516">
              <w:rPr>
                <w:b/>
                <w:bCs/>
                <w:sz w:val="22"/>
                <w:szCs w:val="22"/>
              </w:rPr>
              <w:t>,</w:t>
            </w:r>
            <w:r>
              <w:rPr>
                <w:sz w:val="22"/>
                <w:szCs w:val="22"/>
              </w:rPr>
              <w:t xml:space="preserve"> 3</w:t>
            </w:r>
            <w:r w:rsidR="000D4516">
              <w:rPr>
                <w:sz w:val="22"/>
                <w:szCs w:val="22"/>
              </w:rPr>
              <w:t xml:space="preserve"> &amp; 4</w:t>
            </w:r>
          </w:p>
        </w:tc>
      </w:tr>
      <w:tr w:rsidR="00E66360"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87FA4B2" w:rsidR="00E66360" w:rsidRDefault="000C00E9" w:rsidP="00E66360">
            <w:pPr>
              <w:pStyle w:val="TableRow"/>
              <w:ind w:left="0" w:right="0"/>
              <w:rPr>
                <w:i/>
                <w:sz w:val="22"/>
              </w:rPr>
            </w:pPr>
            <w:r>
              <w:rPr>
                <w:iCs/>
                <w:sz w:val="22"/>
                <w:szCs w:val="22"/>
              </w:rPr>
              <w:t xml:space="preserve">Developing </w:t>
            </w:r>
            <w:r w:rsidR="00137238">
              <w:rPr>
                <w:iCs/>
                <w:sz w:val="22"/>
                <w:szCs w:val="22"/>
              </w:rPr>
              <w:t xml:space="preserve">in school </w:t>
            </w:r>
            <w:r>
              <w:rPr>
                <w:iCs/>
                <w:sz w:val="22"/>
                <w:szCs w:val="22"/>
              </w:rPr>
              <w:t>support for emotional literacy</w:t>
            </w:r>
            <w:r w:rsidR="00137238">
              <w:rPr>
                <w:iCs/>
                <w:sz w:val="22"/>
                <w:szCs w:val="22"/>
              </w:rPr>
              <w:t>. Including funding</w:t>
            </w:r>
            <w:r w:rsidR="0088533A">
              <w:rPr>
                <w:iCs/>
                <w:sz w:val="22"/>
                <w:szCs w:val="22"/>
              </w:rPr>
              <w:t xml:space="preserve"> to train</w:t>
            </w:r>
            <w:r w:rsidR="00137238">
              <w:rPr>
                <w:iCs/>
                <w:sz w:val="22"/>
                <w:szCs w:val="22"/>
              </w:rPr>
              <w:t xml:space="preserve"> staff to </w:t>
            </w:r>
            <w:r w:rsidR="0088533A">
              <w:rPr>
                <w:iCs/>
                <w:sz w:val="22"/>
                <w:szCs w:val="22"/>
              </w:rPr>
              <w:t xml:space="preserve">deliver </w:t>
            </w:r>
            <w:r w:rsidR="00E66360" w:rsidRPr="004E44E5">
              <w:rPr>
                <w:iCs/>
                <w:sz w:val="22"/>
                <w:szCs w:val="22"/>
              </w:rPr>
              <w:t>Emotional Literacy Support Assistant (ELSA)</w:t>
            </w:r>
            <w:r w:rsidR="0088533A">
              <w:rPr>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90903" w14:textId="77777777" w:rsidR="00E66360" w:rsidRPr="004E44E5" w:rsidRDefault="00E66360" w:rsidP="00BC4754">
            <w:pPr>
              <w:pStyle w:val="TableRowCentered"/>
              <w:ind w:left="0"/>
              <w:jc w:val="left"/>
              <w:rPr>
                <w:sz w:val="22"/>
                <w:szCs w:val="22"/>
              </w:rPr>
            </w:pPr>
            <w:r w:rsidRPr="004E44E5">
              <w:rPr>
                <w:sz w:val="22"/>
                <w:szCs w:val="22"/>
              </w:rPr>
              <w:t>EEF – teaching &amp; learning toolkit.</w:t>
            </w:r>
          </w:p>
          <w:p w14:paraId="197B8DE3" w14:textId="77777777" w:rsidR="00E66360" w:rsidRPr="004E44E5" w:rsidRDefault="00E66360" w:rsidP="00BC4754">
            <w:pPr>
              <w:pStyle w:val="TableRowCentered"/>
              <w:ind w:left="0"/>
              <w:jc w:val="left"/>
              <w:rPr>
                <w:sz w:val="22"/>
                <w:szCs w:val="22"/>
              </w:rPr>
            </w:pPr>
            <w:r w:rsidRPr="004E44E5">
              <w:rPr>
                <w:sz w:val="22"/>
                <w:szCs w:val="22"/>
              </w:rPr>
              <w:t>Social and emotional learning</w:t>
            </w:r>
          </w:p>
          <w:p w14:paraId="2031E5EE" w14:textId="77777777" w:rsidR="00E66360" w:rsidRDefault="00E66360" w:rsidP="00E66360">
            <w:pPr>
              <w:pStyle w:val="TableRowCentered"/>
              <w:ind w:left="0" w:right="0"/>
              <w:jc w:val="left"/>
              <w:rPr>
                <w:sz w:val="22"/>
                <w:szCs w:val="22"/>
              </w:rPr>
            </w:pPr>
            <w:r w:rsidRPr="004E44E5">
              <w:rPr>
                <w:sz w:val="22"/>
                <w:szCs w:val="22"/>
              </w:rPr>
              <w:t>Moderate impact for very low cost.</w:t>
            </w:r>
          </w:p>
          <w:p w14:paraId="2A7D552E" w14:textId="4A3DBCAE" w:rsidR="00902123" w:rsidRDefault="001A5436" w:rsidP="00E66360">
            <w:pPr>
              <w:pStyle w:val="TableRowCentered"/>
              <w:ind w:left="0" w:right="0"/>
              <w:jc w:val="left"/>
              <w:rPr>
                <w:sz w:val="22"/>
              </w:rPr>
            </w:pPr>
            <w:hyperlink r:id="rId26" w:history="1">
              <w:r w:rsidR="00902123" w:rsidRPr="00902123">
                <w:rPr>
                  <w:rStyle w:val="Hyperlink"/>
                  <w:sz w:val="22"/>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3C331EC" w:rsidR="00E66360" w:rsidRDefault="00E66360" w:rsidP="00E66360">
            <w:pPr>
              <w:pStyle w:val="TableRowCentered"/>
              <w:ind w:left="0" w:right="0"/>
              <w:jc w:val="left"/>
              <w:rPr>
                <w:sz w:val="22"/>
              </w:rPr>
            </w:pPr>
            <w:r w:rsidRPr="004E44E5">
              <w:rPr>
                <w:sz w:val="22"/>
                <w:szCs w:val="22"/>
              </w:rPr>
              <w:t>1</w:t>
            </w:r>
            <w:r w:rsidR="00403C92">
              <w:rPr>
                <w:sz w:val="22"/>
                <w:szCs w:val="22"/>
              </w:rPr>
              <w:t>, 2, 3</w:t>
            </w:r>
            <w:r w:rsidR="00692E2A">
              <w:rPr>
                <w:sz w:val="22"/>
                <w:szCs w:val="22"/>
              </w:rPr>
              <w:t>, 4 &amp; 5</w:t>
            </w:r>
          </w:p>
        </w:tc>
      </w:tr>
      <w:tr w:rsidR="00E66360" w14:paraId="4851A78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E3C8" w14:textId="1CAA1A4D" w:rsidR="00E66360" w:rsidRDefault="00E66360" w:rsidP="00E66360">
            <w:pPr>
              <w:pStyle w:val="TableRow"/>
              <w:ind w:left="0" w:right="0"/>
              <w:rPr>
                <w:i/>
                <w:sz w:val="22"/>
              </w:rPr>
            </w:pPr>
            <w:r>
              <w:rPr>
                <w:iCs/>
                <w:sz w:val="22"/>
                <w:szCs w:val="22"/>
              </w:rPr>
              <w:t xml:space="preserve">Other specific &amp; targeted intervention, including </w:t>
            </w:r>
            <w:r>
              <w:rPr>
                <w:iCs/>
                <w:sz w:val="22"/>
                <w:szCs w:val="22"/>
              </w:rPr>
              <w:lastRenderedPageBreak/>
              <w:t>Therapeutic Story Writing &amp; Tutor Doctor.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C614" w14:textId="77777777" w:rsidR="00E66360" w:rsidRDefault="00E66360" w:rsidP="00902123">
            <w:pPr>
              <w:pStyle w:val="TableRowCentered"/>
              <w:ind w:left="0"/>
              <w:jc w:val="left"/>
              <w:rPr>
                <w:sz w:val="22"/>
                <w:szCs w:val="22"/>
              </w:rPr>
            </w:pPr>
            <w:r w:rsidRPr="004E44E5">
              <w:rPr>
                <w:sz w:val="22"/>
                <w:szCs w:val="22"/>
              </w:rPr>
              <w:lastRenderedPageBreak/>
              <w:t xml:space="preserve">EEF_SEND </w:t>
            </w:r>
          </w:p>
          <w:p w14:paraId="2E4F19D6" w14:textId="2B9EEAC7" w:rsidR="00902123" w:rsidRDefault="001A5436" w:rsidP="00E66360">
            <w:pPr>
              <w:pStyle w:val="TableRowCentered"/>
              <w:jc w:val="left"/>
              <w:rPr>
                <w:sz w:val="22"/>
                <w:szCs w:val="22"/>
              </w:rPr>
            </w:pPr>
            <w:hyperlink r:id="rId27" w:history="1">
              <w:r w:rsidR="00902123" w:rsidRPr="00BC4754">
                <w:rPr>
                  <w:rStyle w:val="Hyperlink"/>
                  <w:sz w:val="22"/>
                  <w:szCs w:val="22"/>
                </w:rPr>
                <w:t>Special Educational Needs in Mainstream Schools | EEF</w:t>
              </w:r>
            </w:hyperlink>
          </w:p>
          <w:p w14:paraId="773AA4AD" w14:textId="77777777" w:rsidR="00902123" w:rsidRPr="004E44E5" w:rsidRDefault="00902123" w:rsidP="00E66360">
            <w:pPr>
              <w:pStyle w:val="TableRowCentered"/>
              <w:jc w:val="left"/>
              <w:rPr>
                <w:sz w:val="22"/>
                <w:szCs w:val="22"/>
              </w:rPr>
            </w:pPr>
          </w:p>
          <w:p w14:paraId="55394200" w14:textId="0C1EB965" w:rsidR="00E66360" w:rsidRDefault="00E66360" w:rsidP="00E66360">
            <w:pPr>
              <w:pStyle w:val="TableRowCentered"/>
              <w:ind w:left="0" w:right="0"/>
              <w:jc w:val="left"/>
              <w:rPr>
                <w:sz w:val="22"/>
              </w:rPr>
            </w:pPr>
            <w:r w:rsidRPr="004E44E5">
              <w:rPr>
                <w:sz w:val="22"/>
                <w:szCs w:val="22"/>
              </w:rPr>
              <w:t>Special Educational Needs in Mainstream Schools. Evidence Review March 2020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EBBF" w14:textId="00BE192E" w:rsidR="00E66360" w:rsidRDefault="00E66360" w:rsidP="00E66360">
            <w:pPr>
              <w:pStyle w:val="TableRowCentered"/>
              <w:ind w:left="0" w:right="0"/>
              <w:jc w:val="left"/>
              <w:rPr>
                <w:sz w:val="22"/>
              </w:rPr>
            </w:pPr>
            <w:r w:rsidRPr="004E44E5">
              <w:rPr>
                <w:sz w:val="22"/>
                <w:szCs w:val="22"/>
              </w:rPr>
              <w:lastRenderedPageBreak/>
              <w:t>1,</w:t>
            </w:r>
            <w:r w:rsidR="00B80491">
              <w:rPr>
                <w:sz w:val="22"/>
                <w:szCs w:val="22"/>
              </w:rPr>
              <w:t xml:space="preserve"> 2,</w:t>
            </w:r>
            <w:r w:rsidRPr="004E44E5">
              <w:rPr>
                <w:sz w:val="22"/>
                <w:szCs w:val="22"/>
              </w:rPr>
              <w:t xml:space="preserve"> </w:t>
            </w:r>
            <w:r>
              <w:rPr>
                <w:sz w:val="22"/>
                <w:szCs w:val="22"/>
              </w:rPr>
              <w:t>3</w:t>
            </w:r>
            <w:r w:rsidR="00692E2A">
              <w:rPr>
                <w:sz w:val="22"/>
                <w:szCs w:val="22"/>
              </w:rPr>
              <w:t>, 4 &amp; 5</w:t>
            </w:r>
          </w:p>
        </w:tc>
      </w:tr>
      <w:tr w:rsidR="00E66360" w14:paraId="4A49E0C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3613" w14:textId="5E9120C9" w:rsidR="00E66360" w:rsidRDefault="00E66360" w:rsidP="00E66360">
            <w:pPr>
              <w:pStyle w:val="TableRow"/>
              <w:ind w:left="0" w:right="0"/>
              <w:rPr>
                <w:i/>
                <w:sz w:val="22"/>
              </w:rPr>
            </w:pPr>
            <w:r w:rsidRPr="004E44E5">
              <w:rPr>
                <w:iCs/>
                <w:sz w:val="22"/>
                <w:szCs w:val="22"/>
              </w:rPr>
              <w:t xml:space="preserve">Targeted interventions to support the catch-up of </w:t>
            </w:r>
            <w:r>
              <w:rPr>
                <w:iCs/>
                <w:sz w:val="22"/>
                <w:szCs w:val="22"/>
              </w:rPr>
              <w:t>disadvantaged</w:t>
            </w:r>
            <w:r w:rsidRPr="004E44E5">
              <w:rPr>
                <w:iCs/>
                <w:sz w:val="22"/>
                <w:szCs w:val="22"/>
              </w:rPr>
              <w:t xml:space="preserve"> children in reading, writing </w:t>
            </w:r>
            <w:r>
              <w:rPr>
                <w:iCs/>
                <w:sz w:val="22"/>
                <w:szCs w:val="22"/>
              </w:rPr>
              <w:t>or</w:t>
            </w:r>
            <w:r w:rsidRPr="004E44E5">
              <w:rPr>
                <w:iCs/>
                <w:sz w:val="22"/>
                <w:szCs w:val="22"/>
              </w:rPr>
              <w:t xml:space="preserve"> mathematics.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E206" w14:textId="77777777" w:rsidR="00E66360" w:rsidRPr="004E44E5" w:rsidRDefault="00E66360" w:rsidP="00902123">
            <w:pPr>
              <w:pStyle w:val="TableRowCentered"/>
              <w:ind w:left="0"/>
              <w:jc w:val="left"/>
              <w:rPr>
                <w:sz w:val="22"/>
                <w:szCs w:val="22"/>
              </w:rPr>
            </w:pPr>
            <w:r w:rsidRPr="004E44E5">
              <w:rPr>
                <w:sz w:val="22"/>
                <w:szCs w:val="22"/>
              </w:rPr>
              <w:t>EEF – teaching &amp; learning toolkit.</w:t>
            </w:r>
          </w:p>
          <w:p w14:paraId="2376C437" w14:textId="77777777" w:rsidR="00E66360" w:rsidRPr="004E44E5" w:rsidRDefault="00E66360" w:rsidP="00902123">
            <w:pPr>
              <w:pStyle w:val="TableRowCentered"/>
              <w:ind w:left="0"/>
              <w:jc w:val="left"/>
              <w:rPr>
                <w:sz w:val="22"/>
                <w:szCs w:val="22"/>
              </w:rPr>
            </w:pPr>
            <w:r w:rsidRPr="004E44E5">
              <w:rPr>
                <w:sz w:val="22"/>
                <w:szCs w:val="22"/>
              </w:rPr>
              <w:t>Teaching assistant interventions – moderate impact for moderate cost</w:t>
            </w:r>
          </w:p>
          <w:p w14:paraId="37F84EDE" w14:textId="1BEF9366" w:rsidR="00E66360" w:rsidRDefault="001A5436" w:rsidP="00E66360">
            <w:pPr>
              <w:pStyle w:val="TableRowCentered"/>
              <w:ind w:left="0" w:right="0"/>
              <w:jc w:val="left"/>
              <w:rPr>
                <w:sz w:val="22"/>
              </w:rPr>
            </w:pPr>
            <w:hyperlink r:id="rId28" w:history="1">
              <w:r w:rsidR="005313F3" w:rsidRPr="005313F3">
                <w:rPr>
                  <w:rStyle w:val="Hyperlink"/>
                  <w:sz w:val="22"/>
                </w:rPr>
                <w:t>Teaching Assistant Interventions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67DEE" w14:textId="7503CFED" w:rsidR="00E66360" w:rsidRDefault="00E66360" w:rsidP="00E66360">
            <w:pPr>
              <w:pStyle w:val="TableRowCentered"/>
              <w:ind w:left="0" w:right="0"/>
              <w:jc w:val="left"/>
              <w:rPr>
                <w:sz w:val="22"/>
              </w:rPr>
            </w:pPr>
            <w:r w:rsidRPr="004E44E5">
              <w:rPr>
                <w:sz w:val="22"/>
                <w:szCs w:val="22"/>
              </w:rPr>
              <w:t xml:space="preserve">1, </w:t>
            </w:r>
            <w:r w:rsidR="00B80491">
              <w:rPr>
                <w:sz w:val="22"/>
                <w:szCs w:val="22"/>
              </w:rPr>
              <w:t xml:space="preserve">2, </w:t>
            </w:r>
            <w:r>
              <w:rPr>
                <w:sz w:val="22"/>
                <w:szCs w:val="22"/>
              </w:rPr>
              <w:t>3</w:t>
            </w:r>
            <w:r w:rsidRPr="004E44E5">
              <w:rPr>
                <w:sz w:val="22"/>
                <w:szCs w:val="22"/>
              </w:rPr>
              <w:t xml:space="preserve"> &amp; </w:t>
            </w:r>
            <w:r>
              <w:rPr>
                <w:sz w:val="22"/>
                <w:szCs w:val="22"/>
              </w:rPr>
              <w:t>4</w:t>
            </w:r>
          </w:p>
        </w:tc>
      </w:tr>
      <w:tr w:rsidR="00E66360" w14:paraId="468199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86F1" w14:textId="38141B51" w:rsidR="00E66360" w:rsidRDefault="00E66360" w:rsidP="00E66360">
            <w:pPr>
              <w:pStyle w:val="TableRow"/>
              <w:ind w:left="0" w:right="0"/>
              <w:rPr>
                <w:i/>
                <w:sz w:val="22"/>
              </w:rPr>
            </w:pPr>
            <w:r w:rsidRPr="004E44E5">
              <w:rPr>
                <w:iCs/>
                <w:sz w:val="22"/>
                <w:szCs w:val="22"/>
              </w:rPr>
              <w:t xml:space="preserve">Small group </w:t>
            </w:r>
            <w:r>
              <w:rPr>
                <w:iCs/>
                <w:sz w:val="22"/>
                <w:szCs w:val="22"/>
              </w:rPr>
              <w:t xml:space="preserve">or one-to-one </w:t>
            </w:r>
            <w:r w:rsidR="005313F3">
              <w:rPr>
                <w:iCs/>
                <w:sz w:val="22"/>
                <w:szCs w:val="22"/>
              </w:rPr>
              <w:t>mentoring</w:t>
            </w:r>
            <w:r w:rsidR="005C4C57">
              <w:rPr>
                <w:iCs/>
                <w:sz w:val="22"/>
                <w:szCs w:val="22"/>
              </w:rPr>
              <w:t xml:space="preserve"> / tu</w:t>
            </w:r>
            <w:r w:rsidR="00F20EE6">
              <w:rPr>
                <w:iCs/>
                <w:sz w:val="22"/>
                <w:szCs w:val="22"/>
              </w:rPr>
              <w:t>toring</w:t>
            </w:r>
            <w:r>
              <w:rPr>
                <w:iCs/>
                <w:sz w:val="22"/>
                <w:szCs w:val="22"/>
              </w:rPr>
              <w:t xml:space="preserve"> by experienced staff </w:t>
            </w:r>
            <w:r w:rsidRPr="004E44E5">
              <w:rPr>
                <w:iCs/>
                <w:sz w:val="22"/>
                <w:szCs w:val="22"/>
              </w:rPr>
              <w:t xml:space="preserve">to support the catch-up of </w:t>
            </w:r>
            <w:r>
              <w:rPr>
                <w:iCs/>
                <w:sz w:val="22"/>
                <w:szCs w:val="22"/>
              </w:rPr>
              <w:t>disadvantaged</w:t>
            </w:r>
            <w:r w:rsidRPr="004E44E5">
              <w:rPr>
                <w:iCs/>
                <w:sz w:val="22"/>
                <w:szCs w:val="22"/>
              </w:rPr>
              <w:t xml:space="preserve"> children in reading, writing and mathematics</w:t>
            </w:r>
            <w:r>
              <w:rPr>
                <w:iCs/>
                <w:sz w:val="22"/>
                <w:szCs w:val="22"/>
              </w:rPr>
              <w:t xml:space="preserve"> across upper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33AB2" w14:textId="77777777" w:rsidR="00E66360" w:rsidRPr="004E44E5" w:rsidRDefault="00E66360" w:rsidP="00902123">
            <w:pPr>
              <w:pStyle w:val="TableRowCentered"/>
              <w:ind w:left="0"/>
              <w:jc w:val="left"/>
              <w:rPr>
                <w:sz w:val="22"/>
                <w:szCs w:val="22"/>
              </w:rPr>
            </w:pPr>
            <w:r w:rsidRPr="004E44E5">
              <w:rPr>
                <w:sz w:val="22"/>
                <w:szCs w:val="22"/>
              </w:rPr>
              <w:t>EEF – teaching &amp; learning toolkit</w:t>
            </w:r>
          </w:p>
          <w:p w14:paraId="185F7F68" w14:textId="77777777" w:rsidR="00E66360" w:rsidRPr="004E44E5" w:rsidRDefault="00E66360" w:rsidP="00902123">
            <w:pPr>
              <w:pStyle w:val="TableRowCentered"/>
              <w:ind w:left="0"/>
              <w:jc w:val="left"/>
              <w:rPr>
                <w:sz w:val="22"/>
                <w:szCs w:val="22"/>
              </w:rPr>
            </w:pPr>
            <w:r w:rsidRPr="004E44E5">
              <w:rPr>
                <w:sz w:val="22"/>
                <w:szCs w:val="22"/>
              </w:rPr>
              <w:t xml:space="preserve">Small group tuition </w:t>
            </w:r>
          </w:p>
          <w:p w14:paraId="22A769DD" w14:textId="77777777" w:rsidR="00E66360" w:rsidRPr="004E44E5" w:rsidRDefault="00E66360" w:rsidP="00902123">
            <w:pPr>
              <w:pStyle w:val="TableRowCentered"/>
              <w:ind w:left="0"/>
              <w:jc w:val="left"/>
              <w:rPr>
                <w:sz w:val="22"/>
                <w:szCs w:val="22"/>
              </w:rPr>
            </w:pPr>
            <w:r w:rsidRPr="004E44E5">
              <w:rPr>
                <w:sz w:val="22"/>
                <w:szCs w:val="22"/>
              </w:rPr>
              <w:t>Moderate impact for low cost</w:t>
            </w:r>
          </w:p>
          <w:p w14:paraId="0AB18BEB" w14:textId="6EC39474" w:rsidR="00E66360" w:rsidRDefault="001A5436" w:rsidP="00E66360">
            <w:pPr>
              <w:pStyle w:val="TableRowCentered"/>
              <w:ind w:left="0" w:right="0"/>
              <w:jc w:val="left"/>
              <w:rPr>
                <w:sz w:val="22"/>
              </w:rPr>
            </w:pPr>
            <w:hyperlink r:id="rId29" w:history="1">
              <w:r w:rsidR="005C4C57" w:rsidRPr="005C4C57">
                <w:rPr>
                  <w:rStyle w:val="Hyperlink"/>
                  <w:sz w:val="22"/>
                </w:rPr>
                <w:t>Small group tuition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6AF8" w14:textId="0B94F5CA" w:rsidR="00E66360" w:rsidRDefault="00E66360" w:rsidP="00E66360">
            <w:pPr>
              <w:pStyle w:val="TableRowCentered"/>
              <w:ind w:left="0" w:right="0"/>
              <w:jc w:val="left"/>
              <w:rPr>
                <w:sz w:val="22"/>
              </w:rPr>
            </w:pPr>
            <w:r w:rsidRPr="004E44E5">
              <w:rPr>
                <w:sz w:val="22"/>
                <w:szCs w:val="22"/>
              </w:rPr>
              <w:t>1,</w:t>
            </w:r>
            <w:r>
              <w:rPr>
                <w:sz w:val="22"/>
                <w:szCs w:val="22"/>
              </w:rPr>
              <w:t xml:space="preserve"> 2,</w:t>
            </w:r>
            <w:r w:rsidRPr="004E44E5">
              <w:rPr>
                <w:sz w:val="22"/>
                <w:szCs w:val="22"/>
              </w:rPr>
              <w:t xml:space="preserve"> </w:t>
            </w:r>
            <w:r>
              <w:rPr>
                <w:sz w:val="22"/>
                <w:szCs w:val="22"/>
              </w:rPr>
              <w:t>3</w:t>
            </w:r>
            <w:r w:rsidRPr="004E44E5">
              <w:rPr>
                <w:sz w:val="22"/>
                <w:szCs w:val="22"/>
              </w:rPr>
              <w:t xml:space="preserve"> &amp; </w:t>
            </w:r>
            <w:r>
              <w:rPr>
                <w:sz w:val="22"/>
                <w:szCs w:val="22"/>
              </w:rPr>
              <w:t>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5078670" w:rsidR="00E66558" w:rsidRDefault="009D71E8">
      <w:pPr>
        <w:spacing w:before="240" w:after="120"/>
      </w:pPr>
      <w:r>
        <w:t>Budgeted cost: £</w:t>
      </w:r>
      <w:r w:rsidR="00056C0A">
        <w:t>78,</w:t>
      </w:r>
      <w:r w:rsidR="00EA2DF2">
        <w:t>640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D9283D"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E27EE79" w:rsidR="00D9283D" w:rsidRPr="0003175F" w:rsidRDefault="00D9283D" w:rsidP="00D9283D">
            <w:pPr>
              <w:pStyle w:val="TableRow"/>
              <w:ind w:left="0" w:right="0"/>
              <w:rPr>
                <w:sz w:val="22"/>
                <w:szCs w:val="22"/>
              </w:rPr>
            </w:pPr>
            <w:r w:rsidRPr="0003175F">
              <w:rPr>
                <w:sz w:val="22"/>
                <w:szCs w:val="22"/>
              </w:rPr>
              <w:t xml:space="preserve">A full-time Family Support Worker who supports children (and their families) to make appropriate decisions in relation to educational, well-being and behaviour.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6629" w14:textId="6EEB4426" w:rsidR="00F11AB4" w:rsidRPr="00F9001C" w:rsidRDefault="00F11AB4" w:rsidP="00F11AB4">
            <w:pPr>
              <w:pStyle w:val="TableRowCentered"/>
              <w:ind w:left="0"/>
              <w:jc w:val="left"/>
              <w:rPr>
                <w:sz w:val="22"/>
                <w:szCs w:val="22"/>
              </w:rPr>
            </w:pPr>
            <w:r w:rsidRPr="00F9001C">
              <w:rPr>
                <w:sz w:val="22"/>
                <w:szCs w:val="22"/>
              </w:rPr>
              <w:t>EEF teaching &amp; learning toolkit +</w:t>
            </w:r>
            <w:r w:rsidR="008031DD">
              <w:rPr>
                <w:sz w:val="22"/>
                <w:szCs w:val="22"/>
              </w:rPr>
              <w:t>4</w:t>
            </w:r>
          </w:p>
          <w:p w14:paraId="52129B5B" w14:textId="1AA05B57" w:rsidR="00F11AB4" w:rsidRPr="00DC695C" w:rsidRDefault="00F11AB4" w:rsidP="00F11AB4">
            <w:pPr>
              <w:pStyle w:val="TableRowCentered"/>
              <w:ind w:left="0"/>
              <w:jc w:val="left"/>
              <w:rPr>
                <w:sz w:val="22"/>
                <w:szCs w:val="22"/>
              </w:rPr>
            </w:pPr>
            <w:r>
              <w:rPr>
                <w:sz w:val="22"/>
                <w:szCs w:val="22"/>
              </w:rPr>
              <w:t>Parental Engagement</w:t>
            </w:r>
            <w:r w:rsidR="008031DD">
              <w:rPr>
                <w:sz w:val="22"/>
                <w:szCs w:val="22"/>
              </w:rPr>
              <w:t xml:space="preserve"> (</w:t>
            </w:r>
            <w:r w:rsidR="008031DD" w:rsidRPr="008031DD">
              <w:rPr>
                <w:sz w:val="22"/>
                <w:szCs w:val="22"/>
              </w:rPr>
              <w:t>more intensive programmes for families in crisis</w:t>
            </w:r>
            <w:r w:rsidR="008031DD">
              <w:rPr>
                <w:sz w:val="22"/>
                <w:szCs w:val="22"/>
              </w:rPr>
              <w:t>)</w:t>
            </w:r>
            <w:r w:rsidRPr="00F9001C">
              <w:rPr>
                <w:sz w:val="22"/>
                <w:szCs w:val="22"/>
              </w:rPr>
              <w:t xml:space="preserve"> – </w:t>
            </w:r>
            <w:r w:rsidR="00DC695C">
              <w:rPr>
                <w:sz w:val="22"/>
                <w:szCs w:val="22"/>
              </w:rPr>
              <w:t>mod</w:t>
            </w:r>
            <w:r w:rsidR="00DC695C" w:rsidRPr="00DC695C">
              <w:rPr>
                <w:sz w:val="22"/>
                <w:szCs w:val="22"/>
              </w:rPr>
              <w:t>erate</w:t>
            </w:r>
            <w:r w:rsidRPr="00DC695C">
              <w:rPr>
                <w:sz w:val="22"/>
                <w:szCs w:val="22"/>
              </w:rPr>
              <w:t xml:space="preserve"> impact for very low cost.</w:t>
            </w:r>
          </w:p>
          <w:p w14:paraId="2A7D5539" w14:textId="1EB55A40" w:rsidR="00F11AB4" w:rsidRPr="0003175F" w:rsidRDefault="001A5436" w:rsidP="00D9283D">
            <w:pPr>
              <w:pStyle w:val="TableRowCentered"/>
              <w:ind w:left="0" w:right="0"/>
              <w:jc w:val="left"/>
              <w:rPr>
                <w:sz w:val="22"/>
                <w:szCs w:val="22"/>
              </w:rPr>
            </w:pPr>
            <w:hyperlink r:id="rId30" w:history="1">
              <w:r w:rsidR="00F11AB4" w:rsidRPr="00DC695C">
                <w:rPr>
                  <w:rStyle w:val="Hyperlink"/>
                  <w:sz w:val="22"/>
                  <w:szCs w:val="22"/>
                </w:rPr>
                <w:t>Parental engagement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16FB328" w:rsidR="00D9283D" w:rsidRPr="0003175F" w:rsidRDefault="00D9283D" w:rsidP="00D9283D">
            <w:pPr>
              <w:pStyle w:val="TableRowCentered"/>
              <w:ind w:left="0" w:right="0"/>
              <w:jc w:val="left"/>
              <w:rPr>
                <w:sz w:val="22"/>
                <w:szCs w:val="22"/>
              </w:rPr>
            </w:pPr>
            <w:r w:rsidRPr="0003175F">
              <w:rPr>
                <w:sz w:val="22"/>
                <w:szCs w:val="22"/>
              </w:rPr>
              <w:t>1, 2, 3, 4</w:t>
            </w:r>
            <w:r w:rsidR="0034555D">
              <w:rPr>
                <w:sz w:val="22"/>
                <w:szCs w:val="22"/>
              </w:rPr>
              <w:t xml:space="preserve">, </w:t>
            </w:r>
            <w:r w:rsidR="0034555D" w:rsidRPr="008F2C5F">
              <w:rPr>
                <w:b/>
                <w:bCs/>
                <w:sz w:val="22"/>
                <w:szCs w:val="22"/>
              </w:rPr>
              <w:t>5</w:t>
            </w:r>
            <w:r w:rsidR="008F2C5F">
              <w:rPr>
                <w:sz w:val="22"/>
                <w:szCs w:val="22"/>
              </w:rPr>
              <w:t xml:space="preserve">, 6 &amp; </w:t>
            </w:r>
            <w:r w:rsidR="008F2C5F" w:rsidRPr="008F2C5F">
              <w:rPr>
                <w:b/>
                <w:bCs/>
                <w:sz w:val="22"/>
                <w:szCs w:val="22"/>
              </w:rPr>
              <w:t>7</w:t>
            </w:r>
          </w:p>
        </w:tc>
      </w:tr>
      <w:tr w:rsidR="00D9283D"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2092EC2" w:rsidR="00D9283D" w:rsidRPr="0003175F" w:rsidRDefault="00D9283D" w:rsidP="00D9283D">
            <w:pPr>
              <w:pStyle w:val="TableRow"/>
              <w:ind w:left="0" w:right="0"/>
              <w:rPr>
                <w:i/>
                <w:sz w:val="22"/>
                <w:szCs w:val="22"/>
              </w:rPr>
            </w:pPr>
            <w:r w:rsidRPr="0003175F">
              <w:rPr>
                <w:iCs/>
                <w:sz w:val="22"/>
                <w:szCs w:val="22"/>
              </w:rPr>
              <w:t xml:space="preserve">A range of free extra-curricular clubs to support academic, physical and social &amp; emotional development.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9774" w14:textId="77777777" w:rsidR="00D9283D" w:rsidRPr="0003175F" w:rsidRDefault="00D9283D" w:rsidP="00DC695C">
            <w:pPr>
              <w:pStyle w:val="TableRowCentered"/>
              <w:ind w:left="0"/>
              <w:jc w:val="left"/>
              <w:rPr>
                <w:sz w:val="22"/>
                <w:szCs w:val="22"/>
              </w:rPr>
            </w:pPr>
            <w:r w:rsidRPr="0003175F">
              <w:rPr>
                <w:sz w:val="22"/>
                <w:szCs w:val="22"/>
              </w:rPr>
              <w:t>EEF – teaching &amp; learning toolkit</w:t>
            </w:r>
          </w:p>
          <w:p w14:paraId="12E601DA" w14:textId="77777777" w:rsidR="00D9283D" w:rsidRPr="0003175F" w:rsidRDefault="00D9283D" w:rsidP="00DC695C">
            <w:pPr>
              <w:pStyle w:val="TableRowCentered"/>
              <w:ind w:left="0"/>
              <w:jc w:val="left"/>
              <w:rPr>
                <w:sz w:val="22"/>
                <w:szCs w:val="22"/>
              </w:rPr>
            </w:pPr>
            <w:r w:rsidRPr="0003175F">
              <w:rPr>
                <w:sz w:val="22"/>
                <w:szCs w:val="22"/>
              </w:rPr>
              <w:t>Social and emotional learning – moderate impact for very low cost.</w:t>
            </w:r>
          </w:p>
          <w:p w14:paraId="1CE1D154" w14:textId="0C5343E2" w:rsidR="00D9283D" w:rsidRPr="002E0B8B" w:rsidRDefault="001A5436" w:rsidP="002E0B8B">
            <w:pPr>
              <w:pStyle w:val="TableRowCentered"/>
              <w:ind w:left="0"/>
              <w:jc w:val="left"/>
              <w:rPr>
                <w:sz w:val="22"/>
                <w:szCs w:val="22"/>
              </w:rPr>
            </w:pPr>
            <w:hyperlink r:id="rId31" w:history="1">
              <w:r w:rsidR="002E0B8B" w:rsidRPr="002E0B8B">
                <w:rPr>
                  <w:rStyle w:val="Hyperlink"/>
                  <w:sz w:val="22"/>
                  <w:szCs w:val="22"/>
                </w:rPr>
                <w:t>Social and emotional learning | EEF</w:t>
              </w:r>
            </w:hyperlink>
          </w:p>
          <w:p w14:paraId="3A233B20" w14:textId="77777777" w:rsidR="002E0B8B" w:rsidRDefault="002E0B8B" w:rsidP="00DC695C">
            <w:pPr>
              <w:pStyle w:val="TableRowCentered"/>
              <w:ind w:left="0"/>
              <w:jc w:val="left"/>
              <w:rPr>
                <w:sz w:val="22"/>
                <w:szCs w:val="22"/>
              </w:rPr>
            </w:pPr>
          </w:p>
          <w:p w14:paraId="1E2841C9" w14:textId="5BD94B1B" w:rsidR="00D9283D" w:rsidRPr="0003175F" w:rsidRDefault="00D9283D" w:rsidP="00DC695C">
            <w:pPr>
              <w:pStyle w:val="TableRowCentered"/>
              <w:ind w:left="0"/>
              <w:jc w:val="left"/>
              <w:rPr>
                <w:sz w:val="22"/>
                <w:szCs w:val="22"/>
              </w:rPr>
            </w:pPr>
            <w:r w:rsidRPr="0003175F">
              <w:rPr>
                <w:sz w:val="22"/>
                <w:szCs w:val="22"/>
              </w:rPr>
              <w:t xml:space="preserve">Extending school time – </w:t>
            </w:r>
          </w:p>
          <w:p w14:paraId="521A4DA8" w14:textId="77777777" w:rsidR="00D9283D" w:rsidRDefault="00D9283D" w:rsidP="00D9283D">
            <w:pPr>
              <w:pStyle w:val="TableRowCentered"/>
              <w:ind w:left="0" w:right="0"/>
              <w:jc w:val="left"/>
              <w:rPr>
                <w:sz w:val="22"/>
                <w:szCs w:val="22"/>
              </w:rPr>
            </w:pPr>
            <w:r w:rsidRPr="0003175F">
              <w:rPr>
                <w:sz w:val="22"/>
                <w:szCs w:val="22"/>
              </w:rPr>
              <w:t>Moderate impact for moderate cost.</w:t>
            </w:r>
          </w:p>
          <w:p w14:paraId="2A7D553D" w14:textId="5A6EB5B5" w:rsidR="0080448D" w:rsidRPr="0080448D" w:rsidRDefault="001A5436" w:rsidP="00D9283D">
            <w:pPr>
              <w:pStyle w:val="TableRowCentered"/>
              <w:ind w:left="0" w:right="0"/>
              <w:jc w:val="left"/>
              <w:rPr>
                <w:sz w:val="22"/>
                <w:szCs w:val="22"/>
              </w:rPr>
            </w:pPr>
            <w:hyperlink r:id="rId32" w:history="1">
              <w:r w:rsidR="0080448D" w:rsidRPr="0080448D">
                <w:rPr>
                  <w:rStyle w:val="Hyperlink"/>
                  <w:sz w:val="22"/>
                  <w:szCs w:val="22"/>
                </w:rPr>
                <w:t>Extending school time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64CB21E" w:rsidR="00D9283D" w:rsidRPr="0003175F" w:rsidRDefault="00F13F9D" w:rsidP="00D9283D">
            <w:pPr>
              <w:pStyle w:val="TableRowCentered"/>
              <w:ind w:left="0" w:right="0"/>
              <w:jc w:val="left"/>
              <w:rPr>
                <w:sz w:val="22"/>
                <w:szCs w:val="22"/>
              </w:rPr>
            </w:pPr>
            <w:r>
              <w:rPr>
                <w:sz w:val="22"/>
                <w:szCs w:val="22"/>
              </w:rPr>
              <w:t xml:space="preserve">5, </w:t>
            </w:r>
            <w:r w:rsidRPr="00BA61F8">
              <w:rPr>
                <w:b/>
                <w:bCs/>
                <w:sz w:val="22"/>
                <w:szCs w:val="22"/>
              </w:rPr>
              <w:t>6</w:t>
            </w:r>
            <w:r>
              <w:rPr>
                <w:sz w:val="22"/>
                <w:szCs w:val="22"/>
              </w:rPr>
              <w:t xml:space="preserve"> &amp; 7</w:t>
            </w:r>
          </w:p>
        </w:tc>
      </w:tr>
      <w:tr w:rsidR="00D9283D" w14:paraId="7117C8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9A130" w14:textId="6E33DBC2" w:rsidR="00D9283D" w:rsidRPr="0003175F" w:rsidRDefault="00D9283D" w:rsidP="00D9283D">
            <w:pPr>
              <w:pStyle w:val="TableRow"/>
              <w:ind w:left="0" w:right="0"/>
              <w:rPr>
                <w:i/>
                <w:sz w:val="22"/>
                <w:szCs w:val="22"/>
              </w:rPr>
            </w:pPr>
            <w:r w:rsidRPr="0003175F">
              <w:rPr>
                <w:iCs/>
                <w:sz w:val="22"/>
                <w:szCs w:val="22"/>
              </w:rPr>
              <w:t>Music tuition and access to a Berkshire wide music festival to improve cultural capital and life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8B33" w14:textId="77777777" w:rsidR="00D9283D" w:rsidRPr="0003175F" w:rsidRDefault="00D9283D" w:rsidP="00DC695C">
            <w:pPr>
              <w:pStyle w:val="TableRowCentered"/>
              <w:ind w:left="0"/>
              <w:jc w:val="left"/>
              <w:rPr>
                <w:sz w:val="22"/>
                <w:szCs w:val="22"/>
              </w:rPr>
            </w:pPr>
            <w:r w:rsidRPr="0003175F">
              <w:rPr>
                <w:sz w:val="22"/>
                <w:szCs w:val="22"/>
              </w:rPr>
              <w:t>EEF – teaching &amp; learning toolkit</w:t>
            </w:r>
          </w:p>
          <w:p w14:paraId="5AF0769A" w14:textId="77777777" w:rsidR="00D9283D" w:rsidRDefault="00D9283D" w:rsidP="00D9283D">
            <w:pPr>
              <w:pStyle w:val="TableRowCentered"/>
              <w:ind w:left="0" w:right="0"/>
              <w:jc w:val="left"/>
              <w:rPr>
                <w:sz w:val="22"/>
                <w:szCs w:val="22"/>
              </w:rPr>
            </w:pPr>
            <w:r w:rsidRPr="0003175F">
              <w:rPr>
                <w:sz w:val="22"/>
                <w:szCs w:val="22"/>
              </w:rPr>
              <w:t>Arts Participation – Moderate impact for very low cost.</w:t>
            </w:r>
          </w:p>
          <w:p w14:paraId="07495D7F" w14:textId="678AB04C" w:rsidR="00345DEE" w:rsidRPr="0003175F" w:rsidRDefault="001A5436" w:rsidP="00D9283D">
            <w:pPr>
              <w:pStyle w:val="TableRowCentered"/>
              <w:ind w:left="0" w:right="0"/>
              <w:jc w:val="left"/>
              <w:rPr>
                <w:sz w:val="22"/>
                <w:szCs w:val="22"/>
              </w:rPr>
            </w:pPr>
            <w:hyperlink r:id="rId33" w:history="1">
              <w:r w:rsidR="00345DEE" w:rsidRPr="00345DEE">
                <w:rPr>
                  <w:rStyle w:val="Hyperlink"/>
                  <w:sz w:val="22"/>
                  <w:szCs w:val="22"/>
                </w:rPr>
                <w:t>Arts participation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48750" w14:textId="0D710B45" w:rsidR="00D9283D" w:rsidRPr="0003175F" w:rsidRDefault="00F13F9D" w:rsidP="00D9283D">
            <w:pPr>
              <w:pStyle w:val="TableRowCentered"/>
              <w:ind w:left="0" w:right="0"/>
              <w:jc w:val="left"/>
              <w:rPr>
                <w:sz w:val="22"/>
                <w:szCs w:val="22"/>
              </w:rPr>
            </w:pPr>
            <w:r w:rsidRPr="00BA61F8">
              <w:rPr>
                <w:b/>
                <w:bCs/>
                <w:sz w:val="22"/>
                <w:szCs w:val="22"/>
              </w:rPr>
              <w:t>5</w:t>
            </w:r>
            <w:r>
              <w:rPr>
                <w:sz w:val="22"/>
                <w:szCs w:val="22"/>
              </w:rPr>
              <w:t>, 6 &amp; 7</w:t>
            </w:r>
          </w:p>
        </w:tc>
      </w:tr>
      <w:tr w:rsidR="00D9283D" w14:paraId="126236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BD8DF" w14:textId="104CC110" w:rsidR="00D9283D" w:rsidRPr="0003175F" w:rsidRDefault="00D9283D" w:rsidP="00D9283D">
            <w:pPr>
              <w:pStyle w:val="TableRow"/>
              <w:ind w:left="0" w:right="0"/>
              <w:rPr>
                <w:i/>
                <w:sz w:val="22"/>
                <w:szCs w:val="22"/>
              </w:rPr>
            </w:pPr>
            <w:r w:rsidRPr="0003175F">
              <w:rPr>
                <w:iCs/>
                <w:sz w:val="22"/>
                <w:szCs w:val="22"/>
              </w:rPr>
              <w:lastRenderedPageBreak/>
              <w:t xml:space="preserve">Residential and day trips to improve cultural capital and life experiences.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3D41" w14:textId="77777777" w:rsidR="00D9283D" w:rsidRPr="0003175F" w:rsidRDefault="00D9283D" w:rsidP="00D9283D">
            <w:pPr>
              <w:pStyle w:val="TableRowCentered"/>
              <w:jc w:val="left"/>
              <w:rPr>
                <w:sz w:val="22"/>
                <w:szCs w:val="22"/>
              </w:rPr>
            </w:pPr>
            <w:r w:rsidRPr="0003175F">
              <w:rPr>
                <w:sz w:val="22"/>
                <w:szCs w:val="22"/>
              </w:rPr>
              <w:t>EEF – teaching &amp; learning toolkit</w:t>
            </w:r>
          </w:p>
          <w:p w14:paraId="3DDBE157" w14:textId="77777777" w:rsidR="00D9283D" w:rsidRPr="0003175F" w:rsidRDefault="00D9283D" w:rsidP="00D9283D">
            <w:pPr>
              <w:pStyle w:val="TableRowCentered"/>
              <w:ind w:left="0" w:righ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0A9E3" w14:textId="185DEE55" w:rsidR="00D9283D" w:rsidRPr="0003175F" w:rsidRDefault="00F13F9D" w:rsidP="00D9283D">
            <w:pPr>
              <w:pStyle w:val="TableRowCentered"/>
              <w:ind w:left="0" w:right="0"/>
              <w:jc w:val="left"/>
              <w:rPr>
                <w:sz w:val="22"/>
                <w:szCs w:val="22"/>
              </w:rPr>
            </w:pPr>
            <w:r>
              <w:rPr>
                <w:sz w:val="22"/>
                <w:szCs w:val="22"/>
              </w:rPr>
              <w:t xml:space="preserve">5, </w:t>
            </w:r>
            <w:r w:rsidRPr="00BA61F8">
              <w:rPr>
                <w:b/>
                <w:bCs/>
                <w:sz w:val="22"/>
                <w:szCs w:val="22"/>
              </w:rPr>
              <w:t>6</w:t>
            </w:r>
            <w:r>
              <w:rPr>
                <w:sz w:val="22"/>
                <w:szCs w:val="22"/>
              </w:rPr>
              <w:t xml:space="preserve"> &amp; 7</w:t>
            </w:r>
          </w:p>
        </w:tc>
      </w:tr>
      <w:tr w:rsidR="00D9283D" w14:paraId="5C8AF6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24C2" w14:textId="73C1B86D" w:rsidR="00D9283D" w:rsidRPr="0003175F" w:rsidRDefault="00D158BA" w:rsidP="00D9283D">
            <w:pPr>
              <w:pStyle w:val="TableRow"/>
              <w:ind w:left="0" w:right="0"/>
              <w:rPr>
                <w:iCs/>
                <w:sz w:val="22"/>
                <w:szCs w:val="22"/>
              </w:rPr>
            </w:pPr>
            <w:r w:rsidRPr="0003175F">
              <w:rPr>
                <w:iCs/>
                <w:sz w:val="22"/>
                <w:szCs w:val="22"/>
              </w:rPr>
              <w:t xml:space="preserve">Development of </w:t>
            </w:r>
            <w:r w:rsidR="007930A8" w:rsidRPr="0003175F">
              <w:rPr>
                <w:iCs/>
                <w:sz w:val="22"/>
                <w:szCs w:val="22"/>
              </w:rPr>
              <w:t xml:space="preserve">a </w:t>
            </w:r>
            <w:r w:rsidR="00821586" w:rsidRPr="0003175F">
              <w:rPr>
                <w:iCs/>
                <w:sz w:val="22"/>
                <w:szCs w:val="22"/>
              </w:rPr>
              <w:t xml:space="preserve">wider Creative-Curriculum </w:t>
            </w:r>
            <w:r w:rsidR="00F15336" w:rsidRPr="0003175F">
              <w:rPr>
                <w:iCs/>
                <w:sz w:val="22"/>
                <w:szCs w:val="22"/>
              </w:rPr>
              <w:t>in partnership with Reading School and Ufton Court</w:t>
            </w:r>
            <w:r w:rsidR="003A479B">
              <w:rPr>
                <w:iCs/>
                <w:sz w:val="22"/>
                <w:szCs w:val="22"/>
              </w:rPr>
              <w:t xml:space="preserve"> </w:t>
            </w:r>
            <w:r w:rsidR="008D5027">
              <w:rPr>
                <w:iCs/>
                <w:sz w:val="22"/>
                <w:szCs w:val="22"/>
              </w:rPr>
              <w:t>which focuses</w:t>
            </w:r>
            <w:r w:rsidR="003071B5">
              <w:rPr>
                <w:iCs/>
                <w:sz w:val="22"/>
                <w:szCs w:val="22"/>
              </w:rPr>
              <w:t xml:space="preserve"> on</w:t>
            </w:r>
            <w:r w:rsidR="004B2AC1">
              <w:rPr>
                <w:iCs/>
                <w:sz w:val="22"/>
                <w:szCs w:val="22"/>
              </w:rPr>
              <w:t xml:space="preserve"> self-regulation,</w:t>
            </w:r>
            <w:r w:rsidR="003A479B">
              <w:rPr>
                <w:iCs/>
                <w:sz w:val="22"/>
                <w:szCs w:val="22"/>
              </w:rPr>
              <w:t xml:space="preserve"> personal development </w:t>
            </w:r>
            <w:r w:rsidR="008D5027">
              <w:rPr>
                <w:iCs/>
                <w:sz w:val="22"/>
                <w:szCs w:val="22"/>
              </w:rPr>
              <w:t>and aspiration</w:t>
            </w:r>
            <w:r w:rsidR="006640D4" w:rsidRPr="0003175F">
              <w:rPr>
                <w:iCs/>
                <w:sz w:val="22"/>
                <w:szCs w:val="22"/>
              </w:rPr>
              <w:t>.</w:t>
            </w:r>
            <w:r w:rsidR="000B0519">
              <w:rPr>
                <w:iCs/>
                <w:sz w:val="22"/>
                <w:szCs w:val="22"/>
              </w:rPr>
              <w:t xml:space="preserve"> Including peer tutoring </w:t>
            </w:r>
            <w:r w:rsidR="00A31E9F">
              <w:rPr>
                <w:iCs/>
                <w:sz w:val="22"/>
                <w:szCs w:val="22"/>
              </w:rPr>
              <w:t>and challenge based</w:t>
            </w:r>
            <w:r w:rsidR="000F16F1">
              <w:rPr>
                <w:iCs/>
                <w:sz w:val="22"/>
                <w:szCs w:val="22"/>
              </w:rPr>
              <w:t>-activities.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E3CB0" w14:textId="77777777" w:rsidR="000F16F1" w:rsidRPr="0003175F" w:rsidRDefault="000F16F1" w:rsidP="000F16F1">
            <w:pPr>
              <w:pStyle w:val="TableRowCentered"/>
              <w:ind w:left="0"/>
              <w:jc w:val="left"/>
              <w:rPr>
                <w:sz w:val="22"/>
                <w:szCs w:val="22"/>
              </w:rPr>
            </w:pPr>
            <w:r w:rsidRPr="0003175F">
              <w:rPr>
                <w:sz w:val="22"/>
                <w:szCs w:val="22"/>
              </w:rPr>
              <w:t>EEF – teaching &amp; learning toolkit</w:t>
            </w:r>
          </w:p>
          <w:p w14:paraId="591AE6C1" w14:textId="0004DFC4" w:rsidR="000F16F1" w:rsidRDefault="000F16F1" w:rsidP="000F16F1">
            <w:pPr>
              <w:pStyle w:val="TableRowCentered"/>
              <w:ind w:left="0" w:right="0"/>
              <w:jc w:val="left"/>
              <w:rPr>
                <w:sz w:val="22"/>
                <w:szCs w:val="22"/>
              </w:rPr>
            </w:pPr>
            <w:r>
              <w:rPr>
                <w:sz w:val="22"/>
                <w:szCs w:val="22"/>
              </w:rPr>
              <w:t>Peer Tutoring</w:t>
            </w:r>
            <w:r w:rsidRPr="0003175F">
              <w:rPr>
                <w:sz w:val="22"/>
                <w:szCs w:val="22"/>
              </w:rPr>
              <w:t xml:space="preserve"> – </w:t>
            </w:r>
            <w:r>
              <w:rPr>
                <w:sz w:val="22"/>
                <w:szCs w:val="22"/>
              </w:rPr>
              <w:t>high</w:t>
            </w:r>
            <w:r w:rsidRPr="0003175F">
              <w:rPr>
                <w:sz w:val="22"/>
                <w:szCs w:val="22"/>
              </w:rPr>
              <w:t xml:space="preserve"> impact for very low cost.</w:t>
            </w:r>
          </w:p>
          <w:p w14:paraId="512486E6" w14:textId="77777777" w:rsidR="000F16F1" w:rsidRDefault="001A5436" w:rsidP="00D9283D">
            <w:pPr>
              <w:pStyle w:val="TableRowCentered"/>
              <w:ind w:left="0" w:right="0"/>
              <w:jc w:val="left"/>
              <w:rPr>
                <w:sz w:val="22"/>
                <w:szCs w:val="22"/>
              </w:rPr>
            </w:pPr>
            <w:hyperlink r:id="rId34" w:history="1">
              <w:r w:rsidR="000F16F1" w:rsidRPr="000F16F1">
                <w:rPr>
                  <w:rStyle w:val="Hyperlink"/>
                  <w:sz w:val="22"/>
                  <w:szCs w:val="22"/>
                </w:rPr>
                <w:t>Peer tutoring | EEF</w:t>
              </w:r>
            </w:hyperlink>
          </w:p>
          <w:p w14:paraId="77D1A8B0" w14:textId="77777777" w:rsidR="00303F1E" w:rsidRDefault="00303F1E" w:rsidP="00303F1E">
            <w:pPr>
              <w:pStyle w:val="TableRowCentered"/>
              <w:ind w:left="0"/>
              <w:jc w:val="left"/>
              <w:rPr>
                <w:sz w:val="22"/>
                <w:szCs w:val="22"/>
              </w:rPr>
            </w:pPr>
          </w:p>
          <w:p w14:paraId="29CDA1C4" w14:textId="4C8436F5" w:rsidR="00303F1E" w:rsidRDefault="00303F1E" w:rsidP="00303F1E">
            <w:pPr>
              <w:pStyle w:val="TableRowCentered"/>
              <w:ind w:left="0"/>
              <w:jc w:val="left"/>
              <w:rPr>
                <w:sz w:val="22"/>
                <w:szCs w:val="22"/>
              </w:rPr>
            </w:pPr>
            <w:r w:rsidRPr="0003175F">
              <w:rPr>
                <w:sz w:val="22"/>
                <w:szCs w:val="22"/>
              </w:rPr>
              <w:t>EEF – teaching &amp; learning toolkit</w:t>
            </w:r>
            <w:r>
              <w:rPr>
                <w:sz w:val="22"/>
                <w:szCs w:val="22"/>
              </w:rPr>
              <w:t xml:space="preserve"> </w:t>
            </w:r>
            <w:r w:rsidRPr="0003175F">
              <w:rPr>
                <w:sz w:val="22"/>
                <w:szCs w:val="22"/>
              </w:rPr>
              <w:t xml:space="preserve">– </w:t>
            </w:r>
            <w:r>
              <w:rPr>
                <w:sz w:val="22"/>
                <w:szCs w:val="22"/>
              </w:rPr>
              <w:t>high</w:t>
            </w:r>
            <w:r w:rsidRPr="0003175F">
              <w:rPr>
                <w:sz w:val="22"/>
                <w:szCs w:val="22"/>
              </w:rPr>
              <w:t xml:space="preserve"> impact for very low cost.</w:t>
            </w:r>
          </w:p>
          <w:p w14:paraId="5E0FE6D7" w14:textId="614B9F8B" w:rsidR="00303F1E" w:rsidRPr="0003175F" w:rsidRDefault="001A5436" w:rsidP="00D9283D">
            <w:pPr>
              <w:pStyle w:val="TableRowCentered"/>
              <w:ind w:left="0" w:right="0"/>
              <w:jc w:val="left"/>
              <w:rPr>
                <w:sz w:val="22"/>
                <w:szCs w:val="22"/>
              </w:rPr>
            </w:pPr>
            <w:hyperlink r:id="rId35" w:history="1">
              <w:r w:rsidR="00303F1E" w:rsidRPr="00303F1E">
                <w:rPr>
                  <w:rStyle w:val="Hyperlink"/>
                  <w:sz w:val="22"/>
                  <w:szCs w:val="22"/>
                </w:rPr>
                <w:t>Metacognition and self-regulation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A112" w14:textId="42F2AC70" w:rsidR="00D9283D" w:rsidRPr="0003175F" w:rsidRDefault="00CE02AE" w:rsidP="00D9283D">
            <w:pPr>
              <w:pStyle w:val="TableRowCentered"/>
              <w:ind w:left="0" w:right="0"/>
              <w:jc w:val="left"/>
              <w:rPr>
                <w:sz w:val="22"/>
                <w:szCs w:val="22"/>
              </w:rPr>
            </w:pPr>
            <w:r w:rsidRPr="0003175F">
              <w:rPr>
                <w:sz w:val="22"/>
                <w:szCs w:val="22"/>
              </w:rPr>
              <w:t>1, 2, 3, 4</w:t>
            </w:r>
            <w:r>
              <w:rPr>
                <w:sz w:val="22"/>
                <w:szCs w:val="22"/>
              </w:rPr>
              <w:t xml:space="preserve">, </w:t>
            </w:r>
            <w:r w:rsidRPr="008F2C5F">
              <w:rPr>
                <w:b/>
                <w:bCs/>
                <w:sz w:val="22"/>
                <w:szCs w:val="22"/>
              </w:rPr>
              <w:t>5</w:t>
            </w:r>
            <w:r>
              <w:rPr>
                <w:sz w:val="22"/>
                <w:szCs w:val="22"/>
              </w:rPr>
              <w:t xml:space="preserve">, 6 &amp; </w:t>
            </w:r>
            <w:r w:rsidRPr="008F2C5F">
              <w:rPr>
                <w:b/>
                <w:bCs/>
                <w:sz w:val="22"/>
                <w:szCs w:val="22"/>
              </w:rPr>
              <w:t>7</w:t>
            </w:r>
          </w:p>
        </w:tc>
      </w:tr>
      <w:tr w:rsidR="00D9283D" w14:paraId="456E02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ABA5" w14:textId="3A106928" w:rsidR="00D9283D" w:rsidRPr="0003175F" w:rsidRDefault="00AA1B41" w:rsidP="00D9283D">
            <w:pPr>
              <w:pStyle w:val="TableRow"/>
              <w:ind w:left="0" w:right="0"/>
              <w:rPr>
                <w:iCs/>
                <w:sz w:val="22"/>
                <w:szCs w:val="22"/>
              </w:rPr>
            </w:pPr>
            <w:r w:rsidRPr="0003175F">
              <w:rPr>
                <w:iCs/>
                <w:sz w:val="22"/>
                <w:szCs w:val="22"/>
              </w:rPr>
              <w:t xml:space="preserve">Incentivising </w:t>
            </w:r>
            <w:r w:rsidR="0090481B" w:rsidRPr="0003175F">
              <w:rPr>
                <w:iCs/>
                <w:sz w:val="22"/>
                <w:szCs w:val="22"/>
              </w:rPr>
              <w:t xml:space="preserve">attendance through whole school </w:t>
            </w:r>
            <w:r w:rsidR="001D3C44" w:rsidRPr="0003175F">
              <w:rPr>
                <w:iCs/>
                <w:sz w:val="22"/>
                <w:szCs w:val="22"/>
              </w:rPr>
              <w:t xml:space="preserve">attendance </w:t>
            </w:r>
            <w:r w:rsidR="0090481B" w:rsidRPr="0003175F">
              <w:rPr>
                <w:iCs/>
                <w:sz w:val="22"/>
                <w:szCs w:val="22"/>
              </w:rPr>
              <w:t>challenges</w:t>
            </w:r>
            <w:r w:rsidR="006640D4" w:rsidRPr="0003175F">
              <w:rPr>
                <w:iCs/>
                <w:sz w:val="22"/>
                <w:szCs w:val="22"/>
              </w:rPr>
              <w:t>.</w:t>
            </w:r>
            <w:r w:rsidR="0090481B" w:rsidRPr="0003175F">
              <w:rPr>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8931" w14:textId="4C67F264" w:rsidR="00D9283D" w:rsidRPr="0003175F" w:rsidRDefault="001A5436" w:rsidP="00D9283D">
            <w:pPr>
              <w:pStyle w:val="TableRowCentered"/>
              <w:ind w:left="0" w:right="0"/>
              <w:jc w:val="left"/>
              <w:rPr>
                <w:sz w:val="22"/>
                <w:szCs w:val="22"/>
              </w:rPr>
            </w:pPr>
            <w:hyperlink r:id="rId36" w:history="1">
              <w:r w:rsidR="001746EB" w:rsidRPr="001746EB">
                <w:rPr>
                  <w:rStyle w:val="Hyperlink"/>
                  <w:sz w:val="22"/>
                  <w:szCs w:val="22"/>
                </w:rPr>
                <w:t>The Evidence Base behind Attendance… | Durrington Research School</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1C1B" w14:textId="45C9E0C3" w:rsidR="00D9283D" w:rsidRPr="0003175F" w:rsidRDefault="001746EB" w:rsidP="00D9283D">
            <w:pPr>
              <w:pStyle w:val="TableRowCentered"/>
              <w:ind w:left="0" w:right="0"/>
              <w:jc w:val="left"/>
              <w:rPr>
                <w:sz w:val="22"/>
                <w:szCs w:val="22"/>
              </w:rPr>
            </w:pPr>
            <w:r>
              <w:rPr>
                <w:sz w:val="22"/>
                <w:szCs w:val="22"/>
              </w:rPr>
              <w:t>7</w:t>
            </w:r>
          </w:p>
        </w:tc>
      </w:tr>
    </w:tbl>
    <w:p w14:paraId="2A7D5541" w14:textId="0CCF996D" w:rsidR="00E66558" w:rsidRDefault="009D71E8" w:rsidP="00120AB1">
      <w:r>
        <w:rPr>
          <w:b/>
          <w:bCs/>
          <w:color w:val="104F75"/>
          <w:sz w:val="28"/>
          <w:szCs w:val="28"/>
        </w:rPr>
        <w:t xml:space="preserve">Total budgeted cost: £ </w:t>
      </w:r>
      <w:r w:rsidR="00703D49">
        <w:rPr>
          <w:i/>
          <w:iCs/>
          <w:color w:val="104F75"/>
          <w:sz w:val="28"/>
          <w:szCs w:val="28"/>
        </w:rPr>
        <w:t>137,640</w:t>
      </w:r>
      <w:r w:rsidR="00C83F08">
        <w:rPr>
          <w:i/>
          <w:iCs/>
          <w:color w:val="104F75"/>
          <w:sz w:val="28"/>
          <w:szCs w:val="28"/>
        </w:rPr>
        <w:t>.00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68DAE" w14:textId="77777777" w:rsidR="00FA26AC" w:rsidRDefault="006F1AFA" w:rsidP="006F1AFA">
            <w:pPr>
              <w:rPr>
                <w:sz w:val="22"/>
                <w:szCs w:val="22"/>
                <w:lang w:eastAsia="en-US"/>
              </w:rPr>
            </w:pPr>
            <w:r>
              <w:rPr>
                <w:sz w:val="22"/>
                <w:szCs w:val="22"/>
                <w:lang w:eastAsia="en-US"/>
              </w:rPr>
              <w:t>Validated statutory</w:t>
            </w:r>
            <w:r w:rsidRPr="2C7DA403">
              <w:rPr>
                <w:sz w:val="22"/>
                <w:szCs w:val="22"/>
                <w:lang w:eastAsia="en-US"/>
              </w:rPr>
              <w:t xml:space="preserve"> assessment data </w:t>
            </w:r>
            <w:r w:rsidR="00D50F7E">
              <w:rPr>
                <w:sz w:val="22"/>
                <w:szCs w:val="22"/>
                <w:lang w:eastAsia="en-US"/>
              </w:rPr>
              <w:t xml:space="preserve">in </w:t>
            </w:r>
            <w:r w:rsidRPr="2C7DA403">
              <w:rPr>
                <w:sz w:val="22"/>
                <w:szCs w:val="22"/>
                <w:lang w:eastAsia="en-US"/>
              </w:rPr>
              <w:t>20</w:t>
            </w:r>
            <w:r>
              <w:rPr>
                <w:sz w:val="22"/>
                <w:szCs w:val="22"/>
                <w:lang w:eastAsia="en-US"/>
              </w:rPr>
              <w:t>23</w:t>
            </w:r>
            <w:r w:rsidRPr="2C7DA403">
              <w:rPr>
                <w:sz w:val="22"/>
                <w:szCs w:val="22"/>
                <w:lang w:eastAsia="en-US"/>
              </w:rPr>
              <w:t>/</w:t>
            </w:r>
            <w:r>
              <w:rPr>
                <w:sz w:val="22"/>
                <w:szCs w:val="22"/>
                <w:lang w:eastAsia="en-US"/>
              </w:rPr>
              <w:t>24</w:t>
            </w:r>
            <w:r w:rsidRPr="2C7DA403">
              <w:rPr>
                <w:sz w:val="22"/>
                <w:szCs w:val="22"/>
                <w:lang w:eastAsia="en-US"/>
              </w:rPr>
              <w:t xml:space="preserve"> </w:t>
            </w:r>
            <w:r>
              <w:rPr>
                <w:sz w:val="22"/>
                <w:szCs w:val="22"/>
                <w:lang w:eastAsia="en-US"/>
              </w:rPr>
              <w:t>shows</w:t>
            </w:r>
            <w:r w:rsidRPr="2C7DA403">
              <w:rPr>
                <w:sz w:val="22"/>
                <w:szCs w:val="22"/>
                <w:lang w:eastAsia="en-US"/>
              </w:rPr>
              <w:t xml:space="preserve"> that the performance of disadvantaged</w:t>
            </w:r>
            <w:r w:rsidR="006B1B26">
              <w:rPr>
                <w:sz w:val="22"/>
                <w:szCs w:val="22"/>
                <w:lang w:eastAsia="en-US"/>
              </w:rPr>
              <w:t xml:space="preserve"> children</w:t>
            </w:r>
            <w:r w:rsidR="00F94033">
              <w:rPr>
                <w:sz w:val="22"/>
                <w:szCs w:val="22"/>
                <w:lang w:eastAsia="en-US"/>
              </w:rPr>
              <w:t xml:space="preserve"> did improve from 2022/23</w:t>
            </w:r>
            <w:r w:rsidR="00D50F7E">
              <w:rPr>
                <w:sz w:val="22"/>
                <w:szCs w:val="22"/>
                <w:lang w:eastAsia="en-US"/>
              </w:rPr>
              <w:t xml:space="preserve"> but is still</w:t>
            </w:r>
            <w:r>
              <w:rPr>
                <w:sz w:val="22"/>
                <w:szCs w:val="22"/>
                <w:lang w:eastAsia="en-US"/>
              </w:rPr>
              <w:t xml:space="preserve"> lower than their non-disadvantaged peers in combined RWM outcomes </w:t>
            </w:r>
            <w:r w:rsidR="00FD5439">
              <w:rPr>
                <w:sz w:val="22"/>
                <w:szCs w:val="22"/>
                <w:lang w:eastAsia="en-US"/>
              </w:rPr>
              <w:t xml:space="preserve">in </w:t>
            </w:r>
            <w:r>
              <w:rPr>
                <w:sz w:val="22"/>
                <w:szCs w:val="22"/>
                <w:lang w:eastAsia="en-US"/>
              </w:rPr>
              <w:t>Key Stage 2. The</w:t>
            </w:r>
            <w:r w:rsidR="00CA5722">
              <w:rPr>
                <w:sz w:val="22"/>
                <w:szCs w:val="22"/>
                <w:lang w:eastAsia="en-US"/>
              </w:rPr>
              <w:t xml:space="preserve">re </w:t>
            </w:r>
            <w:r w:rsidR="00585D11">
              <w:rPr>
                <w:sz w:val="22"/>
                <w:szCs w:val="22"/>
                <w:lang w:eastAsia="en-US"/>
              </w:rPr>
              <w:t>remains</w:t>
            </w:r>
            <w:r w:rsidR="00CA5722">
              <w:rPr>
                <w:sz w:val="22"/>
                <w:szCs w:val="22"/>
                <w:lang w:eastAsia="en-US"/>
              </w:rPr>
              <w:t xml:space="preserve"> an</w:t>
            </w:r>
            <w:r>
              <w:rPr>
                <w:sz w:val="22"/>
                <w:szCs w:val="22"/>
                <w:lang w:eastAsia="en-US"/>
              </w:rPr>
              <w:t xml:space="preserve"> attainment gap for disadvantaged pupils across Key Stage 2 especially in reading and maths. </w:t>
            </w:r>
          </w:p>
          <w:p w14:paraId="7B421EB2" w14:textId="6AEDAF08" w:rsidR="006F1AFA" w:rsidRDefault="00585D11" w:rsidP="006F1AFA">
            <w:pPr>
              <w:rPr>
                <w:sz w:val="22"/>
                <w:szCs w:val="22"/>
                <w:lang w:eastAsia="en-US"/>
              </w:rPr>
            </w:pPr>
            <w:r>
              <w:rPr>
                <w:sz w:val="22"/>
                <w:szCs w:val="22"/>
                <w:lang w:eastAsia="en-US"/>
              </w:rPr>
              <w:t xml:space="preserve">In Key Stage 1, disadvantaged children out performed </w:t>
            </w:r>
            <w:r w:rsidR="00C35603">
              <w:rPr>
                <w:sz w:val="22"/>
                <w:szCs w:val="22"/>
                <w:lang w:eastAsia="en-US"/>
              </w:rPr>
              <w:t xml:space="preserve">their non-disadvantaged peers in phonics although </w:t>
            </w:r>
            <w:r w:rsidR="000B75B1">
              <w:rPr>
                <w:sz w:val="22"/>
                <w:szCs w:val="22"/>
                <w:lang w:eastAsia="en-US"/>
              </w:rPr>
              <w:t>the</w:t>
            </w:r>
            <w:r w:rsidR="00960EB0">
              <w:rPr>
                <w:sz w:val="22"/>
                <w:szCs w:val="22"/>
                <w:lang w:eastAsia="en-US"/>
              </w:rPr>
              <w:t xml:space="preserve"> overall</w:t>
            </w:r>
            <w:r w:rsidR="000B75B1">
              <w:rPr>
                <w:sz w:val="22"/>
                <w:szCs w:val="22"/>
                <w:lang w:eastAsia="en-US"/>
              </w:rPr>
              <w:t xml:space="preserve"> percentage of children </w:t>
            </w:r>
            <w:r w:rsidR="00960EB0">
              <w:rPr>
                <w:sz w:val="22"/>
                <w:szCs w:val="22"/>
                <w:lang w:eastAsia="en-US"/>
              </w:rPr>
              <w:t>achieving the age expected standard in phonics was significantly below the national average.</w:t>
            </w:r>
          </w:p>
          <w:p w14:paraId="7CBF8FB6" w14:textId="7E70EC0A" w:rsidR="0096296D" w:rsidRDefault="00AF6AD1" w:rsidP="006F1AFA">
            <w:pPr>
              <w:rPr>
                <w:sz w:val="22"/>
                <w:szCs w:val="22"/>
                <w:lang w:eastAsia="en-US"/>
              </w:rPr>
            </w:pPr>
            <w:r>
              <w:rPr>
                <w:sz w:val="22"/>
                <w:szCs w:val="22"/>
                <w:lang w:eastAsia="en-US"/>
              </w:rPr>
              <w:t xml:space="preserve">In EYFS, </w:t>
            </w:r>
            <w:r w:rsidR="00F30E9D">
              <w:rPr>
                <w:sz w:val="22"/>
                <w:szCs w:val="22"/>
                <w:lang w:eastAsia="en-US"/>
              </w:rPr>
              <w:t xml:space="preserve">significantly </w:t>
            </w:r>
            <w:r w:rsidR="007F7300">
              <w:rPr>
                <w:sz w:val="22"/>
                <w:szCs w:val="22"/>
                <w:lang w:eastAsia="en-US"/>
              </w:rPr>
              <w:t>fewer</w:t>
            </w:r>
            <w:r w:rsidR="00F30E9D">
              <w:rPr>
                <w:sz w:val="22"/>
                <w:szCs w:val="22"/>
                <w:lang w:eastAsia="en-US"/>
              </w:rPr>
              <w:t xml:space="preserve"> disadvantaged children achieved a good level of development </w:t>
            </w:r>
            <w:r w:rsidR="00FE34D3">
              <w:rPr>
                <w:sz w:val="22"/>
                <w:szCs w:val="22"/>
                <w:lang w:eastAsia="en-US"/>
              </w:rPr>
              <w:t xml:space="preserve">when compared to their non-disadvantaged peers. </w:t>
            </w:r>
          </w:p>
          <w:p w14:paraId="72D66386" w14:textId="77777777" w:rsidR="007646FD" w:rsidRDefault="006F1AFA" w:rsidP="006F1AFA">
            <w:pPr>
              <w:rPr>
                <w:rFonts w:eastAsia="Arial" w:cs="Arial"/>
                <w:color w:val="000000" w:themeColor="text1"/>
                <w:sz w:val="22"/>
                <w:szCs w:val="22"/>
              </w:rPr>
            </w:pPr>
            <w:r w:rsidRPr="2C7DA403">
              <w:rPr>
                <w:rFonts w:eastAsia="Arial" w:cs="Arial"/>
                <w:color w:val="000000" w:themeColor="text1"/>
                <w:sz w:val="22"/>
                <w:szCs w:val="22"/>
              </w:rPr>
              <w:t>Our assessment of the reasons for these outcomes' points primarily to</w:t>
            </w:r>
            <w:r>
              <w:rPr>
                <w:rFonts w:eastAsia="Arial" w:cs="Arial"/>
                <w:color w:val="000000" w:themeColor="text1"/>
                <w:sz w:val="22"/>
                <w:szCs w:val="22"/>
              </w:rPr>
              <w:t xml:space="preserve"> the ongoing legacy of</w:t>
            </w:r>
            <w:r w:rsidRPr="2C7DA403">
              <w:rPr>
                <w:rFonts w:eastAsia="Arial" w:cs="Arial"/>
                <w:color w:val="000000" w:themeColor="text1"/>
                <w:sz w:val="22"/>
                <w:szCs w:val="22"/>
              </w:rPr>
              <w:t xml:space="preserve"> Covid-19</w:t>
            </w:r>
            <w:r>
              <w:rPr>
                <w:rFonts w:eastAsia="Arial" w:cs="Arial"/>
                <w:color w:val="000000" w:themeColor="text1"/>
                <w:sz w:val="22"/>
                <w:szCs w:val="22"/>
              </w:rPr>
              <w:t>, high mobility within the area and growing pupil numbers, many of whom are new to country.</w:t>
            </w:r>
            <w:r w:rsidRPr="2C7DA403">
              <w:rPr>
                <w:rFonts w:eastAsia="Arial" w:cs="Arial"/>
                <w:color w:val="000000" w:themeColor="text1"/>
                <w:sz w:val="22"/>
                <w:szCs w:val="22"/>
              </w:rPr>
              <w:t xml:space="preserve"> </w:t>
            </w:r>
            <w:r>
              <w:rPr>
                <w:rFonts w:eastAsia="Arial" w:cs="Arial"/>
                <w:color w:val="000000" w:themeColor="text1"/>
                <w:sz w:val="22"/>
                <w:szCs w:val="22"/>
              </w:rPr>
              <w:t xml:space="preserve">During the pandemic </w:t>
            </w:r>
            <w:r w:rsidRPr="2C7DA403">
              <w:rPr>
                <w:rFonts w:eastAsia="Arial" w:cs="Arial"/>
                <w:color w:val="000000" w:themeColor="text1"/>
                <w:sz w:val="22"/>
                <w:szCs w:val="22"/>
              </w:rPr>
              <w:t>all subject areas</w:t>
            </w:r>
            <w:r>
              <w:rPr>
                <w:rFonts w:eastAsia="Arial" w:cs="Arial"/>
                <w:color w:val="000000" w:themeColor="text1"/>
                <w:sz w:val="22"/>
                <w:szCs w:val="22"/>
              </w:rPr>
              <w:t xml:space="preserve"> were disrupted</w:t>
            </w:r>
            <w:r w:rsidRPr="2C7DA403">
              <w:rPr>
                <w:rFonts w:eastAsia="Arial" w:cs="Arial"/>
                <w:color w:val="000000" w:themeColor="text1"/>
                <w:sz w:val="22"/>
                <w:szCs w:val="22"/>
              </w:rPr>
              <w:t xml:space="preserve"> to varying degrees. As evidenced in schools across the country, </w:t>
            </w:r>
            <w:r>
              <w:rPr>
                <w:rFonts w:eastAsia="Arial" w:cs="Arial"/>
                <w:color w:val="000000" w:themeColor="text1"/>
                <w:sz w:val="22"/>
                <w:szCs w:val="22"/>
              </w:rPr>
              <w:t xml:space="preserve">the </w:t>
            </w:r>
            <w:r w:rsidRPr="2C7DA403">
              <w:rPr>
                <w:rFonts w:eastAsia="Arial" w:cs="Arial"/>
                <w:color w:val="000000" w:themeColor="text1"/>
                <w:sz w:val="22"/>
                <w:szCs w:val="22"/>
              </w:rPr>
              <w:t>school closure was most detrimental to our disadvantaged pupils</w:t>
            </w:r>
            <w:r>
              <w:rPr>
                <w:rFonts w:eastAsia="Arial" w:cs="Arial"/>
                <w:color w:val="000000" w:themeColor="text1"/>
                <w:sz w:val="22"/>
                <w:szCs w:val="22"/>
              </w:rPr>
              <w:t xml:space="preserve"> and this is notable in our current upper Key Stage 2 cohort who have significant gaps in their learning. </w:t>
            </w:r>
          </w:p>
          <w:p w14:paraId="32A09D95" w14:textId="205B8A53" w:rsidR="006F1AFA" w:rsidRDefault="006F1AFA" w:rsidP="006F1AFA">
            <w:pPr>
              <w:rPr>
                <w:rFonts w:eastAsia="Arial" w:cs="Arial"/>
                <w:color w:val="000000" w:themeColor="text1"/>
                <w:sz w:val="22"/>
                <w:szCs w:val="22"/>
              </w:rPr>
            </w:pPr>
            <w:r>
              <w:rPr>
                <w:rFonts w:eastAsia="Arial" w:cs="Arial"/>
                <w:color w:val="000000" w:themeColor="text1"/>
                <w:sz w:val="22"/>
                <w:szCs w:val="22"/>
              </w:rPr>
              <w:t xml:space="preserve">While we have made significant improvements in the intent and implementation of our core curriculums, as highlighted by Ofsted during our most recent inspection, we need to ensure we use assessment more effectively to identify and close these gaps.  </w:t>
            </w:r>
          </w:p>
          <w:p w14:paraId="5023926C" w14:textId="768FE396" w:rsidR="0064167B" w:rsidRPr="002F4C6F" w:rsidRDefault="006F1AFA" w:rsidP="006F1AFA">
            <w:pPr>
              <w:spacing w:before="60"/>
              <w:rPr>
                <w:i/>
                <w:iCs/>
                <w:lang w:eastAsia="en-US"/>
              </w:rPr>
            </w:pPr>
            <w:r w:rsidRPr="2C7DA403">
              <w:rPr>
                <w:rFonts w:eastAsia="Arial" w:cs="Arial"/>
                <w:color w:val="000000" w:themeColor="text1"/>
                <w:sz w:val="22"/>
                <w:szCs w:val="22"/>
              </w:rPr>
              <w:t xml:space="preserve">Our assessments and observations indicated that pupil behaviour, wellbeing and mental health </w:t>
            </w:r>
            <w:r>
              <w:rPr>
                <w:rFonts w:eastAsia="Arial" w:cs="Arial"/>
                <w:color w:val="000000" w:themeColor="text1"/>
                <w:sz w:val="22"/>
                <w:szCs w:val="22"/>
              </w:rPr>
              <w:t>continued to be</w:t>
            </w:r>
            <w:r w:rsidRPr="2C7DA403">
              <w:rPr>
                <w:rFonts w:eastAsia="Arial" w:cs="Arial"/>
                <w:color w:val="000000" w:themeColor="text1"/>
                <w:sz w:val="22"/>
                <w:szCs w:val="22"/>
              </w:rPr>
              <w:t xml:space="preserve"> significantly impacted last year, primarily due to </w:t>
            </w:r>
            <w:r>
              <w:rPr>
                <w:rFonts w:eastAsia="Arial" w:cs="Arial"/>
                <w:color w:val="000000" w:themeColor="text1"/>
                <w:sz w:val="22"/>
                <w:szCs w:val="22"/>
              </w:rPr>
              <w:t xml:space="preserve">the </w:t>
            </w:r>
            <w:r w:rsidR="00C80AEE">
              <w:rPr>
                <w:rFonts w:eastAsia="Arial" w:cs="Arial"/>
                <w:color w:val="000000" w:themeColor="text1"/>
                <w:sz w:val="22"/>
                <w:szCs w:val="22"/>
              </w:rPr>
              <w:t xml:space="preserve">cost-of-living crisis and </w:t>
            </w:r>
            <w:r>
              <w:rPr>
                <w:rFonts w:eastAsia="Arial" w:cs="Arial"/>
                <w:color w:val="000000" w:themeColor="text1"/>
                <w:sz w:val="22"/>
                <w:szCs w:val="22"/>
              </w:rPr>
              <w:t xml:space="preserve">legacy of </w:t>
            </w:r>
            <w:r w:rsidRPr="2C7DA403">
              <w:rPr>
                <w:rFonts w:eastAsia="Arial" w:cs="Arial"/>
                <w:color w:val="000000" w:themeColor="text1"/>
                <w:sz w:val="22"/>
                <w:szCs w:val="22"/>
              </w:rPr>
              <w:t>COVID-19</w:t>
            </w:r>
            <w:r>
              <w:rPr>
                <w:rFonts w:eastAsia="Arial" w:cs="Arial"/>
                <w:color w:val="000000" w:themeColor="text1"/>
                <w:sz w:val="22"/>
                <w:szCs w:val="22"/>
              </w:rPr>
              <w:t>. Again, this</w:t>
            </w:r>
            <w:r w:rsidRPr="2C7DA403">
              <w:rPr>
                <w:rFonts w:eastAsia="Arial" w:cs="Arial"/>
                <w:color w:val="000000" w:themeColor="text1"/>
                <w:sz w:val="22"/>
                <w:szCs w:val="22"/>
              </w:rPr>
              <w:t xml:space="preserve"> impact was particularly acute for</w:t>
            </w:r>
            <w:r>
              <w:rPr>
                <w:rFonts w:eastAsia="Arial" w:cs="Arial"/>
                <w:color w:val="000000" w:themeColor="text1"/>
                <w:sz w:val="22"/>
                <w:szCs w:val="22"/>
              </w:rPr>
              <w:t xml:space="preserve"> our</w:t>
            </w:r>
            <w:r w:rsidRPr="2C7DA403">
              <w:rPr>
                <w:rFonts w:eastAsia="Arial" w:cs="Arial"/>
                <w:color w:val="000000" w:themeColor="text1"/>
                <w:sz w:val="22"/>
                <w:szCs w:val="22"/>
              </w:rPr>
              <w:t xml:space="preserve"> disadvantaged pupils. We used pupil premium funding to provide wellbeing support for all pupils, targeted interventions</w:t>
            </w:r>
            <w:r>
              <w:rPr>
                <w:rFonts w:eastAsia="Arial" w:cs="Arial"/>
                <w:color w:val="000000" w:themeColor="text1"/>
                <w:sz w:val="22"/>
                <w:szCs w:val="22"/>
              </w:rPr>
              <w:t xml:space="preserve"> and experiences</w:t>
            </w:r>
            <w:r w:rsidRPr="2C7DA403">
              <w:rPr>
                <w:rFonts w:eastAsia="Arial" w:cs="Arial"/>
                <w:color w:val="000000" w:themeColor="text1"/>
                <w:sz w:val="22"/>
                <w:szCs w:val="22"/>
              </w:rPr>
              <w:t>.</w:t>
            </w:r>
            <w:r>
              <w:rPr>
                <w:rFonts w:eastAsia="Arial" w:cs="Arial"/>
                <w:color w:val="000000" w:themeColor="text1"/>
                <w:sz w:val="22"/>
                <w:szCs w:val="22"/>
              </w:rPr>
              <w:t xml:space="preserve"> Personal development and behaviour and attitudes </w:t>
            </w:r>
            <w:r w:rsidR="003D3A46">
              <w:rPr>
                <w:rFonts w:eastAsia="Arial" w:cs="Arial"/>
                <w:color w:val="000000" w:themeColor="text1"/>
                <w:sz w:val="22"/>
                <w:szCs w:val="22"/>
              </w:rPr>
              <w:t>were</w:t>
            </w:r>
            <w:r>
              <w:rPr>
                <w:rFonts w:eastAsia="Arial" w:cs="Arial"/>
                <w:color w:val="000000" w:themeColor="text1"/>
                <w:sz w:val="22"/>
                <w:szCs w:val="22"/>
              </w:rPr>
              <w:t xml:space="preserve"> highlighted as good in our recent inspection report and we intend to build further on this strength in the coming academic year as</w:t>
            </w:r>
            <w:r w:rsidRPr="2C7DA403">
              <w:rPr>
                <w:rFonts w:eastAsia="Arial" w:cs="Arial"/>
                <w:color w:val="000000" w:themeColor="text1"/>
                <w:sz w:val="22"/>
                <w:szCs w:val="22"/>
              </w:rPr>
              <w:t xml:space="preserve"> detailed in this plan.</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CF529F"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602974B" w:rsidR="00CF529F" w:rsidRDefault="00CF529F" w:rsidP="00CF529F">
            <w:pPr>
              <w:pStyle w:val="TableRow"/>
              <w:ind w:left="0" w:right="0"/>
            </w:pPr>
            <w:r>
              <w:t>Read, Write, Inc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C72BDB6" w:rsidR="00CF529F" w:rsidRDefault="00CF529F" w:rsidP="00CF529F">
            <w:pPr>
              <w:pStyle w:val="TableRowCentered"/>
              <w:ind w:left="0" w:right="0"/>
              <w:jc w:val="left"/>
            </w:pPr>
            <w:r>
              <w:t>Oxford University Press/Ruth Miskin</w:t>
            </w:r>
          </w:p>
        </w:tc>
      </w:tr>
      <w:tr w:rsidR="00CF529F"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8E4C210" w:rsidR="00CF529F" w:rsidRDefault="00CF529F" w:rsidP="00CF529F">
            <w:pPr>
              <w:pStyle w:val="TableRow"/>
              <w:ind w:left="0" w:right="0"/>
            </w:pPr>
            <w:proofErr w:type="spellStart"/>
            <w:r>
              <w:t>CanDo</w:t>
            </w:r>
            <w:proofErr w:type="spellEnd"/>
            <w:r>
              <w:t xml:space="preserv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AF5BC94" w:rsidR="00CF529F" w:rsidRDefault="00CF529F" w:rsidP="00CF529F">
            <w:pPr>
              <w:pStyle w:val="TableRowCentered"/>
              <w:ind w:left="0" w:right="0"/>
              <w:jc w:val="left"/>
            </w:pPr>
            <w:r>
              <w:t>Buzzard Publishing</w:t>
            </w:r>
          </w:p>
        </w:tc>
      </w:tr>
      <w:tr w:rsidR="00CF529F" w14:paraId="4141C84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1543" w14:textId="39616D53" w:rsidR="00CF529F" w:rsidRDefault="003D3A46" w:rsidP="00CF529F">
            <w:pPr>
              <w:pStyle w:val="TableRow"/>
              <w:ind w:left="0" w:right="0"/>
            </w:pPr>
            <w:r>
              <w:t>Kapow</w:t>
            </w:r>
            <w:r w:rsidR="00775C51">
              <w:t xml:space="preserve"> Planning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9A9BE" w14:textId="6E09748F" w:rsidR="00CF529F" w:rsidRDefault="00775C51" w:rsidP="00CF529F">
            <w:pPr>
              <w:pStyle w:val="TableRowCentered"/>
              <w:ind w:left="0" w:right="0"/>
              <w:jc w:val="left"/>
            </w:pPr>
            <w:r>
              <w:t>Kapow Primary</w:t>
            </w:r>
          </w:p>
        </w:tc>
      </w:tr>
      <w:tr w:rsidR="00CF529F" w14:paraId="0EED94F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1753" w14:textId="0B1B93CF" w:rsidR="00CF529F" w:rsidRDefault="000F1F50" w:rsidP="00CF529F">
            <w:pPr>
              <w:pStyle w:val="TableRow"/>
              <w:ind w:left="0" w:right="0"/>
            </w:pPr>
            <w:r>
              <w:lastRenderedPageBreak/>
              <w:t>Access Art</w:t>
            </w:r>
            <w:r w:rsidR="0098299C">
              <w:t xml:space="preserve"> Planning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9303" w14:textId="7DCAAFED" w:rsidR="00CF529F" w:rsidRDefault="0098299C" w:rsidP="00CF529F">
            <w:pPr>
              <w:pStyle w:val="TableRowCentered"/>
              <w:ind w:left="0" w:right="0"/>
              <w:jc w:val="left"/>
            </w:pPr>
            <w:r>
              <w:t>Access Art</w:t>
            </w:r>
          </w:p>
        </w:tc>
      </w:tr>
      <w:tr w:rsidR="00CF529F" w14:paraId="2C58602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4B81" w14:textId="2588BCF0" w:rsidR="00CF529F" w:rsidRDefault="000F1F50" w:rsidP="00CF529F">
            <w:pPr>
              <w:pStyle w:val="TableRow"/>
              <w:ind w:left="0" w:right="0"/>
            </w:pPr>
            <w:r>
              <w:t>Times Table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29C" w14:textId="2DC8BF04" w:rsidR="00CF529F" w:rsidRDefault="00794EF7" w:rsidP="00CF529F">
            <w:pPr>
              <w:pStyle w:val="TableRowCentered"/>
              <w:ind w:left="0" w:right="0"/>
              <w:jc w:val="left"/>
            </w:pPr>
            <w:r>
              <w:t>Maths Circle L</w:t>
            </w:r>
            <w:r w:rsidR="00572DE8">
              <w:t>imited</w:t>
            </w:r>
          </w:p>
        </w:tc>
      </w:tr>
      <w:tr w:rsidR="000F1F50" w14:paraId="0525C13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A680" w14:textId="1A5A75DB" w:rsidR="000F1F50" w:rsidRDefault="000F1F50" w:rsidP="00CF529F">
            <w:pPr>
              <w:pStyle w:val="TableRow"/>
              <w:ind w:left="0" w:right="0"/>
            </w:pPr>
            <w:r>
              <w:t>Spelling Bee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A6447" w14:textId="045DA8C7" w:rsidR="000F1F50" w:rsidRDefault="007C7279" w:rsidP="00CF529F">
            <w:pPr>
              <w:pStyle w:val="TableRowCentered"/>
              <w:ind w:left="0" w:right="0"/>
              <w:jc w:val="left"/>
            </w:pPr>
            <w:proofErr w:type="spellStart"/>
            <w:r>
              <w:t>Edshed</w:t>
            </w:r>
            <w:proofErr w:type="spellEnd"/>
          </w:p>
        </w:tc>
      </w:tr>
      <w:tr w:rsidR="000F56CD" w14:paraId="07459EE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A932" w14:textId="6B044E13" w:rsidR="000F56CD" w:rsidRDefault="000F56CD" w:rsidP="00CF529F">
            <w:pPr>
              <w:pStyle w:val="TableRow"/>
              <w:ind w:left="0" w:right="0"/>
            </w:pPr>
            <w:r>
              <w:t>Letter Join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ABB2" w14:textId="687DE8E7" w:rsidR="000F56CD" w:rsidRDefault="007C7279" w:rsidP="00CF529F">
            <w:pPr>
              <w:pStyle w:val="TableRowCentered"/>
              <w:ind w:left="0" w:right="0"/>
              <w:jc w:val="left"/>
            </w:pPr>
            <w:r>
              <w:t>Green &amp; Tempest L</w:t>
            </w:r>
            <w:r w:rsidR="00572DE8">
              <w:t>imited</w:t>
            </w:r>
          </w:p>
        </w:tc>
      </w:tr>
      <w:tr w:rsidR="003405E7" w14:paraId="7CD5C29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A98FF" w14:textId="7A0E6CE2" w:rsidR="003405E7" w:rsidRDefault="003405E7" w:rsidP="00CF529F">
            <w:pPr>
              <w:pStyle w:val="TableRow"/>
              <w:ind w:left="0" w:right="0"/>
            </w:pPr>
            <w:r>
              <w:t>Jigsaw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C6D31" w14:textId="45572FFF" w:rsidR="003405E7" w:rsidRDefault="001F6330" w:rsidP="00CF529F">
            <w:pPr>
              <w:pStyle w:val="TableRowCentered"/>
              <w:ind w:left="0" w:right="0"/>
              <w:jc w:val="left"/>
            </w:pPr>
            <w:r w:rsidRPr="001F6330">
              <w:t>Jigsaw PSHE Limited</w:t>
            </w:r>
          </w:p>
        </w:tc>
      </w:tr>
      <w:tr w:rsidR="003405E7" w14:paraId="332E322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629F" w14:textId="011B3A60" w:rsidR="003405E7" w:rsidRDefault="003405E7" w:rsidP="00CF529F">
            <w:pPr>
              <w:pStyle w:val="TableRow"/>
              <w:ind w:left="0" w:right="0"/>
            </w:pPr>
            <w:r>
              <w:t>Developing Exper</w:t>
            </w:r>
            <w:r w:rsidR="00487D4C">
              <w:t>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46B4" w14:textId="5B71913C" w:rsidR="003405E7" w:rsidRDefault="00572DE8" w:rsidP="00CF529F">
            <w:pPr>
              <w:pStyle w:val="TableRowCentered"/>
              <w:ind w:left="0" w:right="0"/>
              <w:jc w:val="left"/>
            </w:pPr>
            <w:r>
              <w:t>Developing Experts Limited</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F54FCB">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rsidP="00F54FCB"/>
        </w:tc>
      </w:tr>
      <w:tr w:rsidR="00ED5108" w14:paraId="2D016C33" w14:textId="77777777" w:rsidTr="00CA4421">
        <w:tc>
          <w:tcPr>
            <w:tcW w:w="9486" w:type="dxa"/>
            <w:shd w:val="clear" w:color="auto" w:fill="CFDCE3"/>
          </w:tcPr>
          <w:p w14:paraId="3A5A15C1" w14:textId="789D6271" w:rsidR="00ED5108" w:rsidRPr="00E86F05" w:rsidRDefault="00ED5108" w:rsidP="00F54FCB">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rsidP="00F54FCB"/>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A9BAE22"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funding.</w:t>
            </w:r>
          </w:p>
        </w:tc>
      </w:tr>
      <w:bookmarkEnd w:id="16"/>
      <w:bookmarkEnd w:id="17"/>
      <w:bookmarkEnd w:id="18"/>
    </w:tbl>
    <w:p w14:paraId="2A7D5564" w14:textId="77777777" w:rsidR="00E66558" w:rsidRDefault="00E66558"/>
    <w:sectPr w:rsidR="00E66558">
      <w:headerReference w:type="default" r:id="rId37"/>
      <w:footerReference w:type="default" r:id="rId3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4E1A" w14:textId="77777777" w:rsidR="00A738C3" w:rsidRDefault="00A738C3">
      <w:pPr>
        <w:spacing w:after="0" w:line="240" w:lineRule="auto"/>
      </w:pPr>
      <w:r>
        <w:separator/>
      </w:r>
    </w:p>
  </w:endnote>
  <w:endnote w:type="continuationSeparator" w:id="0">
    <w:p w14:paraId="381D282A" w14:textId="77777777" w:rsidR="00A738C3" w:rsidRDefault="00A738C3">
      <w:pPr>
        <w:spacing w:after="0" w:line="240" w:lineRule="auto"/>
      </w:pPr>
      <w:r>
        <w:continuationSeparator/>
      </w:r>
    </w:p>
  </w:endnote>
  <w:endnote w:type="continuationNotice" w:id="1">
    <w:p w14:paraId="33462868" w14:textId="77777777" w:rsidR="00A738C3" w:rsidRDefault="00A73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F0B9" w14:textId="77777777" w:rsidR="00A738C3" w:rsidRDefault="00A738C3">
      <w:pPr>
        <w:spacing w:after="0" w:line="240" w:lineRule="auto"/>
      </w:pPr>
      <w:r>
        <w:separator/>
      </w:r>
    </w:p>
  </w:footnote>
  <w:footnote w:type="continuationSeparator" w:id="0">
    <w:p w14:paraId="0CB20732" w14:textId="77777777" w:rsidR="00A738C3" w:rsidRDefault="00A738C3">
      <w:pPr>
        <w:spacing w:after="0" w:line="240" w:lineRule="auto"/>
      </w:pPr>
      <w:r>
        <w:continuationSeparator/>
      </w:r>
    </w:p>
  </w:footnote>
  <w:footnote w:type="continuationNotice" w:id="1">
    <w:p w14:paraId="138AF089" w14:textId="77777777" w:rsidR="00A738C3" w:rsidRDefault="00A73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5B1D"/>
    <w:rsid w:val="00005CE3"/>
    <w:rsid w:val="00007067"/>
    <w:rsid w:val="00023729"/>
    <w:rsid w:val="000243B4"/>
    <w:rsid w:val="0002530E"/>
    <w:rsid w:val="0002710D"/>
    <w:rsid w:val="00030B13"/>
    <w:rsid w:val="0003175F"/>
    <w:rsid w:val="00031EA0"/>
    <w:rsid w:val="00032919"/>
    <w:rsid w:val="00036678"/>
    <w:rsid w:val="0004275B"/>
    <w:rsid w:val="000452EB"/>
    <w:rsid w:val="00045603"/>
    <w:rsid w:val="000463AE"/>
    <w:rsid w:val="000507A3"/>
    <w:rsid w:val="00056C0A"/>
    <w:rsid w:val="00060A62"/>
    <w:rsid w:val="00064366"/>
    <w:rsid w:val="00066B73"/>
    <w:rsid w:val="00071481"/>
    <w:rsid w:val="00071D77"/>
    <w:rsid w:val="00075FAE"/>
    <w:rsid w:val="00082F38"/>
    <w:rsid w:val="000837DB"/>
    <w:rsid w:val="0008384B"/>
    <w:rsid w:val="000929EC"/>
    <w:rsid w:val="00093CDE"/>
    <w:rsid w:val="000A5C58"/>
    <w:rsid w:val="000A6379"/>
    <w:rsid w:val="000A65D3"/>
    <w:rsid w:val="000B0519"/>
    <w:rsid w:val="000B0D49"/>
    <w:rsid w:val="000B203E"/>
    <w:rsid w:val="000B75B1"/>
    <w:rsid w:val="000C00E9"/>
    <w:rsid w:val="000D1750"/>
    <w:rsid w:val="000D22B0"/>
    <w:rsid w:val="000D318D"/>
    <w:rsid w:val="000D35C9"/>
    <w:rsid w:val="000D4516"/>
    <w:rsid w:val="000D520C"/>
    <w:rsid w:val="000D6596"/>
    <w:rsid w:val="000D6779"/>
    <w:rsid w:val="000E6DF0"/>
    <w:rsid w:val="000F16F1"/>
    <w:rsid w:val="000F1F50"/>
    <w:rsid w:val="000F56CD"/>
    <w:rsid w:val="001037CB"/>
    <w:rsid w:val="0010629E"/>
    <w:rsid w:val="00114288"/>
    <w:rsid w:val="0011474B"/>
    <w:rsid w:val="00115538"/>
    <w:rsid w:val="00116FA8"/>
    <w:rsid w:val="001176F8"/>
    <w:rsid w:val="00120AB1"/>
    <w:rsid w:val="00123A7F"/>
    <w:rsid w:val="001278D0"/>
    <w:rsid w:val="00127F72"/>
    <w:rsid w:val="00131FF0"/>
    <w:rsid w:val="00137238"/>
    <w:rsid w:val="00140646"/>
    <w:rsid w:val="0014409B"/>
    <w:rsid w:val="00147A4B"/>
    <w:rsid w:val="00152554"/>
    <w:rsid w:val="00155944"/>
    <w:rsid w:val="001559D7"/>
    <w:rsid w:val="00164209"/>
    <w:rsid w:val="0016523C"/>
    <w:rsid w:val="001671ED"/>
    <w:rsid w:val="00170714"/>
    <w:rsid w:val="00171D79"/>
    <w:rsid w:val="0017264D"/>
    <w:rsid w:val="001727FA"/>
    <w:rsid w:val="00172B0F"/>
    <w:rsid w:val="00173D4C"/>
    <w:rsid w:val="001746EB"/>
    <w:rsid w:val="001759B6"/>
    <w:rsid w:val="001761E3"/>
    <w:rsid w:val="00181A7E"/>
    <w:rsid w:val="00182FD8"/>
    <w:rsid w:val="00183218"/>
    <w:rsid w:val="00184079"/>
    <w:rsid w:val="00185988"/>
    <w:rsid w:val="00186666"/>
    <w:rsid w:val="001873B6"/>
    <w:rsid w:val="00187574"/>
    <w:rsid w:val="001901E6"/>
    <w:rsid w:val="00191305"/>
    <w:rsid w:val="001948FB"/>
    <w:rsid w:val="00195B55"/>
    <w:rsid w:val="00196E74"/>
    <w:rsid w:val="00197620"/>
    <w:rsid w:val="001A2FE8"/>
    <w:rsid w:val="001A33AC"/>
    <w:rsid w:val="001A74CB"/>
    <w:rsid w:val="001C1C51"/>
    <w:rsid w:val="001D3C44"/>
    <w:rsid w:val="001D4FC9"/>
    <w:rsid w:val="001E0ECA"/>
    <w:rsid w:val="001E206F"/>
    <w:rsid w:val="001E5750"/>
    <w:rsid w:val="001E66BA"/>
    <w:rsid w:val="001E7739"/>
    <w:rsid w:val="001F3DB4"/>
    <w:rsid w:val="001F6330"/>
    <w:rsid w:val="001F7564"/>
    <w:rsid w:val="00203DB9"/>
    <w:rsid w:val="00204F40"/>
    <w:rsid w:val="00205DEF"/>
    <w:rsid w:val="002112C3"/>
    <w:rsid w:val="002131E5"/>
    <w:rsid w:val="00216C8A"/>
    <w:rsid w:val="00223F30"/>
    <w:rsid w:val="00226317"/>
    <w:rsid w:val="00231539"/>
    <w:rsid w:val="0023374F"/>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D7B3D"/>
    <w:rsid w:val="002E0B8B"/>
    <w:rsid w:val="002E66AE"/>
    <w:rsid w:val="002E7763"/>
    <w:rsid w:val="002F4C6F"/>
    <w:rsid w:val="002F5011"/>
    <w:rsid w:val="002F5842"/>
    <w:rsid w:val="002F7847"/>
    <w:rsid w:val="00303F1E"/>
    <w:rsid w:val="00306CB7"/>
    <w:rsid w:val="003071B5"/>
    <w:rsid w:val="00307ABF"/>
    <w:rsid w:val="003111F5"/>
    <w:rsid w:val="00317664"/>
    <w:rsid w:val="00336200"/>
    <w:rsid w:val="00337418"/>
    <w:rsid w:val="003405E7"/>
    <w:rsid w:val="0034555D"/>
    <w:rsid w:val="00345DEE"/>
    <w:rsid w:val="00350102"/>
    <w:rsid w:val="00351D83"/>
    <w:rsid w:val="00352197"/>
    <w:rsid w:val="00353E46"/>
    <w:rsid w:val="003576C4"/>
    <w:rsid w:val="0036277A"/>
    <w:rsid w:val="00365650"/>
    <w:rsid w:val="00366AB0"/>
    <w:rsid w:val="003700E8"/>
    <w:rsid w:val="0037437C"/>
    <w:rsid w:val="00381127"/>
    <w:rsid w:val="0038146B"/>
    <w:rsid w:val="0038340F"/>
    <w:rsid w:val="00384457"/>
    <w:rsid w:val="00384F24"/>
    <w:rsid w:val="003A32B2"/>
    <w:rsid w:val="003A479B"/>
    <w:rsid w:val="003A47DD"/>
    <w:rsid w:val="003A5F67"/>
    <w:rsid w:val="003A634F"/>
    <w:rsid w:val="003B14C1"/>
    <w:rsid w:val="003B2884"/>
    <w:rsid w:val="003B588A"/>
    <w:rsid w:val="003B621D"/>
    <w:rsid w:val="003C4388"/>
    <w:rsid w:val="003C4C27"/>
    <w:rsid w:val="003C7F7B"/>
    <w:rsid w:val="003D0CD6"/>
    <w:rsid w:val="003D2EAA"/>
    <w:rsid w:val="003D3A46"/>
    <w:rsid w:val="003D3E76"/>
    <w:rsid w:val="003D448C"/>
    <w:rsid w:val="003E054C"/>
    <w:rsid w:val="003E1EC5"/>
    <w:rsid w:val="003E27A0"/>
    <w:rsid w:val="003E3872"/>
    <w:rsid w:val="00403C92"/>
    <w:rsid w:val="00403E63"/>
    <w:rsid w:val="004044AA"/>
    <w:rsid w:val="004044C8"/>
    <w:rsid w:val="00404F3F"/>
    <w:rsid w:val="00406EEE"/>
    <w:rsid w:val="00410B5D"/>
    <w:rsid w:val="00413BEC"/>
    <w:rsid w:val="0042265E"/>
    <w:rsid w:val="00424ED7"/>
    <w:rsid w:val="00425258"/>
    <w:rsid w:val="00426217"/>
    <w:rsid w:val="00431A80"/>
    <w:rsid w:val="00433641"/>
    <w:rsid w:val="00435A89"/>
    <w:rsid w:val="00452267"/>
    <w:rsid w:val="00453307"/>
    <w:rsid w:val="00454EE1"/>
    <w:rsid w:val="00455A02"/>
    <w:rsid w:val="00457DA6"/>
    <w:rsid w:val="00457E36"/>
    <w:rsid w:val="00460BD3"/>
    <w:rsid w:val="00462F8F"/>
    <w:rsid w:val="004708F2"/>
    <w:rsid w:val="004724DE"/>
    <w:rsid w:val="004770FE"/>
    <w:rsid w:val="0048157F"/>
    <w:rsid w:val="00481D56"/>
    <w:rsid w:val="00487D4C"/>
    <w:rsid w:val="00490408"/>
    <w:rsid w:val="004A4C45"/>
    <w:rsid w:val="004A55C4"/>
    <w:rsid w:val="004B0485"/>
    <w:rsid w:val="004B0ED7"/>
    <w:rsid w:val="004B1F58"/>
    <w:rsid w:val="004B2AC1"/>
    <w:rsid w:val="004B428E"/>
    <w:rsid w:val="004B4D0A"/>
    <w:rsid w:val="004B4D37"/>
    <w:rsid w:val="004B63C8"/>
    <w:rsid w:val="004C3AC4"/>
    <w:rsid w:val="004C42F0"/>
    <w:rsid w:val="004D50C8"/>
    <w:rsid w:val="004D6B72"/>
    <w:rsid w:val="004E1D73"/>
    <w:rsid w:val="004E5450"/>
    <w:rsid w:val="004E57C3"/>
    <w:rsid w:val="004E72DD"/>
    <w:rsid w:val="004F22CD"/>
    <w:rsid w:val="004F462D"/>
    <w:rsid w:val="004F6538"/>
    <w:rsid w:val="005025FB"/>
    <w:rsid w:val="00502A9D"/>
    <w:rsid w:val="00503462"/>
    <w:rsid w:val="00504DD9"/>
    <w:rsid w:val="0051286E"/>
    <w:rsid w:val="0051466A"/>
    <w:rsid w:val="00516021"/>
    <w:rsid w:val="00516457"/>
    <w:rsid w:val="00516641"/>
    <w:rsid w:val="0051729F"/>
    <w:rsid w:val="005201C6"/>
    <w:rsid w:val="00520A0C"/>
    <w:rsid w:val="00530E37"/>
    <w:rsid w:val="005313F3"/>
    <w:rsid w:val="00535946"/>
    <w:rsid w:val="00543396"/>
    <w:rsid w:val="005452CF"/>
    <w:rsid w:val="005464A1"/>
    <w:rsid w:val="00546F12"/>
    <w:rsid w:val="0055167E"/>
    <w:rsid w:val="0055339C"/>
    <w:rsid w:val="005542CC"/>
    <w:rsid w:val="00560424"/>
    <w:rsid w:val="00562B3C"/>
    <w:rsid w:val="005646FA"/>
    <w:rsid w:val="00564E40"/>
    <w:rsid w:val="005702D2"/>
    <w:rsid w:val="00572DE8"/>
    <w:rsid w:val="00573E1D"/>
    <w:rsid w:val="005750E2"/>
    <w:rsid w:val="0058313F"/>
    <w:rsid w:val="00585859"/>
    <w:rsid w:val="00585D11"/>
    <w:rsid w:val="00585E48"/>
    <w:rsid w:val="00586FBC"/>
    <w:rsid w:val="005879C9"/>
    <w:rsid w:val="00594CAD"/>
    <w:rsid w:val="005A1D0B"/>
    <w:rsid w:val="005A3C6B"/>
    <w:rsid w:val="005B1EA5"/>
    <w:rsid w:val="005B5724"/>
    <w:rsid w:val="005C0BBD"/>
    <w:rsid w:val="005C4C57"/>
    <w:rsid w:val="005C54A0"/>
    <w:rsid w:val="005D0D15"/>
    <w:rsid w:val="005D7176"/>
    <w:rsid w:val="005E18CB"/>
    <w:rsid w:val="005E1F24"/>
    <w:rsid w:val="005E3667"/>
    <w:rsid w:val="005E73F1"/>
    <w:rsid w:val="005F07EF"/>
    <w:rsid w:val="005F15F0"/>
    <w:rsid w:val="005F16B6"/>
    <w:rsid w:val="005F2600"/>
    <w:rsid w:val="005F5224"/>
    <w:rsid w:val="005F7AA1"/>
    <w:rsid w:val="00600B2E"/>
    <w:rsid w:val="00601122"/>
    <w:rsid w:val="00606521"/>
    <w:rsid w:val="00607CEB"/>
    <w:rsid w:val="00613299"/>
    <w:rsid w:val="0061762D"/>
    <w:rsid w:val="00634238"/>
    <w:rsid w:val="00635EF4"/>
    <w:rsid w:val="00635FBC"/>
    <w:rsid w:val="00636D39"/>
    <w:rsid w:val="00636EB5"/>
    <w:rsid w:val="00637728"/>
    <w:rsid w:val="0064113A"/>
    <w:rsid w:val="0064167B"/>
    <w:rsid w:val="00641758"/>
    <w:rsid w:val="00643F96"/>
    <w:rsid w:val="00644002"/>
    <w:rsid w:val="0064526B"/>
    <w:rsid w:val="006458B1"/>
    <w:rsid w:val="00650529"/>
    <w:rsid w:val="00650BAB"/>
    <w:rsid w:val="00651737"/>
    <w:rsid w:val="00654E31"/>
    <w:rsid w:val="00656A8F"/>
    <w:rsid w:val="00661FDB"/>
    <w:rsid w:val="006640D4"/>
    <w:rsid w:val="006652DD"/>
    <w:rsid w:val="00666489"/>
    <w:rsid w:val="006671BF"/>
    <w:rsid w:val="00671AEB"/>
    <w:rsid w:val="00672A7D"/>
    <w:rsid w:val="00681416"/>
    <w:rsid w:val="00692E2A"/>
    <w:rsid w:val="006A06F5"/>
    <w:rsid w:val="006A0ED2"/>
    <w:rsid w:val="006B0A73"/>
    <w:rsid w:val="006B1B26"/>
    <w:rsid w:val="006B5A6B"/>
    <w:rsid w:val="006C0F82"/>
    <w:rsid w:val="006C25E8"/>
    <w:rsid w:val="006C332E"/>
    <w:rsid w:val="006C5901"/>
    <w:rsid w:val="006D00F1"/>
    <w:rsid w:val="006D15EA"/>
    <w:rsid w:val="006D377A"/>
    <w:rsid w:val="006D4222"/>
    <w:rsid w:val="006D6372"/>
    <w:rsid w:val="006D6761"/>
    <w:rsid w:val="006D68C4"/>
    <w:rsid w:val="006D6E5C"/>
    <w:rsid w:val="006E02AF"/>
    <w:rsid w:val="006E0786"/>
    <w:rsid w:val="006E6B4A"/>
    <w:rsid w:val="006E7449"/>
    <w:rsid w:val="006E7FB1"/>
    <w:rsid w:val="006F1AFA"/>
    <w:rsid w:val="006F2604"/>
    <w:rsid w:val="006F5319"/>
    <w:rsid w:val="006F55FD"/>
    <w:rsid w:val="006F5D21"/>
    <w:rsid w:val="00703D49"/>
    <w:rsid w:val="007061DA"/>
    <w:rsid w:val="007109F6"/>
    <w:rsid w:val="00711BE3"/>
    <w:rsid w:val="00720179"/>
    <w:rsid w:val="00721B51"/>
    <w:rsid w:val="00722CB3"/>
    <w:rsid w:val="00724594"/>
    <w:rsid w:val="00724FA7"/>
    <w:rsid w:val="007251DF"/>
    <w:rsid w:val="00725415"/>
    <w:rsid w:val="007262CC"/>
    <w:rsid w:val="00727505"/>
    <w:rsid w:val="00731581"/>
    <w:rsid w:val="0073481D"/>
    <w:rsid w:val="00741B9E"/>
    <w:rsid w:val="00743DAC"/>
    <w:rsid w:val="007455B3"/>
    <w:rsid w:val="00745984"/>
    <w:rsid w:val="007502CD"/>
    <w:rsid w:val="00752AE7"/>
    <w:rsid w:val="00752D3B"/>
    <w:rsid w:val="0075337B"/>
    <w:rsid w:val="00753840"/>
    <w:rsid w:val="00755CD4"/>
    <w:rsid w:val="00757F96"/>
    <w:rsid w:val="007610B5"/>
    <w:rsid w:val="007623CB"/>
    <w:rsid w:val="00762652"/>
    <w:rsid w:val="00764551"/>
    <w:rsid w:val="007646FD"/>
    <w:rsid w:val="0076556F"/>
    <w:rsid w:val="007677B8"/>
    <w:rsid w:val="00775C51"/>
    <w:rsid w:val="00781713"/>
    <w:rsid w:val="00785285"/>
    <w:rsid w:val="0078529D"/>
    <w:rsid w:val="00785E77"/>
    <w:rsid w:val="0078720B"/>
    <w:rsid w:val="00787DC1"/>
    <w:rsid w:val="00787EE5"/>
    <w:rsid w:val="007930A8"/>
    <w:rsid w:val="00794070"/>
    <w:rsid w:val="00794EF7"/>
    <w:rsid w:val="007A63CA"/>
    <w:rsid w:val="007A713B"/>
    <w:rsid w:val="007A7DA0"/>
    <w:rsid w:val="007B64E5"/>
    <w:rsid w:val="007C2F04"/>
    <w:rsid w:val="007C7279"/>
    <w:rsid w:val="007F06E5"/>
    <w:rsid w:val="007F5B8B"/>
    <w:rsid w:val="007F7300"/>
    <w:rsid w:val="008031DD"/>
    <w:rsid w:val="0080448D"/>
    <w:rsid w:val="00805BC0"/>
    <w:rsid w:val="00812107"/>
    <w:rsid w:val="00814FB9"/>
    <w:rsid w:val="00817E9A"/>
    <w:rsid w:val="00821586"/>
    <w:rsid w:val="00827786"/>
    <w:rsid w:val="00827BDA"/>
    <w:rsid w:val="00830D57"/>
    <w:rsid w:val="00831F00"/>
    <w:rsid w:val="00841EDC"/>
    <w:rsid w:val="00842D8E"/>
    <w:rsid w:val="00846A6F"/>
    <w:rsid w:val="00850CA0"/>
    <w:rsid w:val="00852A2F"/>
    <w:rsid w:val="008608EE"/>
    <w:rsid w:val="00860B07"/>
    <w:rsid w:val="008616F6"/>
    <w:rsid w:val="0086259C"/>
    <w:rsid w:val="008674ED"/>
    <w:rsid w:val="0087074C"/>
    <w:rsid w:val="00874913"/>
    <w:rsid w:val="00883F24"/>
    <w:rsid w:val="0088533A"/>
    <w:rsid w:val="008954A1"/>
    <w:rsid w:val="00897E1F"/>
    <w:rsid w:val="008A2D40"/>
    <w:rsid w:val="008A3E8E"/>
    <w:rsid w:val="008A7303"/>
    <w:rsid w:val="008B2CB4"/>
    <w:rsid w:val="008B3D82"/>
    <w:rsid w:val="008B4DAE"/>
    <w:rsid w:val="008B5503"/>
    <w:rsid w:val="008B6404"/>
    <w:rsid w:val="008C1D5E"/>
    <w:rsid w:val="008C2C21"/>
    <w:rsid w:val="008C7DD3"/>
    <w:rsid w:val="008D054C"/>
    <w:rsid w:val="008D5027"/>
    <w:rsid w:val="008E000B"/>
    <w:rsid w:val="008E2926"/>
    <w:rsid w:val="008E35C6"/>
    <w:rsid w:val="008E3F49"/>
    <w:rsid w:val="008E7FBC"/>
    <w:rsid w:val="008F243B"/>
    <w:rsid w:val="008F2C5F"/>
    <w:rsid w:val="008F4675"/>
    <w:rsid w:val="008F50FE"/>
    <w:rsid w:val="008F69CD"/>
    <w:rsid w:val="008F6E88"/>
    <w:rsid w:val="00901E60"/>
    <w:rsid w:val="00902123"/>
    <w:rsid w:val="0090481B"/>
    <w:rsid w:val="00904A66"/>
    <w:rsid w:val="00905029"/>
    <w:rsid w:val="00921A3A"/>
    <w:rsid w:val="0092287F"/>
    <w:rsid w:val="0092495B"/>
    <w:rsid w:val="0092660E"/>
    <w:rsid w:val="00936519"/>
    <w:rsid w:val="009413AA"/>
    <w:rsid w:val="00941DA3"/>
    <w:rsid w:val="00942C0C"/>
    <w:rsid w:val="0094658C"/>
    <w:rsid w:val="00951711"/>
    <w:rsid w:val="009539E3"/>
    <w:rsid w:val="00954083"/>
    <w:rsid w:val="00954A5E"/>
    <w:rsid w:val="009551B2"/>
    <w:rsid w:val="0096022C"/>
    <w:rsid w:val="00960EB0"/>
    <w:rsid w:val="009619B1"/>
    <w:rsid w:val="0096296D"/>
    <w:rsid w:val="00964625"/>
    <w:rsid w:val="00965B57"/>
    <w:rsid w:val="00966E22"/>
    <w:rsid w:val="009773EC"/>
    <w:rsid w:val="00980937"/>
    <w:rsid w:val="00981C1D"/>
    <w:rsid w:val="0098299C"/>
    <w:rsid w:val="0099108C"/>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17B29"/>
    <w:rsid w:val="00A31E9F"/>
    <w:rsid w:val="00A33636"/>
    <w:rsid w:val="00A342CC"/>
    <w:rsid w:val="00A4393E"/>
    <w:rsid w:val="00A44FBB"/>
    <w:rsid w:val="00A50104"/>
    <w:rsid w:val="00A522E0"/>
    <w:rsid w:val="00A52823"/>
    <w:rsid w:val="00A60E28"/>
    <w:rsid w:val="00A63579"/>
    <w:rsid w:val="00A638AC"/>
    <w:rsid w:val="00A64475"/>
    <w:rsid w:val="00A71CB3"/>
    <w:rsid w:val="00A727E5"/>
    <w:rsid w:val="00A738C3"/>
    <w:rsid w:val="00A748B5"/>
    <w:rsid w:val="00A76222"/>
    <w:rsid w:val="00A7797A"/>
    <w:rsid w:val="00A80A32"/>
    <w:rsid w:val="00A81948"/>
    <w:rsid w:val="00A82A98"/>
    <w:rsid w:val="00A82D16"/>
    <w:rsid w:val="00A852F2"/>
    <w:rsid w:val="00A8712A"/>
    <w:rsid w:val="00A95F75"/>
    <w:rsid w:val="00A968DA"/>
    <w:rsid w:val="00A96B83"/>
    <w:rsid w:val="00AA1B41"/>
    <w:rsid w:val="00AA355B"/>
    <w:rsid w:val="00AA42E5"/>
    <w:rsid w:val="00AB24FA"/>
    <w:rsid w:val="00AB5161"/>
    <w:rsid w:val="00AD120E"/>
    <w:rsid w:val="00AD172A"/>
    <w:rsid w:val="00AD5AFD"/>
    <w:rsid w:val="00AD7B5A"/>
    <w:rsid w:val="00AE229F"/>
    <w:rsid w:val="00AF0618"/>
    <w:rsid w:val="00AF5E20"/>
    <w:rsid w:val="00AF6AD1"/>
    <w:rsid w:val="00B002FA"/>
    <w:rsid w:val="00B00327"/>
    <w:rsid w:val="00B024B3"/>
    <w:rsid w:val="00B03F6A"/>
    <w:rsid w:val="00B11DE8"/>
    <w:rsid w:val="00B13437"/>
    <w:rsid w:val="00B179ED"/>
    <w:rsid w:val="00B20E18"/>
    <w:rsid w:val="00B241F4"/>
    <w:rsid w:val="00B331E1"/>
    <w:rsid w:val="00B4532A"/>
    <w:rsid w:val="00B47C66"/>
    <w:rsid w:val="00B572C4"/>
    <w:rsid w:val="00B60858"/>
    <w:rsid w:val="00B60D69"/>
    <w:rsid w:val="00B6234E"/>
    <w:rsid w:val="00B74D4E"/>
    <w:rsid w:val="00B80219"/>
    <w:rsid w:val="00B80491"/>
    <w:rsid w:val="00B87184"/>
    <w:rsid w:val="00B91453"/>
    <w:rsid w:val="00B957D7"/>
    <w:rsid w:val="00BA19A5"/>
    <w:rsid w:val="00BA29DF"/>
    <w:rsid w:val="00BA61F8"/>
    <w:rsid w:val="00BB2907"/>
    <w:rsid w:val="00BB6902"/>
    <w:rsid w:val="00BC078B"/>
    <w:rsid w:val="00BC07BC"/>
    <w:rsid w:val="00BC3A7D"/>
    <w:rsid w:val="00BC4754"/>
    <w:rsid w:val="00BC67F6"/>
    <w:rsid w:val="00BD2004"/>
    <w:rsid w:val="00BD4B12"/>
    <w:rsid w:val="00BD700D"/>
    <w:rsid w:val="00BE2F92"/>
    <w:rsid w:val="00BE44AC"/>
    <w:rsid w:val="00BF0D5F"/>
    <w:rsid w:val="00BF2702"/>
    <w:rsid w:val="00BF30FC"/>
    <w:rsid w:val="00BF59B3"/>
    <w:rsid w:val="00BF59CD"/>
    <w:rsid w:val="00BF6D9E"/>
    <w:rsid w:val="00BF6F95"/>
    <w:rsid w:val="00C10BCF"/>
    <w:rsid w:val="00C11EB4"/>
    <w:rsid w:val="00C12746"/>
    <w:rsid w:val="00C23C11"/>
    <w:rsid w:val="00C2441E"/>
    <w:rsid w:val="00C25827"/>
    <w:rsid w:val="00C31636"/>
    <w:rsid w:val="00C31BB8"/>
    <w:rsid w:val="00C32066"/>
    <w:rsid w:val="00C35603"/>
    <w:rsid w:val="00C373EA"/>
    <w:rsid w:val="00C43566"/>
    <w:rsid w:val="00C43CA3"/>
    <w:rsid w:val="00C43D9D"/>
    <w:rsid w:val="00C43EA4"/>
    <w:rsid w:val="00C50040"/>
    <w:rsid w:val="00C52DFF"/>
    <w:rsid w:val="00C574E1"/>
    <w:rsid w:val="00C621C1"/>
    <w:rsid w:val="00C62989"/>
    <w:rsid w:val="00C65CBB"/>
    <w:rsid w:val="00C74684"/>
    <w:rsid w:val="00C77FEF"/>
    <w:rsid w:val="00C80AEE"/>
    <w:rsid w:val="00C80F37"/>
    <w:rsid w:val="00C83659"/>
    <w:rsid w:val="00C839C1"/>
    <w:rsid w:val="00C83F08"/>
    <w:rsid w:val="00C97A7F"/>
    <w:rsid w:val="00CA4421"/>
    <w:rsid w:val="00CA5363"/>
    <w:rsid w:val="00CA5722"/>
    <w:rsid w:val="00CA7D07"/>
    <w:rsid w:val="00CB24A4"/>
    <w:rsid w:val="00CB5B17"/>
    <w:rsid w:val="00CB6AA0"/>
    <w:rsid w:val="00CC4443"/>
    <w:rsid w:val="00CC5CAF"/>
    <w:rsid w:val="00CD2C3C"/>
    <w:rsid w:val="00CE02AE"/>
    <w:rsid w:val="00CE7E1B"/>
    <w:rsid w:val="00CF529F"/>
    <w:rsid w:val="00D04F25"/>
    <w:rsid w:val="00D06874"/>
    <w:rsid w:val="00D07530"/>
    <w:rsid w:val="00D07FCB"/>
    <w:rsid w:val="00D158BA"/>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471F0"/>
    <w:rsid w:val="00D501EE"/>
    <w:rsid w:val="00D50F7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83D"/>
    <w:rsid w:val="00D92C1B"/>
    <w:rsid w:val="00D93B51"/>
    <w:rsid w:val="00D94CC7"/>
    <w:rsid w:val="00D97901"/>
    <w:rsid w:val="00DA1AF4"/>
    <w:rsid w:val="00DB0C60"/>
    <w:rsid w:val="00DB6C1C"/>
    <w:rsid w:val="00DC2A58"/>
    <w:rsid w:val="00DC641A"/>
    <w:rsid w:val="00DC695C"/>
    <w:rsid w:val="00DD21A1"/>
    <w:rsid w:val="00DD68FB"/>
    <w:rsid w:val="00DD6B7D"/>
    <w:rsid w:val="00DD6E14"/>
    <w:rsid w:val="00DE15AC"/>
    <w:rsid w:val="00DF2015"/>
    <w:rsid w:val="00DF2220"/>
    <w:rsid w:val="00DF23B2"/>
    <w:rsid w:val="00E061EC"/>
    <w:rsid w:val="00E0696B"/>
    <w:rsid w:val="00E0748B"/>
    <w:rsid w:val="00E10E81"/>
    <w:rsid w:val="00E13E51"/>
    <w:rsid w:val="00E21F56"/>
    <w:rsid w:val="00E3014F"/>
    <w:rsid w:val="00E4286E"/>
    <w:rsid w:val="00E437C1"/>
    <w:rsid w:val="00E43EAD"/>
    <w:rsid w:val="00E531C7"/>
    <w:rsid w:val="00E62DCB"/>
    <w:rsid w:val="00E651DD"/>
    <w:rsid w:val="00E66360"/>
    <w:rsid w:val="00E66558"/>
    <w:rsid w:val="00E70D81"/>
    <w:rsid w:val="00E726A6"/>
    <w:rsid w:val="00E73418"/>
    <w:rsid w:val="00E8109E"/>
    <w:rsid w:val="00E85C23"/>
    <w:rsid w:val="00E86F05"/>
    <w:rsid w:val="00E8723F"/>
    <w:rsid w:val="00E87B16"/>
    <w:rsid w:val="00EA1862"/>
    <w:rsid w:val="00EA2DF2"/>
    <w:rsid w:val="00EA3A2A"/>
    <w:rsid w:val="00EA5939"/>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1AB4"/>
    <w:rsid w:val="00F13F9D"/>
    <w:rsid w:val="00F15336"/>
    <w:rsid w:val="00F15753"/>
    <w:rsid w:val="00F20DE5"/>
    <w:rsid w:val="00F20EE6"/>
    <w:rsid w:val="00F21F92"/>
    <w:rsid w:val="00F24A7E"/>
    <w:rsid w:val="00F30E9D"/>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80D5F"/>
    <w:rsid w:val="00F925EB"/>
    <w:rsid w:val="00F94033"/>
    <w:rsid w:val="00F97033"/>
    <w:rsid w:val="00FA26AC"/>
    <w:rsid w:val="00FA6DD0"/>
    <w:rsid w:val="00FC28DF"/>
    <w:rsid w:val="00FD1780"/>
    <w:rsid w:val="00FD2297"/>
    <w:rsid w:val="00FD406D"/>
    <w:rsid w:val="00FD5439"/>
    <w:rsid w:val="00FD6AC6"/>
    <w:rsid w:val="00FE3136"/>
    <w:rsid w:val="00FE34D3"/>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rmalWeb">
    <w:name w:val="Normal (Web)"/>
    <w:basedOn w:val="Normal"/>
    <w:uiPriority w:val="99"/>
    <w:semiHidden/>
    <w:unhideWhenUsed/>
    <w:rsid w:val="00E8723F"/>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93525926">
      <w:bodyDiv w:val="1"/>
      <w:marLeft w:val="0"/>
      <w:marRight w:val="0"/>
      <w:marTop w:val="0"/>
      <w:marBottom w:val="0"/>
      <w:divBdr>
        <w:top w:val="none" w:sz="0" w:space="0" w:color="auto"/>
        <w:left w:val="none" w:sz="0" w:space="0" w:color="auto"/>
        <w:bottom w:val="none" w:sz="0" w:space="0" w:color="auto"/>
        <w:right w:val="none" w:sz="0" w:space="0" w:color="auto"/>
      </w:divBdr>
    </w:div>
    <w:div w:id="364185338">
      <w:bodyDiv w:val="1"/>
      <w:marLeft w:val="0"/>
      <w:marRight w:val="0"/>
      <w:marTop w:val="0"/>
      <w:marBottom w:val="0"/>
      <w:divBdr>
        <w:top w:val="none" w:sz="0" w:space="0" w:color="auto"/>
        <w:left w:val="none" w:sz="0" w:space="0" w:color="auto"/>
        <w:bottom w:val="none" w:sz="0" w:space="0" w:color="auto"/>
        <w:right w:val="none" w:sz="0" w:space="0" w:color="auto"/>
      </w:divBdr>
    </w:div>
    <w:div w:id="1128089009">
      <w:bodyDiv w:val="1"/>
      <w:marLeft w:val="0"/>
      <w:marRight w:val="0"/>
      <w:marTop w:val="0"/>
      <w:marBottom w:val="0"/>
      <w:divBdr>
        <w:top w:val="none" w:sz="0" w:space="0" w:color="auto"/>
        <w:left w:val="none" w:sz="0" w:space="0" w:color="auto"/>
        <w:bottom w:val="none" w:sz="0" w:space="0" w:color="auto"/>
        <w:right w:val="none" w:sz="0" w:space="0" w:color="auto"/>
      </w:divBdr>
    </w:div>
    <w:div w:id="1499350071">
      <w:bodyDiv w:val="1"/>
      <w:marLeft w:val="0"/>
      <w:marRight w:val="0"/>
      <w:marTop w:val="0"/>
      <w:marBottom w:val="0"/>
      <w:divBdr>
        <w:top w:val="none" w:sz="0" w:space="0" w:color="auto"/>
        <w:left w:val="none" w:sz="0" w:space="0" w:color="auto"/>
        <w:bottom w:val="none" w:sz="0" w:space="0" w:color="auto"/>
        <w:right w:val="none" w:sz="0" w:space="0" w:color="auto"/>
      </w:divBdr>
    </w:div>
    <w:div w:id="180107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QF83S2NHt06j_RFeYu7GMRG2Brk-kypKontQ_O-YoExUOVRINDVLUTVTNjZWVUowQklPQkdNMU5aWC4u" TargetMode="External"/><Relationship Id="rId18" Type="http://schemas.openxmlformats.org/officeDocument/2006/relationships/hyperlink" Target="https://educationendowmentfoundation.org.uk/education-evidence/teaching-learning-toolkit/mastery-learning" TargetMode="External"/><Relationship Id="rId26" Type="http://schemas.openxmlformats.org/officeDocument/2006/relationships/hyperlink" Target="https://educationendowmentfoundation.org.uk/education-evidence/teaching-learning-toolkit/social-and-emotional-learning" TargetMode="External"/><Relationship Id="rId39" Type="http://schemas.openxmlformats.org/officeDocument/2006/relationships/fontTable" Target="fontTable.xml"/><Relationship Id="rId21" Type="http://schemas.openxmlformats.org/officeDocument/2006/relationships/hyperlink" Target="https://www.gov.uk/government/publications/choosing-a-phonics-teaching-programme" TargetMode="External"/><Relationship Id="rId34" Type="http://schemas.openxmlformats.org/officeDocument/2006/relationships/hyperlink" Target="https://educationendowmentfoundation.org.uk/education-evidence/teaching-learning-toolkit/peer-tutoring" TargetMode="External"/><Relationship Id="rId7" Type="http://schemas.openxmlformats.org/officeDocument/2006/relationships/webSettings" Target="webSettings.xml"/><Relationship Id="rId12" Type="http://schemas.openxmlformats.org/officeDocument/2006/relationships/hyperlink" Target="https://forms.office.com/Pages/ResponsePage.aspx?id=QF83S2NHt06j_RFeYu7GMRG2Brk-kypKontQ_O-YoExUOVRINDVLUTVTNjZWVUowQklPQkdNMU5aWC4u" TargetMode="External"/><Relationship Id="rId17" Type="http://schemas.openxmlformats.org/officeDocument/2006/relationships/hyperlink" Target="https://assets.publishing.service.gov.uk/media/65cf69384239310011b7b91f/Using_Pupil_Premium_-_Guidance_for_School_Leaders.pdf" TargetMode="External"/><Relationship Id="rId25" Type="http://schemas.openxmlformats.org/officeDocument/2006/relationships/hyperlink" Target="https://educationendowmentfoundation.org.uk/education-evidence/guidance-reports/send" TargetMode="External"/><Relationship Id="rId33" Type="http://schemas.openxmlformats.org/officeDocument/2006/relationships/hyperlink" Target="https://educationendowmentfoundation.org.uk/education-evidence/teaching-learning-toolkit/arts-participation"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education-evidence/using-pupil-premium" TargetMode="External"/><Relationship Id="rId20" Type="http://schemas.openxmlformats.org/officeDocument/2006/relationships/hyperlink" Target="https://educationendowmentfoundation.org.uk/education-evidence/teaching-learning-toolkit/reading-comprehension-strategies" TargetMode="External"/><Relationship Id="rId29" Type="http://schemas.openxmlformats.org/officeDocument/2006/relationships/hyperlink" Target="https://educationendowmentfoundation.org.uk/education-evidence/teaching-learning-toolkit/small-group-tui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QF83S2NHt06j_RFeYu7GMRG2Brk-kypKontQ_O-YoExUOVRINDVLUTVTNjZWVUowQklPQkdNMU5aWC4u" TargetMode="External"/><Relationship Id="rId24" Type="http://schemas.openxmlformats.org/officeDocument/2006/relationships/hyperlink" Target="https://educationendowmentfoundation.org.uk/education-evidence/teaching-learning-toolkit/collaborative-learning-approaches" TargetMode="External"/><Relationship Id="rId32" Type="http://schemas.openxmlformats.org/officeDocument/2006/relationships/hyperlink" Target="https://educationendowmentfoundation.org.uk/education-evidence/teaching-learning-toolkit/extending-school-tim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ssets.publishing.service.gov.uk/media/65cf69384239310011b7b91f/Using_Pupil_Premium_-_Guidance_for_School_Leaders.pdf" TargetMode="External"/><Relationship Id="rId23" Type="http://schemas.openxmlformats.org/officeDocument/2006/relationships/hyperlink" Target="https://educationendowmentfoundation.org.uk/education-evidence/teaching-learning-toolkit/oral-language-interventions" TargetMode="External"/><Relationship Id="rId28" Type="http://schemas.openxmlformats.org/officeDocument/2006/relationships/hyperlink" Target="https://educationendowmentfoundation.org.uk/education-evidence/teaching-learning-toolkit/teaching-assistant-interventions" TargetMode="External"/><Relationship Id="rId36" Type="http://schemas.openxmlformats.org/officeDocument/2006/relationships/hyperlink" Target="https://researchschool.org.uk/durrington/news/the-evidence-base-behind-attendance-interventions" TargetMode="External"/><Relationship Id="rId10" Type="http://schemas.openxmlformats.org/officeDocument/2006/relationships/hyperlink" Target="https://forms.office.com/Pages/ResponsePage.aspx?id=QF83S2NHt06j_RFeYu7GMRG2Brk-kypKontQ_O-YoExUOVRINDVLUTVTNjZWVUowQklPQkdNMU5aWC4u" TargetMode="External"/><Relationship Id="rId19" Type="http://schemas.openxmlformats.org/officeDocument/2006/relationships/hyperlink" Target="https://assets.publishing.service.gov.uk/government/uploads/system/uploads/attachment_data/file/897806/Maths_guidance_KS_1_and_2.pdf" TargetMode="External"/><Relationship Id="rId31"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using-pupil-premium" TargetMode="External"/><Relationship Id="rId22" Type="http://schemas.openxmlformats.org/officeDocument/2006/relationships/hyperlink" Target="https://educationendowmentfoundation.org.uk/evidence-summaries/teaching-learning-toolkit/phonics/" TargetMode="External"/><Relationship Id="rId27" Type="http://schemas.openxmlformats.org/officeDocument/2006/relationships/hyperlink" Target="https://educationendowmentfoundation.org.uk/education-evidence/guidance-reports/send" TargetMode="External"/><Relationship Id="rId30" Type="http://schemas.openxmlformats.org/officeDocument/2006/relationships/hyperlink" Target="https://educationendowmentfoundation.org.uk/education-evidence/teaching-learning-toolkit/parental-engagement" TargetMode="External"/><Relationship Id="rId35" Type="http://schemas.openxmlformats.org/officeDocument/2006/relationships/hyperlink" Target="https://educationendowmentfoundation.org.uk/education-evidence/teaching-learning-toolkit/metacognition-and-self-regulation"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f16346a0397a7e78c76c1cf9126352f">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13c5b6e2786a6a8e00f447f58ef876b6"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9b417a-dd1c-4c0b-98df-2d139b0f831e}"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DA293-03E0-42EB-8E90-F22CCDBCBF6B}">
  <ds:schemaRefs>
    <ds:schemaRef ds:uri="http://www.w3.org/XML/1998/namespace"/>
    <ds:schemaRef ds:uri="http://purl.org/dc/dcmitype/"/>
    <ds:schemaRef ds:uri="http://schemas.microsoft.com/office/2006/documentManagement/types"/>
    <ds:schemaRef ds:uri="1dcc8c85-de69-4192-a52b-a9f98dd93f28"/>
    <ds:schemaRef ds:uri="http://schemas.openxmlformats.org/package/2006/metadata/core-properties"/>
    <ds:schemaRef ds:uri="4ad09f39-c8d7-47c4-a445-4252a0238924"/>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96D6DCC-56AB-4073-80CB-7D4BD675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6F94B-D5BA-4B85-B403-9870DEDE9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13</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Matt Parting</cp:lastModifiedBy>
  <cp:revision>156</cp:revision>
  <cp:lastPrinted>2024-12-18T14:25:00Z</cp:lastPrinted>
  <dcterms:created xsi:type="dcterms:W3CDTF">2024-12-13T14:10:00Z</dcterms:created>
  <dcterms:modified xsi:type="dcterms:W3CDTF">2024-12-19T15:22:00Z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0x010100005289623F3E30448E74F99516D45DDC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