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St. Mary’s CE Primary Academy</w:t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Calibri" w:cs="Calibri" w:eastAsia="Calibri" w:hAnsi="Calibri"/>
          <w:b w:val="1"/>
          <w:i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‘Learning Through Faith’</w:t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2303780</wp:posOffset>
            </wp:positionH>
            <wp:positionV relativeFrom="paragraph">
              <wp:posOffset>5080</wp:posOffset>
            </wp:positionV>
            <wp:extent cx="1123950" cy="1162050"/>
            <wp:effectExtent b="0" l="0" r="0" t="0"/>
            <wp:wrapSquare wrapText="bothSides" distB="0" distT="0" distL="114300" distR="114300"/>
            <wp:docPr descr="\\13020domain.sch\userdata$\users\adminusers\pnightingale\My Documents\School logo\Newchurch Badge November 2017.jpg" id="6" name="image1.jpg"/>
            <a:graphic>
              <a:graphicData uri="http://schemas.openxmlformats.org/drawingml/2006/picture">
                <pic:pic>
                  <pic:nvPicPr>
                    <pic:cNvPr descr="\\13020domain.sch\userdata$\users\adminusers\pnightingale\My Documents\School logo\Newchurch Badge November 2017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62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ageBreakBefore w:val="0"/>
        <w:spacing w:after="200"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pacing w:line="235" w:lineRule="auto"/>
        <w:rPr>
          <w:rFonts w:ascii="Arial" w:cs="Arial" w:eastAsia="Arial" w:hAnsi="Arial"/>
          <w:sz w:val="46"/>
          <w:szCs w:val="46"/>
        </w:rPr>
      </w:pPr>
      <w:bookmarkStart w:colFirst="0" w:colLast="0" w:name="_heading=h.22pxwbdakx5v" w:id="1"/>
      <w:bookmarkEnd w:id="1"/>
      <w:r w:rsidDel="00000000" w:rsidR="00000000" w:rsidRPr="00000000">
        <w:rPr>
          <w:rFonts w:ascii="Arial" w:cs="Arial" w:eastAsia="Arial" w:hAnsi="Arial"/>
          <w:sz w:val="46"/>
          <w:szCs w:val="46"/>
          <w:rtl w:val="0"/>
        </w:rPr>
        <w:t xml:space="preserve">Mathematics Policy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Vision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“At St Mary’s, we believe that it is possible for ordinary people to choose to be extraordinary.”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Mission Statement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“We aim to provide a learning environment in which everyone feels happy, safe and supported, where the evidence of God’s love is ever present.”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line="235" w:lineRule="auto"/>
        <w:rPr>
          <w:rFonts w:ascii="Arial" w:cs="Arial" w:eastAsia="Arial" w:hAnsi="Arial"/>
          <w:sz w:val="34"/>
          <w:szCs w:val="34"/>
        </w:rPr>
      </w:pPr>
      <w:bookmarkStart w:colFirst="0" w:colLast="0" w:name="_heading=h.n0amen3ppn89" w:id="2"/>
      <w:bookmarkEnd w:id="2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Curriculum Intent</w:t>
      </w:r>
    </w:p>
    <w:p w:rsidR="00000000" w:rsidDel="00000000" w:rsidP="00000000" w:rsidRDefault="00000000" w:rsidRPr="00000000" w14:paraId="00000010">
      <w:pPr>
        <w:spacing w:after="240" w:before="240" w:line="235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intent of our mathematics curriculum is to provide a comprehensive and engaging learning experience that equips pupils with a solid foundation in mathematical skills and concepts. We aim to:</w:t>
      </w:r>
    </w:p>
    <w:p w:rsidR="00000000" w:rsidDel="00000000" w:rsidP="00000000" w:rsidRDefault="00000000" w:rsidRPr="00000000" w14:paraId="00000011">
      <w:pPr>
        <w:numPr>
          <w:ilvl w:val="0"/>
          <w:numId w:val="9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Develop a love for mathematics through the Pearson Active Learn Abacus scheme, supported by the NCETM for mastery.</w:t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Foster the use of mathematical vocabulary across all areas of the curriculum.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Encourage brave learners who are not afraid to make mistakes and embrace challenging concepts.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Ensure all pupils, including those with special educational needs, have access to high-quality mathematical learning and progress.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line="235" w:lineRule="auto"/>
        <w:rPr>
          <w:rFonts w:ascii="Arial" w:cs="Arial" w:eastAsia="Arial" w:hAnsi="Arial"/>
          <w:sz w:val="34"/>
          <w:szCs w:val="34"/>
        </w:rPr>
      </w:pPr>
      <w:bookmarkStart w:colFirst="0" w:colLast="0" w:name="_heading=h.vdet6zcovasd" w:id="3"/>
      <w:bookmarkEnd w:id="3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Teaching and Learning Progression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line="235" w:lineRule="auto"/>
        <w:rPr>
          <w:rFonts w:ascii="Arial" w:cs="Arial" w:eastAsia="Arial" w:hAnsi="Arial"/>
          <w:sz w:val="26"/>
          <w:szCs w:val="26"/>
        </w:rPr>
      </w:pPr>
      <w:bookmarkStart w:colFirst="0" w:colLast="0" w:name="_heading=h.k7ujozmva0pa" w:id="4"/>
      <w:bookmarkEnd w:id="4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Early Years Foundation Stage (EYFS)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Focus on number recognition, counting, and basic arithmetic through play-based learning.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manipulatives and visual aids to support understanding.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Introduce mathematical vocabulary in everyday contexts.</w:t>
      </w:r>
    </w:p>
    <w:p w:rsidR="00000000" w:rsidDel="00000000" w:rsidP="00000000" w:rsidRDefault="00000000" w:rsidRPr="00000000" w14:paraId="0000001A">
      <w:pPr>
        <w:spacing w:after="240" w:before="240" w:line="235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line="235" w:lineRule="auto"/>
        <w:rPr>
          <w:rFonts w:ascii="Arial" w:cs="Arial" w:eastAsia="Arial" w:hAnsi="Arial"/>
          <w:sz w:val="26"/>
          <w:szCs w:val="26"/>
        </w:rPr>
      </w:pPr>
      <w:bookmarkStart w:colFirst="0" w:colLast="0" w:name="_heading=h.kglwlwapn0wm" w:id="5"/>
      <w:bookmarkEnd w:id="5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Key Stage 1 (KS1)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Teach number concepts through songs and interactive activities.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stem sentences and teacher modelling to develop problem-solving skills.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Scaffold learning for less able learners.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Begin discrete teaching of timetables through songs.</w:t>
      </w:r>
    </w:p>
    <w:p w:rsidR="00000000" w:rsidDel="00000000" w:rsidP="00000000" w:rsidRDefault="00000000" w:rsidRPr="00000000" w14:paraId="00000020">
      <w:pPr>
        <w:pStyle w:val="Heading3"/>
        <w:keepNext w:val="0"/>
        <w:keepLines w:val="0"/>
        <w:spacing w:line="235" w:lineRule="auto"/>
        <w:rPr>
          <w:rFonts w:ascii="Arial" w:cs="Arial" w:eastAsia="Arial" w:hAnsi="Arial"/>
          <w:sz w:val="26"/>
          <w:szCs w:val="26"/>
        </w:rPr>
      </w:pPr>
      <w:bookmarkStart w:colFirst="0" w:colLast="0" w:name="_heading=h.th40s657rrp4" w:id="6"/>
      <w:bookmarkEnd w:id="6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Key Stage 2 (KS2)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Daily discrete sessions for timetables, with a weekly quiz to track progress.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Structure lessons with a revision of number focus followed by the main learning objective.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of manipulatives and visual aids for concept clarity.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Transition meetings between KS1 and KS2 teachers to establish effective starting points.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line="235" w:lineRule="auto"/>
        <w:rPr>
          <w:rFonts w:ascii="Arial" w:cs="Arial" w:eastAsia="Arial" w:hAnsi="Arial"/>
          <w:sz w:val="34"/>
          <w:szCs w:val="34"/>
        </w:rPr>
      </w:pPr>
      <w:bookmarkStart w:colFirst="0" w:colLast="0" w:name="_heading=h.qpkwfzhqgu9e" w:id="7"/>
      <w:bookmarkEnd w:id="7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Monitoring, Recording, and Assessment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Daily assessment to inform immediate interventions.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NFER tests at the end of each term for Years 1 to 5.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past SATs papers for Year 2 and Year 6 to prepare for national assessments.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Regularly monitor pupil progress through formative and summative assessments.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Assessment results recorded systematically to track individual progress and identify areas for support using Sonar.</w:t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line="235" w:lineRule="auto"/>
        <w:rPr>
          <w:rFonts w:ascii="Arial" w:cs="Arial" w:eastAsia="Arial" w:hAnsi="Arial"/>
          <w:sz w:val="34"/>
          <w:szCs w:val="34"/>
        </w:rPr>
      </w:pPr>
      <w:bookmarkStart w:colFirst="0" w:colLast="0" w:name="_heading=h.q5idqzt913pu" w:id="8"/>
      <w:bookmarkEnd w:id="8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Inclusion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Ensure all pupils, including those with special educational needs, have access to tailored mathematical learning.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Provide scaffolds and interventions for less able learners.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manipulatives and visual aids to support understanding.</w:t>
      </w:r>
    </w:p>
    <w:p w:rsidR="00000000" w:rsidDel="00000000" w:rsidP="00000000" w:rsidRDefault="00000000" w:rsidRPr="00000000" w14:paraId="0000002F">
      <w:pPr>
        <w:numPr>
          <w:ilvl w:val="0"/>
          <w:numId w:val="10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Promote an inclusive environment where every child feels valued and capable of success in mathematics.</w:t>
      </w:r>
    </w:p>
    <w:p w:rsidR="00000000" w:rsidDel="00000000" w:rsidP="00000000" w:rsidRDefault="00000000" w:rsidRPr="00000000" w14:paraId="00000030">
      <w:pPr>
        <w:pStyle w:val="Heading2"/>
        <w:keepNext w:val="0"/>
        <w:keepLines w:val="0"/>
        <w:spacing w:line="235" w:lineRule="auto"/>
        <w:rPr>
          <w:rFonts w:ascii="Arial" w:cs="Arial" w:eastAsia="Arial" w:hAnsi="Arial"/>
          <w:sz w:val="34"/>
          <w:szCs w:val="34"/>
        </w:rPr>
      </w:pPr>
      <w:bookmarkStart w:colFirst="0" w:colLast="0" w:name="_heading=h.1to7mzzcdqu7" w:id="9"/>
      <w:bookmarkEnd w:id="9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Health and Safety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Ensure all manipulatives and resources are safe and suitable for pupil use.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Maintain a tidy and organised classroom to prevent accidents.</w:t>
      </w:r>
    </w:p>
    <w:p w:rsidR="00000000" w:rsidDel="00000000" w:rsidP="00000000" w:rsidRDefault="00000000" w:rsidRPr="00000000" w14:paraId="00000033">
      <w:pPr>
        <w:numPr>
          <w:ilvl w:val="0"/>
          <w:numId w:val="6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Supervise all practical activities to ensure pupil safety.</w:t>
      </w:r>
    </w:p>
    <w:p w:rsidR="00000000" w:rsidDel="00000000" w:rsidP="00000000" w:rsidRDefault="00000000" w:rsidRPr="00000000" w14:paraId="00000034">
      <w:pPr>
        <w:numPr>
          <w:ilvl w:val="0"/>
          <w:numId w:val="6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Regularly inspect and maintain equipment and resources.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line="235" w:lineRule="auto"/>
        <w:rPr>
          <w:rFonts w:ascii="Arial" w:cs="Arial" w:eastAsia="Arial" w:hAnsi="Arial"/>
          <w:sz w:val="34"/>
          <w:szCs w:val="34"/>
        </w:rPr>
      </w:pPr>
      <w:bookmarkStart w:colFirst="0" w:colLast="0" w:name="_heading=h.au4e4zb3ai69" w:id="10"/>
      <w:bookmarkEnd w:id="10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The Role of the Maths Coordinator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Lead the development and implementation of the maths curriculum.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Support teachers in planning and delivering high-quality mathematics lessons.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Monitor and evaluate the effectiveness of maths teaching across the school.</w:t>
      </w:r>
    </w:p>
    <w:p w:rsidR="00000000" w:rsidDel="00000000" w:rsidP="00000000" w:rsidRDefault="00000000" w:rsidRPr="00000000" w14:paraId="00000039">
      <w:pPr>
        <w:numPr>
          <w:ilvl w:val="0"/>
          <w:numId w:val="14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Provide professional development opportunities for staff.</w:t>
      </w:r>
    </w:p>
    <w:p w:rsidR="00000000" w:rsidDel="00000000" w:rsidP="00000000" w:rsidRDefault="00000000" w:rsidRPr="00000000" w14:paraId="0000003A">
      <w:pPr>
        <w:numPr>
          <w:ilvl w:val="0"/>
          <w:numId w:val="14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Ensure resources are available and used effectively.</w:t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Assist liaisons with parents and external agencies to support pupil learning.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line="235" w:lineRule="auto"/>
        <w:rPr>
          <w:rFonts w:ascii="Arial" w:cs="Arial" w:eastAsia="Arial" w:hAnsi="Arial"/>
          <w:sz w:val="34"/>
          <w:szCs w:val="34"/>
        </w:rPr>
      </w:pPr>
      <w:bookmarkStart w:colFirst="0" w:colLast="0" w:name="_heading=h.9xlssoxfg8ux" w:id="11"/>
      <w:bookmarkEnd w:id="11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Resources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Pearson Active Learn Abacus scheme to provide structured learning.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Provide a range of manipulatives and visual aids to support learning.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Ensure access to ICT resources for interactive and engaging lessons.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NCETM resources to challenge more able learners and support mastery.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Provide high-quality textbooks and workbooks to support independent learning.</w:t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pacing w:line="235" w:lineRule="auto"/>
        <w:rPr>
          <w:rFonts w:ascii="Arial" w:cs="Arial" w:eastAsia="Arial" w:hAnsi="Arial"/>
          <w:sz w:val="34"/>
          <w:szCs w:val="34"/>
        </w:rPr>
      </w:pPr>
      <w:bookmarkStart w:colFirst="0" w:colLast="0" w:name="_heading=h.1bl132opjme7" w:id="12"/>
      <w:bookmarkEnd w:id="12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Promoting Maths Across the Curriculum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Integrate maths learning in English through problem-solving and logical reasoning tasks.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ICT to teach mathematical concepts and develop digital literacy.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Incorporate maths in science through data analysis and measurement activities.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Apply mathematical skills in art, design, and technology through pattern recognition and geometric design.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Explore maths in history, geography, and religious education through timelines, maps, and cultural contexts.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Promote maths in PE and music through rhythm, timing, and measurement activities.</w:t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spacing w:line="235" w:lineRule="auto"/>
        <w:rPr>
          <w:rFonts w:ascii="Arial" w:cs="Arial" w:eastAsia="Arial" w:hAnsi="Arial"/>
          <w:sz w:val="34"/>
          <w:szCs w:val="34"/>
        </w:rPr>
      </w:pPr>
      <w:bookmarkStart w:colFirst="0" w:colLast="0" w:name="_heading=h.5lsqlvo397fv" w:id="13"/>
      <w:bookmarkEnd w:id="13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Peer Support and Encouraging Brave Learners</w:t>
      </w:r>
    </w:p>
    <w:p w:rsidR="00000000" w:rsidDel="00000000" w:rsidP="00000000" w:rsidRDefault="00000000" w:rsidRPr="00000000" w14:paraId="0000004A">
      <w:pPr>
        <w:numPr>
          <w:ilvl w:val="0"/>
          <w:numId w:val="13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Foster a classroom culture where making mistakes is seen as a learning opportunity.</w:t>
      </w:r>
    </w:p>
    <w:p w:rsidR="00000000" w:rsidDel="00000000" w:rsidP="00000000" w:rsidRDefault="00000000" w:rsidRPr="00000000" w14:paraId="0000004B">
      <w:pPr>
        <w:numPr>
          <w:ilvl w:val="0"/>
          <w:numId w:val="13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Encourage peer support and collaborative learning.</w:t>
      </w:r>
    </w:p>
    <w:p w:rsidR="00000000" w:rsidDel="00000000" w:rsidP="00000000" w:rsidRDefault="00000000" w:rsidRPr="00000000" w14:paraId="0000004C">
      <w:pPr>
        <w:numPr>
          <w:ilvl w:val="0"/>
          <w:numId w:val="13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Celebrate achievements and progress to build confidence.</w:t>
      </w:r>
    </w:p>
    <w:p w:rsidR="00000000" w:rsidDel="00000000" w:rsidP="00000000" w:rsidRDefault="00000000" w:rsidRPr="00000000" w14:paraId="0000004D">
      <w:pPr>
        <w:numPr>
          <w:ilvl w:val="0"/>
          <w:numId w:val="13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Provide opportunities for pupils to tackle challenging concepts and develop resilience.</w:t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pacing w:line="235" w:lineRule="auto"/>
        <w:rPr>
          <w:rFonts w:ascii="Arial" w:cs="Arial" w:eastAsia="Arial" w:hAnsi="Arial"/>
          <w:sz w:val="34"/>
          <w:szCs w:val="34"/>
        </w:rPr>
      </w:pPr>
      <w:bookmarkStart w:colFirst="0" w:colLast="0" w:name="_heading=h.n5nfrwlokvbs" w:id="14"/>
      <w:bookmarkEnd w:id="14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Teaching Structure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Begin each lesson with a revision of number focus.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Follow with the main learning objective and hands-on activities.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daily discrete sessions for timetables in KS2, with a weekly quiz.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Incorporate songs for teaching timetables in KS1.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line="235" w:lineRule="auto"/>
        <w:rPr>
          <w:rFonts w:ascii="Arial" w:cs="Arial" w:eastAsia="Arial" w:hAnsi="Arial"/>
          <w:sz w:val="34"/>
          <w:szCs w:val="34"/>
        </w:rPr>
      </w:pPr>
      <w:bookmarkStart w:colFirst="0" w:colLast="0" w:name="_heading=h.g4zxshb86lj9" w:id="15"/>
      <w:bookmarkEnd w:id="15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Interventions and Support</w:t>
      </w:r>
    </w:p>
    <w:p w:rsidR="00000000" w:rsidDel="00000000" w:rsidP="00000000" w:rsidRDefault="00000000" w:rsidRPr="00000000" w14:paraId="00000054">
      <w:pPr>
        <w:numPr>
          <w:ilvl w:val="0"/>
          <w:numId w:val="12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Provide immediate interventions for pupils falling behind.</w:t>
      </w:r>
    </w:p>
    <w:p w:rsidR="00000000" w:rsidDel="00000000" w:rsidP="00000000" w:rsidRDefault="00000000" w:rsidRPr="00000000" w14:paraId="00000055">
      <w:pPr>
        <w:numPr>
          <w:ilvl w:val="0"/>
          <w:numId w:val="12"/>
        </w:numPr>
        <w:spacing w:after="0" w:afterAutospacing="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Use transition meetings to ensure continuity in learning between KS1 and KS2.</w:t>
      </w:r>
    </w:p>
    <w:p w:rsidR="00000000" w:rsidDel="00000000" w:rsidP="00000000" w:rsidRDefault="00000000" w:rsidRPr="00000000" w14:paraId="00000056">
      <w:pPr>
        <w:numPr>
          <w:ilvl w:val="0"/>
          <w:numId w:val="12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Offer additional support through targeted interventions and small group work.</w:t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line="235" w:lineRule="auto"/>
        <w:rPr>
          <w:rFonts w:ascii="Arial" w:cs="Arial" w:eastAsia="Arial" w:hAnsi="Arial"/>
          <w:sz w:val="34"/>
          <w:szCs w:val="34"/>
        </w:rPr>
      </w:pPr>
      <w:bookmarkStart w:colFirst="0" w:colLast="0" w:name="_heading=h.mnc7cou57h3n" w:id="16"/>
      <w:bookmarkEnd w:id="16"/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Transition Meetings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spacing w:after="0" w:afterAutospacing="0" w:before="24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Conduct transition meetings between KS1 and KS2 teachers.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pacing w:after="240" w:before="0" w:beforeAutospacing="0" w:line="235" w:lineRule="auto"/>
        <w:ind w:left="720" w:hanging="36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Share assessment data and pupil profiles to establish effective starting points.</w:t>
      </w:r>
    </w:p>
    <w:p w:rsidR="00000000" w:rsidDel="00000000" w:rsidP="00000000" w:rsidRDefault="00000000" w:rsidRPr="00000000" w14:paraId="0000005A">
      <w:pPr>
        <w:spacing w:after="240" w:before="240" w:line="235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By implementing this comprehensive mathematics policy, we aim to ensure that every pupil develops a strong mathematical foundation, fostering a lifelong love for learning and problem-solving.</w:t>
      </w:r>
    </w:p>
    <w:p w:rsidR="00000000" w:rsidDel="00000000" w:rsidP="00000000" w:rsidRDefault="00000000" w:rsidRPr="00000000" w14:paraId="0000005B">
      <w:pPr>
        <w:pageBreakBefore w:val="0"/>
        <w:spacing w:line="235" w:lineRule="auto"/>
        <w:ind w:right="4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Written: September 2024</w:t>
      </w:r>
    </w:p>
    <w:p w:rsidR="00000000" w:rsidDel="00000000" w:rsidP="00000000" w:rsidRDefault="00000000" w:rsidRPr="00000000" w14:paraId="0000005D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Review period: 1 year</w:t>
      </w:r>
    </w:p>
    <w:p w:rsidR="00000000" w:rsidDel="00000000" w:rsidP="00000000" w:rsidRDefault="00000000" w:rsidRPr="00000000" w14:paraId="0000005E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Review: September 2025</w:t>
      </w:r>
    </w:p>
    <w:p w:rsidR="00000000" w:rsidDel="00000000" w:rsidP="00000000" w:rsidRDefault="00000000" w:rsidRPr="00000000" w14:paraId="0000005F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7F6EZC3HY3qLJRbv0Lk21O+5IA==">CgMxLjAyCGguZ2pkZ3hzMg5oLjIycHh3YmRha3g1djIOaC5uMGFtZW4zcHBuODkyDmgudmRldDZ6Y292YXNkMg5oLms3dWpvem12YTBwYTIOaC5rZ2x3bHdhcG4wd20yDmgudGg0MHM2NTdycnA0Mg5oLnFwa3dmemhxZ3U5ZTIOaC5xNWlkcXp0OTEzcHUyDmguMXRvN216emNkcXU3Mg5oLmF1NGU0emIzYWk2OTIOaC45eGxzc294Zmc4dXgyDmguMWJsMTMyb3BqbWU3Mg5oLjVsc3Fsdm8zOTdmdjIOaC5uNW5mcndsb2t2YnMyDmguZzR6eHNoYjg2bGo5Mg5oLm1uYzdjb3U1N2gzbjgAciExRTBIV0hhSzdrSllhMVZSZTBMejF3MWUwdVRuYklKW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