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highlight w:val="yellow"/>
        </w:rPr>
      </w:pPr>
      <w:r w:rsidDel="00000000" w:rsidR="00000000" w:rsidRPr="00000000">
        <w:rPr>
          <w:rtl w:val="0"/>
        </w:rPr>
        <w:t xml:space="preserve">Subject: </w:t>
      </w:r>
      <w:r w:rsidDel="00000000" w:rsidR="00000000" w:rsidRPr="00000000">
        <w:rPr>
          <w:b w:val="1"/>
          <w:u w:val="single"/>
          <w:rtl w:val="0"/>
        </w:rPr>
        <w:t xml:space="preserve">HISTORY  </w:t>
      </w:r>
      <w:r w:rsidDel="00000000" w:rsidR="00000000" w:rsidRPr="00000000">
        <w:rPr>
          <w:b w:val="1"/>
          <w:highlight w:val="yellow"/>
          <w:u w:val="single"/>
          <w:rtl w:val="0"/>
        </w:rPr>
        <w:t xml:space="preserve">COMPLETED KNOWLEDGE MAPS IN YELLOW </w:t>
      </w:r>
      <w:r w:rsidDel="00000000" w:rsidR="00000000" w:rsidRPr="00000000">
        <w:rPr>
          <w:rtl w:val="0"/>
        </w:rPr>
      </w:r>
    </w:p>
    <w:tbl>
      <w:tblPr>
        <w:tblStyle w:val="Table1"/>
        <w:tblW w:w="9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0"/>
        <w:gridCol w:w="1890"/>
        <w:gridCol w:w="2010"/>
        <w:gridCol w:w="4470"/>
        <w:tblGridChange w:id="0">
          <w:tblGrid>
            <w:gridCol w:w="1110"/>
            <w:gridCol w:w="1890"/>
            <w:gridCol w:w="2010"/>
            <w:gridCol w:w="4470"/>
          </w:tblGrid>
        </w:tblGridChange>
      </w:tblGrid>
      <w:tr>
        <w:trPr>
          <w:cantSplit w:val="0"/>
          <w:trHeight w:val="1180" w:hRule="atLeast"/>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pPr>
            <w:r w:rsidDel="00000000" w:rsidR="00000000" w:rsidRPr="00000000">
              <w:rPr>
                <w:rtl w:val="0"/>
              </w:rPr>
              <w:t xml:space="preserve">Year B start </w:t>
            </w:r>
          </w:p>
        </w:tc>
        <w:tc>
          <w:tcPr/>
          <w:p w:rsidR="00000000" w:rsidDel="00000000" w:rsidP="00000000" w:rsidRDefault="00000000" w:rsidRPr="00000000" w14:paraId="00000004">
            <w:pPr>
              <w:pageBreakBefore w:val="0"/>
              <w:rPr/>
            </w:pPr>
            <w:r w:rsidDel="00000000" w:rsidR="00000000" w:rsidRPr="00000000">
              <w:rPr>
                <w:rtl w:val="0"/>
              </w:rPr>
              <w:t xml:space="preserve">Year A start </w:t>
            </w:r>
          </w:p>
        </w:tc>
        <w:tc>
          <w:tcPr/>
          <w:p w:rsidR="00000000" w:rsidDel="00000000" w:rsidP="00000000" w:rsidRDefault="00000000" w:rsidRPr="00000000" w14:paraId="00000005">
            <w:pPr>
              <w:pageBreakBefore w:val="0"/>
              <w:rPr/>
            </w:pPr>
            <w:r w:rsidDel="00000000" w:rsidR="00000000" w:rsidRPr="00000000">
              <w:rPr>
                <w:rtl w:val="0"/>
              </w:rPr>
            </w:r>
          </w:p>
        </w:tc>
      </w:tr>
      <w:tr>
        <w:trPr>
          <w:cantSplit w:val="0"/>
          <w:trHeight w:val="1215" w:hRule="atLeast"/>
          <w:tblHeader w:val="0"/>
        </w:trPr>
        <w:tc>
          <w:tcPr>
            <w:shd w:fill="d9d9d9" w:val="clear"/>
          </w:tcPr>
          <w:p w:rsidR="00000000" w:rsidDel="00000000" w:rsidP="00000000" w:rsidRDefault="00000000" w:rsidRPr="00000000" w14:paraId="00000006">
            <w:pPr>
              <w:pageBreakBefore w:val="0"/>
              <w:rPr/>
            </w:pPr>
            <w:r w:rsidDel="00000000" w:rsidR="00000000" w:rsidRPr="00000000">
              <w:rPr>
                <w:rtl w:val="0"/>
              </w:rPr>
              <w:t xml:space="preserve">Year 1 Autumn</w:t>
            </w:r>
          </w:p>
        </w:tc>
        <w:tc>
          <w:tcPr>
            <w:shd w:fill="d9d9d9" w:val="clear"/>
          </w:tcPr>
          <w:p w:rsidR="00000000" w:rsidDel="00000000" w:rsidP="00000000" w:rsidRDefault="00000000" w:rsidRPr="00000000" w14:paraId="00000007">
            <w:pPr>
              <w:pageBreakBefore w:val="0"/>
              <w:rPr>
                <w:highlight w:val="yellow"/>
              </w:rPr>
            </w:pPr>
            <w:r w:rsidDel="00000000" w:rsidR="00000000" w:rsidRPr="00000000">
              <w:rPr>
                <w:highlight w:val="yellow"/>
                <w:rtl w:val="0"/>
              </w:rPr>
              <w:t xml:space="preserve">My Family History </w:t>
            </w:r>
          </w:p>
          <w:p w:rsidR="00000000" w:rsidDel="00000000" w:rsidP="00000000" w:rsidRDefault="00000000" w:rsidRPr="00000000" w14:paraId="00000008">
            <w:pPr>
              <w:pageBreakBefore w:val="0"/>
              <w:spacing w:line="259" w:lineRule="auto"/>
              <w:rPr>
                <w:highlight w:val="yellow"/>
              </w:rPr>
            </w:pPr>
            <w:r w:rsidDel="00000000" w:rsidR="00000000" w:rsidRPr="00000000">
              <w:rPr>
                <w:rFonts w:ascii="Arial" w:cs="Arial" w:eastAsia="Arial" w:hAnsi="Arial"/>
                <w:sz w:val="20"/>
                <w:szCs w:val="20"/>
                <w:highlight w:val="yellow"/>
                <w:rtl w:val="0"/>
              </w:rPr>
              <w:t xml:space="preserve">Significant historical events, people and places in their own locality</w:t>
            </w:r>
            <w:r w:rsidDel="00000000" w:rsidR="00000000" w:rsidRPr="00000000">
              <w:rPr>
                <w:rtl w:val="0"/>
              </w:rPr>
            </w:r>
          </w:p>
        </w:tc>
        <w:tc>
          <w:tcPr>
            <w:shd w:fill="d9d9d9" w:val="clear"/>
          </w:tcPr>
          <w:p w:rsidR="00000000" w:rsidDel="00000000" w:rsidP="00000000" w:rsidRDefault="00000000" w:rsidRPr="00000000" w14:paraId="00000009">
            <w:pPr>
              <w:pageBreakBefore w:val="0"/>
              <w:rPr/>
            </w:pPr>
            <w:r w:rsidDel="00000000" w:rsidR="00000000" w:rsidRPr="00000000">
              <w:rPr>
                <w:rtl w:val="0"/>
              </w:rPr>
              <w:t xml:space="preserve">Richard Crosse/school </w:t>
            </w:r>
          </w:p>
          <w:p w:rsidR="00000000" w:rsidDel="00000000" w:rsidP="00000000" w:rsidRDefault="00000000" w:rsidRPr="00000000" w14:paraId="0000000A">
            <w:pPr>
              <w:pageBreakBefore w:val="0"/>
              <w:spacing w:line="259" w:lineRule="auto"/>
              <w:rPr/>
            </w:pPr>
            <w:r w:rsidDel="00000000" w:rsidR="00000000" w:rsidRPr="00000000">
              <w:rPr>
                <w:rFonts w:ascii="Arial" w:cs="Arial" w:eastAsia="Arial" w:hAnsi="Arial"/>
                <w:sz w:val="20"/>
                <w:szCs w:val="20"/>
                <w:rtl w:val="0"/>
              </w:rPr>
              <w:t xml:space="preserve">Significant historical events, people and places in their own locality</w:t>
            </w:r>
            <w:r w:rsidDel="00000000" w:rsidR="00000000" w:rsidRPr="00000000">
              <w:rPr>
                <w:rtl w:val="0"/>
              </w:rPr>
            </w:r>
          </w:p>
        </w:tc>
        <w:tc>
          <w:tcPr>
            <w:vMerge w:val="restart"/>
            <w:shd w:fill="d9d9d9" w:val="clear"/>
          </w:tcPr>
          <w:p w:rsidR="00000000" w:rsidDel="00000000" w:rsidP="00000000" w:rsidRDefault="00000000" w:rsidRPr="00000000" w14:paraId="0000000B">
            <w:pPr>
              <w:pageBreakBefore w:val="0"/>
              <w:rPr/>
            </w:pPr>
            <w:r w:rsidDel="00000000" w:rsidR="00000000" w:rsidRPr="00000000">
              <w:rPr>
                <w:rtl w:val="0"/>
              </w:rPr>
              <w:t xml:space="preserve">We believe A high-quality history education will help pupils gain a coherent knowledge and understanding of Britain’s past and that of the wider world. Our History  helps pupils to understand the complexity of people’s lives, the process of change, the diversity of societies and relationships between different groups, as well as their own identity and the challenges of their time.</w:t>
            </w:r>
          </w:p>
          <w:p w:rsidR="00000000" w:rsidDel="00000000" w:rsidP="00000000" w:rsidRDefault="00000000" w:rsidRPr="00000000" w14:paraId="0000000C">
            <w:pPr>
              <w:pageBreakBefore w:val="0"/>
              <w:rPr/>
            </w:pPr>
            <w:r w:rsidDel="00000000" w:rsidR="00000000" w:rsidRPr="00000000">
              <w:rPr>
                <w:rtl w:val="0"/>
              </w:rPr>
              <w:t xml:space="preserve">Our Key Stage 1 curriculum allows our children to develop a well-rounded awareness of the past. We ensure that the children can identify where their  learning fits chronologically compared to their own experiences and key events of the past. </w:t>
            </w:r>
          </w:p>
          <w:p w:rsidR="00000000" w:rsidDel="00000000" w:rsidP="00000000" w:rsidRDefault="00000000" w:rsidRPr="00000000" w14:paraId="0000000D">
            <w:pPr>
              <w:pageBreakBefore w:val="0"/>
              <w:rPr/>
            </w:pPr>
            <w:r w:rsidDel="00000000" w:rsidR="00000000" w:rsidRPr="00000000">
              <w:rPr>
                <w:rtl w:val="0"/>
              </w:rPr>
              <w:t xml:space="preserve">Our Moon Landing unit allows the children to develop an understanding of key global events that have created </w:t>
            </w:r>
            <w:r w:rsidDel="00000000" w:rsidR="00000000" w:rsidRPr="00000000">
              <w:rPr>
                <w:b w:val="1"/>
                <w:i w:val="1"/>
                <w:rtl w:val="0"/>
              </w:rPr>
              <w:t xml:space="preserve">change</w:t>
            </w:r>
            <w:r w:rsidDel="00000000" w:rsidR="00000000" w:rsidRPr="00000000">
              <w:rPr>
                <w:rtl w:val="0"/>
              </w:rPr>
              <w:t xml:space="preserve"> to life today. We have also carefully chosen the significant individuals in the past who we feel have contributed to national and international achievements that are relevant to our children and reflect our vision and values. We use these to compare aspects of life in different periods (Elizabeth I and Queen Victoria and Florence Nightingale) and to relate them chronologically to each other and the lives of our pupils. </w:t>
            </w:r>
          </w:p>
          <w:p w:rsidR="00000000" w:rsidDel="00000000" w:rsidP="00000000" w:rsidRDefault="00000000" w:rsidRPr="00000000" w14:paraId="0000000E">
            <w:pPr>
              <w:pageBreakBefore w:val="0"/>
              <w:rPr/>
            </w:pPr>
            <w:r w:rsidDel="00000000" w:rsidR="00000000" w:rsidRPr="00000000">
              <w:rPr>
                <w:rtl w:val="0"/>
              </w:rPr>
              <w:t xml:space="preserve">Local History is very important to our schools and communities. We are proud of our locations, our links and our development and as such feel this is an integral part of our History curriculum. </w:t>
            </w:r>
          </w:p>
          <w:p w:rsidR="00000000" w:rsidDel="00000000" w:rsidP="00000000" w:rsidRDefault="00000000" w:rsidRPr="00000000" w14:paraId="0000000F">
            <w:pPr>
              <w:pageBreakBefore w:val="0"/>
              <w:rPr/>
            </w:pPr>
            <w:r w:rsidDel="00000000" w:rsidR="00000000" w:rsidRPr="00000000">
              <w:rPr>
                <w:rtl w:val="0"/>
              </w:rPr>
              <w:t xml:space="preserve">Children leave St Mary's as historians. They go away with;</w:t>
            </w:r>
          </w:p>
          <w:p w:rsidR="00000000" w:rsidDel="00000000" w:rsidP="00000000" w:rsidRDefault="00000000" w:rsidRPr="00000000" w14:paraId="00000010">
            <w:pPr>
              <w:pageBreakBefore w:val="0"/>
              <w:rPr/>
            </w:pPr>
            <w:r w:rsidDel="00000000" w:rsidR="00000000" w:rsidRPr="00000000">
              <w:rPr>
                <w:rtl w:val="0"/>
              </w:rPr>
              <w:t xml:space="preserve"> knowledge of key historical events both globally and locally and of significant people. They understand cause and consequence, significance and continuity/change.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As St Mary’s children move into Key Stage 2, so to does their ability to develop a chronologically secure knowledge and understanding of British, local and world history. Our Key Stage 2 curriculum covers all of the statutory National curriculum guidance; allowing the children to develop their chronological understanding through carefully crafted units of work that put learning into perspective and allow links with prior learning.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Allowing children to place their learning in a chronological order is very important to us; each unit starts with revision of prior learning and a visit to our vibrant whole school world timeline in order to understand where the unit sits within time and within their previous units.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tc>
      </w:tr>
      <w:tr>
        <w:trPr>
          <w:cantSplit w:val="0"/>
          <w:trHeight w:val="1180" w:hRule="atLeast"/>
          <w:tblHeader w:val="0"/>
        </w:trPr>
        <w:tc>
          <w:tcPr>
            <w:shd w:fill="d9d9d9" w:val="clear"/>
          </w:tcPr>
          <w:p w:rsidR="00000000" w:rsidDel="00000000" w:rsidP="00000000" w:rsidRDefault="00000000" w:rsidRPr="00000000" w14:paraId="00000027">
            <w:pPr>
              <w:pageBreakBefore w:val="0"/>
              <w:rPr/>
            </w:pPr>
            <w:r w:rsidDel="00000000" w:rsidR="00000000" w:rsidRPr="00000000">
              <w:rPr>
                <w:rtl w:val="0"/>
              </w:rPr>
              <w:t xml:space="preserve">Year 1 Spring</w:t>
            </w:r>
          </w:p>
        </w:tc>
        <w:tc>
          <w:tcPr>
            <w:shd w:fill="d9d9d9" w:val="clear"/>
            <w:vAlign w:val="top"/>
          </w:tcPr>
          <w:p w:rsidR="00000000" w:rsidDel="00000000" w:rsidP="00000000" w:rsidRDefault="00000000" w:rsidRPr="00000000" w14:paraId="00000028">
            <w:pPr>
              <w:pageBreakBefore w:val="0"/>
              <w:spacing w:line="259"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Great fire of London</w:t>
            </w:r>
          </w:p>
          <w:p w:rsidR="00000000" w:rsidDel="00000000" w:rsidP="00000000" w:rsidRDefault="00000000" w:rsidRPr="00000000" w14:paraId="00000029">
            <w:pPr>
              <w:pageBreakBefore w:val="0"/>
              <w:spacing w:line="259"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Events </w:t>
            </w:r>
            <w:r w:rsidDel="00000000" w:rsidR="00000000" w:rsidRPr="00000000">
              <w:rPr>
                <w:rFonts w:ascii="Arial" w:cs="Arial" w:eastAsia="Arial" w:hAnsi="Arial"/>
                <w:b w:val="1"/>
                <w:sz w:val="20"/>
                <w:szCs w:val="20"/>
                <w:highlight w:val="yellow"/>
                <w:rtl w:val="0"/>
              </w:rPr>
              <w:t xml:space="preserve">beyond living memory</w:t>
            </w:r>
            <w:r w:rsidDel="00000000" w:rsidR="00000000" w:rsidRPr="00000000">
              <w:rPr>
                <w:rFonts w:ascii="Arial" w:cs="Arial" w:eastAsia="Arial" w:hAnsi="Arial"/>
                <w:sz w:val="20"/>
                <w:szCs w:val="20"/>
                <w:highlight w:val="yellow"/>
                <w:rtl w:val="0"/>
              </w:rPr>
              <w:t xml:space="preserve"> that are significant nationally or globally</w:t>
            </w:r>
          </w:p>
        </w:tc>
        <w:tc>
          <w:tcPr>
            <w:shd w:fill="d9d9d9" w:val="clear"/>
          </w:tcPr>
          <w:p w:rsidR="00000000" w:rsidDel="00000000" w:rsidP="00000000" w:rsidRDefault="00000000" w:rsidRPr="00000000" w14:paraId="0000002A">
            <w:pPr>
              <w:pageBreakBefore w:val="0"/>
              <w:rPr/>
            </w:pPr>
            <w:r w:rsidDel="00000000" w:rsidR="00000000" w:rsidRPr="00000000">
              <w:rPr>
                <w:rtl w:val="0"/>
              </w:rPr>
              <w:t xml:space="preserve">Moon Landing </w:t>
            </w:r>
          </w:p>
          <w:p w:rsidR="00000000" w:rsidDel="00000000" w:rsidP="00000000" w:rsidRDefault="00000000" w:rsidRPr="00000000" w14:paraId="0000002B">
            <w:pPr>
              <w:pageBreakBefore w:val="0"/>
              <w:spacing w:line="259" w:lineRule="auto"/>
              <w:rPr/>
            </w:pPr>
            <w:r w:rsidDel="00000000" w:rsidR="00000000" w:rsidRPr="00000000">
              <w:rPr>
                <w:rFonts w:ascii="Arial" w:cs="Arial" w:eastAsia="Arial" w:hAnsi="Arial"/>
                <w:sz w:val="20"/>
                <w:szCs w:val="20"/>
                <w:rtl w:val="0"/>
              </w:rPr>
              <w:t xml:space="preserve">Events beyond living memory that are significant nationally or globally</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tc>
        <w:tc>
          <w:tcPr>
            <w:vMerge w:val="continue"/>
            <w:shd w:fill="d9d9d9" w:val="clear"/>
          </w:tcPr>
          <w:p w:rsidR="00000000" w:rsidDel="00000000" w:rsidP="00000000" w:rsidRDefault="00000000" w:rsidRPr="00000000" w14:paraId="0000002E">
            <w:pPr>
              <w:pageBreakBefore w:val="0"/>
              <w:spacing w:after="0" w:before="0" w:line="240" w:lineRule="auto"/>
              <w:ind w:left="0" w:firstLine="0"/>
              <w:rPr/>
            </w:pPr>
            <w:r w:rsidDel="00000000" w:rsidR="00000000" w:rsidRPr="00000000">
              <w:rPr>
                <w:rtl w:val="0"/>
              </w:rPr>
            </w:r>
          </w:p>
        </w:tc>
      </w:tr>
      <w:tr>
        <w:trPr>
          <w:cantSplit w:val="0"/>
          <w:trHeight w:val="1280" w:hRule="atLeast"/>
          <w:tblHeader w:val="0"/>
        </w:trPr>
        <w:tc>
          <w:tcPr>
            <w:shd w:fill="d9d9d9" w:val="clear"/>
          </w:tcPr>
          <w:p w:rsidR="00000000" w:rsidDel="00000000" w:rsidP="00000000" w:rsidRDefault="00000000" w:rsidRPr="00000000" w14:paraId="0000002F">
            <w:pPr>
              <w:pageBreakBefore w:val="0"/>
              <w:rPr/>
            </w:pPr>
            <w:r w:rsidDel="00000000" w:rsidR="00000000" w:rsidRPr="00000000">
              <w:rPr>
                <w:rtl w:val="0"/>
              </w:rPr>
              <w:t xml:space="preserve">Year 1 Summer</w:t>
            </w:r>
          </w:p>
        </w:tc>
        <w:tc>
          <w:tcPr>
            <w:shd w:fill="d9d9d9" w:val="clear"/>
          </w:tcPr>
          <w:p w:rsidR="00000000" w:rsidDel="00000000" w:rsidP="00000000" w:rsidRDefault="00000000" w:rsidRPr="00000000" w14:paraId="00000030">
            <w:pPr>
              <w:pageBreakBefore w:val="0"/>
              <w:rPr>
                <w:highlight w:val="yellow"/>
              </w:rPr>
            </w:pPr>
            <w:r w:rsidDel="00000000" w:rsidR="00000000" w:rsidRPr="00000000">
              <w:rPr>
                <w:highlight w:val="yellow"/>
                <w:rtl w:val="0"/>
              </w:rPr>
              <w:t xml:space="preserve">Elizabeth I and Queen Victoria </w:t>
            </w:r>
          </w:p>
          <w:p w:rsidR="00000000" w:rsidDel="00000000" w:rsidP="00000000" w:rsidRDefault="00000000" w:rsidRPr="00000000" w14:paraId="00000031">
            <w:pPr>
              <w:pageBreakBefore w:val="0"/>
              <w:rPr>
                <w:highlight w:val="yellow"/>
              </w:rPr>
            </w:pPr>
            <w:r w:rsidDel="00000000" w:rsidR="00000000" w:rsidRPr="00000000">
              <w:rPr>
                <w:rtl w:val="0"/>
              </w:rPr>
            </w:r>
          </w:p>
          <w:p w:rsidR="00000000" w:rsidDel="00000000" w:rsidP="00000000" w:rsidRDefault="00000000" w:rsidRPr="00000000" w14:paraId="00000032">
            <w:pPr>
              <w:pageBreakBefore w:val="0"/>
              <w:spacing w:line="259" w:lineRule="auto"/>
              <w:rPr>
                <w:highlight w:val="yellow"/>
              </w:rPr>
            </w:pPr>
            <w:r w:rsidDel="00000000" w:rsidR="00000000" w:rsidRPr="00000000">
              <w:rPr>
                <w:rFonts w:ascii="Arial" w:cs="Arial" w:eastAsia="Arial" w:hAnsi="Arial"/>
                <w:sz w:val="20"/>
                <w:szCs w:val="20"/>
                <w:highlight w:val="yellow"/>
                <w:rtl w:val="0"/>
              </w:rPr>
              <w:t xml:space="preserve">The lives of significant individuals in the past who have contributed to national and international achievements. Some should be used to compare aspects of life in different periods.</w:t>
            </w:r>
            <w:r w:rsidDel="00000000" w:rsidR="00000000" w:rsidRPr="00000000">
              <w:rPr>
                <w:rtl w:val="0"/>
              </w:rPr>
            </w:r>
          </w:p>
        </w:tc>
        <w:tc>
          <w:tcPr>
            <w:shd w:fill="d9d9d9" w:val="clear"/>
          </w:tcPr>
          <w:p w:rsidR="00000000" w:rsidDel="00000000" w:rsidP="00000000" w:rsidRDefault="00000000" w:rsidRPr="00000000" w14:paraId="00000033">
            <w:pPr>
              <w:pageBreakBefore w:val="0"/>
              <w:rPr/>
            </w:pPr>
            <w:r w:rsidDel="00000000" w:rsidR="00000000" w:rsidRPr="00000000">
              <w:rPr>
                <w:rtl w:val="0"/>
              </w:rPr>
              <w:t xml:space="preserve">Florence Nightingale</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spacing w:line="259" w:lineRule="auto"/>
              <w:rPr/>
            </w:pPr>
            <w:r w:rsidDel="00000000" w:rsidR="00000000" w:rsidRPr="00000000">
              <w:rPr>
                <w:rFonts w:ascii="Arial" w:cs="Arial" w:eastAsia="Arial" w:hAnsi="Arial"/>
                <w:sz w:val="20"/>
                <w:szCs w:val="20"/>
                <w:rtl w:val="0"/>
              </w:rPr>
              <w:t xml:space="preserve">The lives of significant individuals in the past who have contributed to national and international achievements. Some should be used to compare aspects of life in different periods.</w:t>
            </w:r>
            <w:r w:rsidDel="00000000" w:rsidR="00000000" w:rsidRPr="00000000">
              <w:rPr>
                <w:rtl w:val="0"/>
              </w:rPr>
            </w:r>
          </w:p>
        </w:tc>
        <w:tc>
          <w:tcPr>
            <w:vMerge w:val="continue"/>
            <w:shd w:fill="d9d9d9" w:val="clear"/>
          </w:tcPr>
          <w:p w:rsidR="00000000" w:rsidDel="00000000" w:rsidP="00000000" w:rsidRDefault="00000000" w:rsidRPr="00000000" w14:paraId="00000036">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037">
            <w:pPr>
              <w:pageBreakBefore w:val="0"/>
              <w:rPr/>
            </w:pPr>
            <w:bookmarkStart w:colFirst="0" w:colLast="0" w:name="_heading=h.z9onvlytadi0" w:id="0"/>
            <w:bookmarkEnd w:id="0"/>
            <w:r w:rsidDel="00000000" w:rsidR="00000000" w:rsidRPr="00000000">
              <w:rPr>
                <w:rtl w:val="0"/>
              </w:rPr>
              <w:t xml:space="preserve">Year 2  Autumn</w:t>
            </w:r>
          </w:p>
        </w:tc>
        <w:tc>
          <w:tcPr/>
          <w:p w:rsidR="00000000" w:rsidDel="00000000" w:rsidP="00000000" w:rsidRDefault="00000000" w:rsidRPr="00000000" w14:paraId="00000038">
            <w:pPr>
              <w:pageBreakBefore w:val="0"/>
              <w:rPr>
                <w:highlight w:val="yellow"/>
              </w:rPr>
            </w:pPr>
            <w:r w:rsidDel="00000000" w:rsidR="00000000" w:rsidRPr="00000000">
              <w:rPr>
                <w:highlight w:val="yellow"/>
                <w:rtl w:val="0"/>
              </w:rPr>
              <w:t xml:space="preserve">School </w:t>
            </w:r>
          </w:p>
          <w:p w:rsidR="00000000" w:rsidDel="00000000" w:rsidP="00000000" w:rsidRDefault="00000000" w:rsidRPr="00000000" w14:paraId="00000039">
            <w:pPr>
              <w:pageBreakBefore w:val="0"/>
              <w:rPr>
                <w:highlight w:val="yellow"/>
              </w:rPr>
            </w:pPr>
            <w:r w:rsidDel="00000000" w:rsidR="00000000" w:rsidRPr="00000000">
              <w:rPr>
                <w:highlight w:val="yellow"/>
                <w:rtl w:val="0"/>
              </w:rPr>
              <w:t xml:space="preserve"> </w:t>
            </w:r>
          </w:p>
          <w:p w:rsidR="00000000" w:rsidDel="00000000" w:rsidP="00000000" w:rsidRDefault="00000000" w:rsidRPr="00000000" w14:paraId="0000003A">
            <w:pPr>
              <w:pageBreakBefore w:val="0"/>
              <w:rPr/>
            </w:pPr>
            <w:r w:rsidDel="00000000" w:rsidR="00000000" w:rsidRPr="00000000">
              <w:rPr>
                <w:rtl w:val="0"/>
              </w:rPr>
            </w:r>
          </w:p>
        </w:tc>
        <w:tc>
          <w:tcPr/>
          <w:p w:rsidR="00000000" w:rsidDel="00000000" w:rsidP="00000000" w:rsidRDefault="00000000" w:rsidRPr="00000000" w14:paraId="0000003B">
            <w:pPr>
              <w:pageBreakBefore w:val="0"/>
              <w:rPr/>
            </w:pPr>
            <w:r w:rsidDel="00000000" w:rsidR="00000000" w:rsidRPr="00000000">
              <w:rPr>
                <w:rtl w:val="0"/>
              </w:rPr>
              <w:t xml:space="preserve">My Family History </w:t>
            </w:r>
          </w:p>
        </w:tc>
        <w:tc>
          <w:tcPr>
            <w:vMerge w:val="continue"/>
          </w:tcPr>
          <w:p w:rsidR="00000000" w:rsidDel="00000000" w:rsidP="00000000" w:rsidRDefault="00000000" w:rsidRPr="00000000" w14:paraId="0000003C">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03D">
            <w:pPr>
              <w:pageBreakBefore w:val="0"/>
              <w:rPr/>
            </w:pPr>
            <w:r w:rsidDel="00000000" w:rsidR="00000000" w:rsidRPr="00000000">
              <w:rPr>
                <w:rtl w:val="0"/>
              </w:rPr>
              <w:t xml:space="preserve">Year 2 Spring</w:t>
            </w:r>
          </w:p>
        </w:tc>
        <w:tc>
          <w:tcPr/>
          <w:p w:rsidR="00000000" w:rsidDel="00000000" w:rsidP="00000000" w:rsidRDefault="00000000" w:rsidRPr="00000000" w14:paraId="0000003E">
            <w:pPr>
              <w:pageBreakBefore w:val="0"/>
              <w:rPr>
                <w:highlight w:val="yellow"/>
              </w:rPr>
            </w:pPr>
            <w:r w:rsidDel="00000000" w:rsidR="00000000" w:rsidRPr="00000000">
              <w:rPr>
                <w:highlight w:val="yellow"/>
                <w:rtl w:val="0"/>
              </w:rPr>
              <w:t xml:space="preserve">The First Moon Landing </w:t>
            </w:r>
          </w:p>
        </w:tc>
        <w:tc>
          <w:tcPr/>
          <w:p w:rsidR="00000000" w:rsidDel="00000000" w:rsidP="00000000" w:rsidRDefault="00000000" w:rsidRPr="00000000" w14:paraId="0000003F">
            <w:pPr>
              <w:pageBreakBefore w:val="0"/>
              <w:rPr/>
            </w:pPr>
            <w:r w:rsidDel="00000000" w:rsidR="00000000" w:rsidRPr="00000000">
              <w:rPr>
                <w:rtl w:val="0"/>
              </w:rPr>
              <w:t xml:space="preserve">The Great Fire of London</w:t>
            </w:r>
          </w:p>
        </w:tc>
        <w:tc>
          <w:tcPr>
            <w:vMerge w:val="continue"/>
          </w:tcPr>
          <w:p w:rsidR="00000000" w:rsidDel="00000000" w:rsidP="00000000" w:rsidRDefault="00000000" w:rsidRPr="00000000" w14:paraId="00000040">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041">
            <w:pPr>
              <w:pageBreakBefore w:val="0"/>
              <w:rPr/>
            </w:pPr>
            <w:r w:rsidDel="00000000" w:rsidR="00000000" w:rsidRPr="00000000">
              <w:rPr>
                <w:rtl w:val="0"/>
              </w:rPr>
              <w:t xml:space="preserve">Year 2 Summer</w:t>
            </w:r>
          </w:p>
        </w:tc>
        <w:tc>
          <w:tcPr/>
          <w:p w:rsidR="00000000" w:rsidDel="00000000" w:rsidP="00000000" w:rsidRDefault="00000000" w:rsidRPr="00000000" w14:paraId="00000042">
            <w:pPr>
              <w:pageBreakBefore w:val="0"/>
              <w:rPr>
                <w:highlight w:val="yellow"/>
              </w:rPr>
            </w:pPr>
            <w:r w:rsidDel="00000000" w:rsidR="00000000" w:rsidRPr="00000000">
              <w:rPr>
                <w:highlight w:val="yellow"/>
                <w:rtl w:val="0"/>
              </w:rPr>
              <w:t xml:space="preserve">Florence Nightingale</w:t>
            </w:r>
          </w:p>
        </w:tc>
        <w:tc>
          <w:tcPr/>
          <w:p w:rsidR="00000000" w:rsidDel="00000000" w:rsidP="00000000" w:rsidRDefault="00000000" w:rsidRPr="00000000" w14:paraId="00000043">
            <w:pPr>
              <w:pageBreakBefore w:val="0"/>
              <w:rPr/>
            </w:pPr>
            <w:r w:rsidDel="00000000" w:rsidR="00000000" w:rsidRPr="00000000">
              <w:rPr>
                <w:rtl w:val="0"/>
              </w:rPr>
              <w:t xml:space="preserve">Elizabeth I and Queen Victoria </w:t>
            </w:r>
          </w:p>
        </w:tc>
        <w:tc>
          <w:tcPr>
            <w:vMerge w:val="continue"/>
          </w:tcPr>
          <w:p w:rsidR="00000000" w:rsidDel="00000000" w:rsidP="00000000" w:rsidRDefault="00000000" w:rsidRPr="00000000" w14:paraId="00000044">
            <w:pPr>
              <w:pageBreakBefore w:val="0"/>
              <w:spacing w:after="0" w:before="0" w:line="240" w:lineRule="auto"/>
              <w:ind w:left="0" w:firstLine="0"/>
              <w:rPr/>
            </w:pPr>
            <w:r w:rsidDel="00000000" w:rsidR="00000000" w:rsidRPr="00000000">
              <w:rPr>
                <w:rtl w:val="0"/>
              </w:rPr>
            </w:r>
          </w:p>
        </w:tc>
      </w:tr>
      <w:tr>
        <w:trPr>
          <w:cantSplit w:val="0"/>
          <w:trHeight w:val="1280" w:hRule="atLeast"/>
          <w:tblHeader w:val="0"/>
        </w:trPr>
        <w:tc>
          <w:tcPr>
            <w:shd w:fill="d9d9d9" w:val="clear"/>
          </w:tcPr>
          <w:p w:rsidR="00000000" w:rsidDel="00000000" w:rsidP="00000000" w:rsidRDefault="00000000" w:rsidRPr="00000000" w14:paraId="00000045">
            <w:pPr>
              <w:pageBreakBefore w:val="0"/>
              <w:rPr/>
            </w:pPr>
            <w:r w:rsidDel="00000000" w:rsidR="00000000" w:rsidRPr="00000000">
              <w:rPr>
                <w:rtl w:val="0"/>
              </w:rPr>
              <w:t xml:space="preserve">Year 3 Autumn</w:t>
            </w:r>
          </w:p>
        </w:tc>
        <w:tc>
          <w:tcPr>
            <w:shd w:fill="d9d9d9" w:val="clear"/>
          </w:tcPr>
          <w:p w:rsidR="00000000" w:rsidDel="00000000" w:rsidP="00000000" w:rsidRDefault="00000000" w:rsidRPr="00000000" w14:paraId="00000046">
            <w:pPr>
              <w:pageBreakBefore w:val="0"/>
              <w:rPr>
                <w:b w:val="1"/>
                <w:highlight w:val="yellow"/>
              </w:rPr>
            </w:pPr>
            <w:r w:rsidDel="00000000" w:rsidR="00000000" w:rsidRPr="00000000">
              <w:rPr>
                <w:b w:val="1"/>
                <w:highlight w:val="yellow"/>
                <w:rtl w:val="0"/>
              </w:rPr>
              <w:t xml:space="preserve">World War 1</w:t>
            </w:r>
          </w:p>
          <w:p w:rsidR="00000000" w:rsidDel="00000000" w:rsidP="00000000" w:rsidRDefault="00000000" w:rsidRPr="00000000" w14:paraId="00000047">
            <w:pPr>
              <w:pageBreakBefore w:val="0"/>
              <w:rPr>
                <w:highlight w:val="yellow"/>
              </w:rPr>
            </w:pPr>
            <w:r w:rsidDel="00000000" w:rsidR="00000000" w:rsidRPr="00000000">
              <w:rPr>
                <w:rtl w:val="0"/>
              </w:rPr>
            </w:r>
          </w:p>
          <w:p w:rsidR="00000000" w:rsidDel="00000000" w:rsidP="00000000" w:rsidRDefault="00000000" w:rsidRPr="00000000" w14:paraId="00000048">
            <w:pPr>
              <w:pageBreakBefore w:val="0"/>
              <w:spacing w:line="259" w:lineRule="auto"/>
              <w:rPr>
                <w:highlight w:val="yellow"/>
              </w:rPr>
            </w:pPr>
            <w:r w:rsidDel="00000000" w:rsidR="00000000" w:rsidRPr="00000000">
              <w:rPr>
                <w:rFonts w:ascii="Arial" w:cs="Arial" w:eastAsia="Arial" w:hAnsi="Arial"/>
                <w:sz w:val="20"/>
                <w:szCs w:val="20"/>
                <w:highlight w:val="yellow"/>
                <w:rtl w:val="0"/>
              </w:rPr>
              <w:t xml:space="preserve">a study of an aspect or theme in British history that extends pupils’ chronological knowledge beyond 1066</w:t>
            </w:r>
            <w:r w:rsidDel="00000000" w:rsidR="00000000" w:rsidRPr="00000000">
              <w:rPr>
                <w:rtl w:val="0"/>
              </w:rPr>
            </w:r>
          </w:p>
        </w:tc>
        <w:tc>
          <w:tcPr>
            <w:shd w:fill="d9d9d9" w:val="clear"/>
          </w:tcPr>
          <w:p w:rsidR="00000000" w:rsidDel="00000000" w:rsidP="00000000" w:rsidRDefault="00000000" w:rsidRPr="00000000" w14:paraId="00000049">
            <w:pPr>
              <w:pageBreakBefore w:val="0"/>
              <w:rPr/>
            </w:pPr>
            <w:r w:rsidDel="00000000" w:rsidR="00000000" w:rsidRPr="00000000">
              <w:rPr>
                <w:rtl w:val="0"/>
              </w:rPr>
              <w:t xml:space="preserve">A History of Kings Bromley</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spacing w:line="259" w:lineRule="auto"/>
              <w:rPr/>
            </w:pPr>
            <w:r w:rsidDel="00000000" w:rsidR="00000000" w:rsidRPr="00000000">
              <w:rPr>
                <w:rFonts w:ascii="Arial" w:cs="Arial" w:eastAsia="Arial" w:hAnsi="Arial"/>
                <w:sz w:val="20"/>
                <w:szCs w:val="20"/>
                <w:rtl w:val="0"/>
              </w:rPr>
              <w:t xml:space="preserve">a local history study</w:t>
            </w:r>
            <w:r w:rsidDel="00000000" w:rsidR="00000000" w:rsidRPr="00000000">
              <w:rPr>
                <w:rtl w:val="0"/>
              </w:rPr>
            </w:r>
          </w:p>
        </w:tc>
        <w:tc>
          <w:tcPr>
            <w:vMerge w:val="continue"/>
            <w:shd w:fill="d9d9d9" w:val="clear"/>
          </w:tcPr>
          <w:p w:rsidR="00000000" w:rsidDel="00000000" w:rsidP="00000000" w:rsidRDefault="00000000" w:rsidRPr="00000000" w14:paraId="0000004C">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shd w:fill="d9d9d9" w:val="clear"/>
          </w:tcPr>
          <w:p w:rsidR="00000000" w:rsidDel="00000000" w:rsidP="00000000" w:rsidRDefault="00000000" w:rsidRPr="00000000" w14:paraId="0000004D">
            <w:pPr>
              <w:pageBreakBefore w:val="0"/>
              <w:rPr/>
            </w:pPr>
            <w:r w:rsidDel="00000000" w:rsidR="00000000" w:rsidRPr="00000000">
              <w:rPr>
                <w:rtl w:val="0"/>
              </w:rPr>
              <w:t xml:space="preserve">Year 3 Spring</w:t>
            </w:r>
          </w:p>
        </w:tc>
        <w:tc>
          <w:tcPr>
            <w:shd w:fill="d9d9d9" w:val="clear"/>
          </w:tcPr>
          <w:p w:rsidR="00000000" w:rsidDel="00000000" w:rsidP="00000000" w:rsidRDefault="00000000" w:rsidRPr="00000000" w14:paraId="0000004E">
            <w:pPr>
              <w:pageBreakBefore w:val="0"/>
              <w:rPr>
                <w:highlight w:val="yellow"/>
              </w:rPr>
            </w:pPr>
            <w:r w:rsidDel="00000000" w:rsidR="00000000" w:rsidRPr="00000000">
              <w:rPr>
                <w:b w:val="1"/>
                <w:highlight w:val="yellow"/>
                <w:rtl w:val="0"/>
              </w:rPr>
              <w:t xml:space="preserve">Anglo Saxons</w:t>
            </w:r>
            <w:r w:rsidDel="00000000" w:rsidR="00000000" w:rsidRPr="00000000">
              <w:rPr>
                <w:highlight w:val="yellow"/>
                <w:rtl w:val="0"/>
              </w:rPr>
              <w:t xml:space="preserve"> and Scots</w:t>
            </w:r>
          </w:p>
          <w:p w:rsidR="00000000" w:rsidDel="00000000" w:rsidP="00000000" w:rsidRDefault="00000000" w:rsidRPr="00000000" w14:paraId="0000004F">
            <w:pPr>
              <w:pageBreakBefore w:val="0"/>
              <w:rPr>
                <w:highlight w:val="yellow"/>
              </w:rPr>
            </w:pPr>
            <w:r w:rsidDel="00000000" w:rsidR="00000000" w:rsidRPr="00000000">
              <w:rPr>
                <w:rtl w:val="0"/>
              </w:rPr>
            </w:r>
          </w:p>
          <w:p w:rsidR="00000000" w:rsidDel="00000000" w:rsidP="00000000" w:rsidRDefault="00000000" w:rsidRPr="00000000" w14:paraId="00000050">
            <w:pPr>
              <w:pageBreakBefore w:val="0"/>
              <w:spacing w:line="259" w:lineRule="auto"/>
              <w:rPr>
                <w:highlight w:val="yellow"/>
              </w:rPr>
            </w:pPr>
            <w:r w:rsidDel="00000000" w:rsidR="00000000" w:rsidRPr="00000000">
              <w:rPr>
                <w:rFonts w:ascii="Arial" w:cs="Arial" w:eastAsia="Arial" w:hAnsi="Arial"/>
                <w:sz w:val="20"/>
                <w:szCs w:val="20"/>
                <w:highlight w:val="yellow"/>
                <w:rtl w:val="0"/>
              </w:rPr>
              <w:t xml:space="preserve">Britain’s settlement by Anglo-Saxons and Scots</w:t>
            </w:r>
            <w:r w:rsidDel="00000000" w:rsidR="00000000" w:rsidRPr="00000000">
              <w:rPr>
                <w:rtl w:val="0"/>
              </w:rPr>
            </w:r>
          </w:p>
        </w:tc>
        <w:tc>
          <w:tcPr>
            <w:shd w:fill="d9d9d9" w:val="clear"/>
          </w:tcPr>
          <w:p w:rsidR="00000000" w:rsidDel="00000000" w:rsidP="00000000" w:rsidRDefault="00000000" w:rsidRPr="00000000" w14:paraId="00000051">
            <w:pPr>
              <w:pageBreakBefore w:val="0"/>
              <w:rPr/>
            </w:pPr>
            <w:r w:rsidDel="00000000" w:rsidR="00000000" w:rsidRPr="00000000">
              <w:rPr>
                <w:rtl w:val="0"/>
              </w:rPr>
              <w:t xml:space="preserve">Ancient Egypt </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spacing w:line="259" w:lineRule="auto"/>
              <w:rPr/>
            </w:pPr>
            <w:r w:rsidDel="00000000" w:rsidR="00000000" w:rsidRPr="00000000">
              <w:rPr>
                <w:rFonts w:ascii="Arial" w:cs="Arial" w:eastAsia="Arial" w:hAnsi="Arial"/>
                <w:sz w:val="20"/>
                <w:szCs w:val="20"/>
                <w:rtl w:val="0"/>
              </w:rPr>
              <w:t xml:space="preserve">the achievements of the earliest civilizations – an overview of where and when the first civilizations appeared and a depth study of one of the following</w:t>
            </w:r>
            <w:r w:rsidDel="00000000" w:rsidR="00000000" w:rsidRPr="00000000">
              <w:rPr>
                <w:rtl w:val="0"/>
              </w:rPr>
            </w:r>
          </w:p>
        </w:tc>
        <w:tc>
          <w:tcPr>
            <w:vMerge w:val="continue"/>
            <w:shd w:fill="d9d9d9" w:val="clear"/>
          </w:tcPr>
          <w:p w:rsidR="00000000" w:rsidDel="00000000" w:rsidP="00000000" w:rsidRDefault="00000000" w:rsidRPr="00000000" w14:paraId="00000054">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shd w:fill="d9d9d9" w:val="clear"/>
          </w:tcPr>
          <w:p w:rsidR="00000000" w:rsidDel="00000000" w:rsidP="00000000" w:rsidRDefault="00000000" w:rsidRPr="00000000" w14:paraId="00000055">
            <w:pPr>
              <w:pageBreakBefore w:val="0"/>
              <w:rPr/>
            </w:pPr>
            <w:r w:rsidDel="00000000" w:rsidR="00000000" w:rsidRPr="00000000">
              <w:rPr>
                <w:rtl w:val="0"/>
              </w:rPr>
              <w:t xml:space="preserve">Year 3 Summer</w:t>
            </w:r>
          </w:p>
        </w:tc>
        <w:tc>
          <w:tcPr>
            <w:shd w:fill="d9d9d9" w:val="clear"/>
          </w:tcPr>
          <w:p w:rsidR="00000000" w:rsidDel="00000000" w:rsidP="00000000" w:rsidRDefault="00000000" w:rsidRPr="00000000" w14:paraId="00000056">
            <w:pPr>
              <w:pageBreakBefore w:val="0"/>
              <w:rPr>
                <w:highlight w:val="yellow"/>
              </w:rPr>
            </w:pPr>
            <w:r w:rsidDel="00000000" w:rsidR="00000000" w:rsidRPr="00000000">
              <w:rPr>
                <w:highlight w:val="yellow"/>
                <w:rtl w:val="0"/>
              </w:rPr>
              <w:t xml:space="preserve">Ages of Man </w:t>
            </w:r>
          </w:p>
          <w:p w:rsidR="00000000" w:rsidDel="00000000" w:rsidP="00000000" w:rsidRDefault="00000000" w:rsidRPr="00000000" w14:paraId="00000057">
            <w:pPr>
              <w:pageBreakBefore w:val="0"/>
              <w:rPr>
                <w:highlight w:val="yellow"/>
              </w:rPr>
            </w:pPr>
            <w:r w:rsidDel="00000000" w:rsidR="00000000" w:rsidRPr="00000000">
              <w:rPr>
                <w:rtl w:val="0"/>
              </w:rPr>
            </w:r>
          </w:p>
          <w:p w:rsidR="00000000" w:rsidDel="00000000" w:rsidP="00000000" w:rsidRDefault="00000000" w:rsidRPr="00000000" w14:paraId="00000058">
            <w:pPr>
              <w:pageBreakBefore w:val="0"/>
              <w:spacing w:line="259" w:lineRule="auto"/>
              <w:rPr>
                <w:highlight w:val="yellow"/>
              </w:rPr>
            </w:pPr>
            <w:r w:rsidDel="00000000" w:rsidR="00000000" w:rsidRPr="00000000">
              <w:rPr>
                <w:rFonts w:ascii="Arial" w:cs="Arial" w:eastAsia="Arial" w:hAnsi="Arial"/>
                <w:sz w:val="20"/>
                <w:szCs w:val="20"/>
                <w:highlight w:val="yellow"/>
                <w:rtl w:val="0"/>
              </w:rPr>
              <w:t xml:space="preserve">changes in Britain from the </w:t>
            </w:r>
            <w:r w:rsidDel="00000000" w:rsidR="00000000" w:rsidRPr="00000000">
              <w:rPr>
                <w:rFonts w:ascii="Arial" w:cs="Arial" w:eastAsia="Arial" w:hAnsi="Arial"/>
                <w:b w:val="1"/>
                <w:sz w:val="20"/>
                <w:szCs w:val="20"/>
                <w:highlight w:val="yellow"/>
                <w:rtl w:val="0"/>
              </w:rPr>
              <w:t xml:space="preserve">Stone Age</w:t>
            </w:r>
            <w:r w:rsidDel="00000000" w:rsidR="00000000" w:rsidRPr="00000000">
              <w:rPr>
                <w:rFonts w:ascii="Arial" w:cs="Arial" w:eastAsia="Arial" w:hAnsi="Arial"/>
                <w:sz w:val="20"/>
                <w:szCs w:val="20"/>
                <w:highlight w:val="yellow"/>
                <w:rtl w:val="0"/>
              </w:rPr>
              <w:t xml:space="preserve"> to the Iron Age</w:t>
            </w:r>
            <w:r w:rsidDel="00000000" w:rsidR="00000000" w:rsidRPr="00000000">
              <w:rPr>
                <w:rtl w:val="0"/>
              </w:rPr>
            </w:r>
          </w:p>
        </w:tc>
        <w:tc>
          <w:tcPr>
            <w:shd w:fill="d9d9d9" w:val="clear"/>
          </w:tcPr>
          <w:p w:rsidR="00000000" w:rsidDel="00000000" w:rsidP="00000000" w:rsidRDefault="00000000" w:rsidRPr="00000000" w14:paraId="00000059">
            <w:pPr>
              <w:pageBreakBefore w:val="0"/>
              <w:rPr/>
            </w:pPr>
            <w:r w:rsidDel="00000000" w:rsidR="00000000" w:rsidRPr="00000000">
              <w:rPr>
                <w:rtl w:val="0"/>
              </w:rPr>
              <w:t xml:space="preserve">The Romans </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spacing w:line="259" w:lineRule="auto"/>
              <w:rPr/>
            </w:pPr>
            <w:r w:rsidDel="00000000" w:rsidR="00000000" w:rsidRPr="00000000">
              <w:rPr>
                <w:rFonts w:ascii="Arial" w:cs="Arial" w:eastAsia="Arial" w:hAnsi="Arial"/>
                <w:sz w:val="20"/>
                <w:szCs w:val="20"/>
                <w:rtl w:val="0"/>
              </w:rPr>
              <w:t xml:space="preserve">the Roman Empire and its impact on Britain</w:t>
            </w:r>
            <w:r w:rsidDel="00000000" w:rsidR="00000000" w:rsidRPr="00000000">
              <w:rPr>
                <w:rtl w:val="0"/>
              </w:rPr>
            </w:r>
          </w:p>
        </w:tc>
        <w:tc>
          <w:tcPr>
            <w:vMerge w:val="continue"/>
            <w:shd w:fill="d9d9d9" w:val="clear"/>
          </w:tcPr>
          <w:p w:rsidR="00000000" w:rsidDel="00000000" w:rsidP="00000000" w:rsidRDefault="00000000" w:rsidRPr="00000000" w14:paraId="0000005C">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05D">
            <w:pPr>
              <w:pageBreakBefore w:val="0"/>
              <w:rPr/>
            </w:pPr>
            <w:r w:rsidDel="00000000" w:rsidR="00000000" w:rsidRPr="00000000">
              <w:rPr>
                <w:rtl w:val="0"/>
              </w:rPr>
              <w:t xml:space="preserve">Year 4  Autumn</w:t>
            </w:r>
          </w:p>
        </w:tc>
        <w:tc>
          <w:tcPr/>
          <w:p w:rsidR="00000000" w:rsidDel="00000000" w:rsidP="00000000" w:rsidRDefault="00000000" w:rsidRPr="00000000" w14:paraId="0000005E">
            <w:pPr>
              <w:pageBreakBefore w:val="0"/>
              <w:rPr/>
            </w:pPr>
            <w:r w:rsidDel="00000000" w:rsidR="00000000" w:rsidRPr="00000000">
              <w:rPr>
                <w:rtl w:val="0"/>
              </w:rPr>
              <w:t xml:space="preserve">A History of Kings Bromley</w:t>
            </w:r>
          </w:p>
        </w:tc>
        <w:tc>
          <w:tcPr/>
          <w:p w:rsidR="00000000" w:rsidDel="00000000" w:rsidP="00000000" w:rsidRDefault="00000000" w:rsidRPr="00000000" w14:paraId="0000005F">
            <w:pPr>
              <w:pageBreakBefore w:val="0"/>
              <w:rPr/>
            </w:pPr>
            <w:r w:rsidDel="00000000" w:rsidR="00000000" w:rsidRPr="00000000">
              <w:rPr>
                <w:rtl w:val="0"/>
              </w:rPr>
              <w:t xml:space="preserve">World War 1</w:t>
            </w:r>
          </w:p>
        </w:tc>
        <w:tc>
          <w:tcPr>
            <w:vMerge w:val="continue"/>
          </w:tcPr>
          <w:p w:rsidR="00000000" w:rsidDel="00000000" w:rsidP="00000000" w:rsidRDefault="00000000" w:rsidRPr="00000000" w14:paraId="00000060">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061">
            <w:pPr>
              <w:pageBreakBefore w:val="0"/>
              <w:rPr/>
            </w:pPr>
            <w:r w:rsidDel="00000000" w:rsidR="00000000" w:rsidRPr="00000000">
              <w:rPr>
                <w:rtl w:val="0"/>
              </w:rPr>
              <w:t xml:space="preserve">Year 4 Spring</w:t>
            </w:r>
          </w:p>
        </w:tc>
        <w:tc>
          <w:tcPr/>
          <w:p w:rsidR="00000000" w:rsidDel="00000000" w:rsidP="00000000" w:rsidRDefault="00000000" w:rsidRPr="00000000" w14:paraId="00000062">
            <w:pPr>
              <w:pageBreakBefore w:val="0"/>
              <w:rPr>
                <w:b w:val="1"/>
                <w:highlight w:val="yellow"/>
              </w:rPr>
            </w:pPr>
            <w:r w:rsidDel="00000000" w:rsidR="00000000" w:rsidRPr="00000000">
              <w:rPr>
                <w:b w:val="1"/>
                <w:highlight w:val="yellow"/>
                <w:rtl w:val="0"/>
              </w:rPr>
              <w:t xml:space="preserve">Ancient Egypt </w:t>
            </w:r>
          </w:p>
        </w:tc>
        <w:tc>
          <w:tcPr/>
          <w:p w:rsidR="00000000" w:rsidDel="00000000" w:rsidP="00000000" w:rsidRDefault="00000000" w:rsidRPr="00000000" w14:paraId="00000063">
            <w:pPr>
              <w:pageBreakBefore w:val="0"/>
              <w:rPr/>
            </w:pPr>
            <w:r w:rsidDel="00000000" w:rsidR="00000000" w:rsidRPr="00000000">
              <w:rPr>
                <w:rtl w:val="0"/>
              </w:rPr>
              <w:t xml:space="preserve">Anglo Saxons and Scots</w:t>
            </w:r>
          </w:p>
        </w:tc>
        <w:tc>
          <w:tcPr>
            <w:vMerge w:val="continue"/>
          </w:tcPr>
          <w:p w:rsidR="00000000" w:rsidDel="00000000" w:rsidP="00000000" w:rsidRDefault="00000000" w:rsidRPr="00000000" w14:paraId="00000064">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065">
            <w:pPr>
              <w:pageBreakBefore w:val="0"/>
              <w:rPr/>
            </w:pPr>
            <w:r w:rsidDel="00000000" w:rsidR="00000000" w:rsidRPr="00000000">
              <w:rPr>
                <w:rtl w:val="0"/>
              </w:rPr>
              <w:t xml:space="preserve">Year 4 Summer</w:t>
            </w:r>
          </w:p>
        </w:tc>
        <w:tc>
          <w:tcPr/>
          <w:p w:rsidR="00000000" w:rsidDel="00000000" w:rsidP="00000000" w:rsidRDefault="00000000" w:rsidRPr="00000000" w14:paraId="00000066">
            <w:pPr>
              <w:pageBreakBefore w:val="0"/>
              <w:rPr>
                <w:b w:val="1"/>
                <w:highlight w:val="yellow"/>
              </w:rPr>
            </w:pPr>
            <w:r w:rsidDel="00000000" w:rsidR="00000000" w:rsidRPr="00000000">
              <w:rPr>
                <w:b w:val="1"/>
                <w:highlight w:val="yellow"/>
                <w:rtl w:val="0"/>
              </w:rPr>
              <w:t xml:space="preserve">The Romans </w:t>
            </w:r>
          </w:p>
        </w:tc>
        <w:tc>
          <w:tcPr/>
          <w:p w:rsidR="00000000" w:rsidDel="00000000" w:rsidP="00000000" w:rsidRDefault="00000000" w:rsidRPr="00000000" w14:paraId="00000067">
            <w:pPr>
              <w:pageBreakBefore w:val="0"/>
              <w:rPr/>
            </w:pPr>
            <w:r w:rsidDel="00000000" w:rsidR="00000000" w:rsidRPr="00000000">
              <w:rPr>
                <w:rtl w:val="0"/>
              </w:rPr>
              <w:t xml:space="preserve">Ages of Man </w:t>
            </w:r>
          </w:p>
        </w:tc>
        <w:tc>
          <w:tcPr>
            <w:vMerge w:val="continue"/>
          </w:tcPr>
          <w:p w:rsidR="00000000" w:rsidDel="00000000" w:rsidP="00000000" w:rsidRDefault="00000000" w:rsidRPr="00000000" w14:paraId="00000068">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shd w:fill="d9d9d9" w:val="clear"/>
          </w:tcPr>
          <w:p w:rsidR="00000000" w:rsidDel="00000000" w:rsidP="00000000" w:rsidRDefault="00000000" w:rsidRPr="00000000" w14:paraId="00000069">
            <w:pPr>
              <w:pageBreakBefore w:val="0"/>
              <w:rPr/>
            </w:pPr>
            <w:r w:rsidDel="00000000" w:rsidR="00000000" w:rsidRPr="00000000">
              <w:rPr>
                <w:rtl w:val="0"/>
              </w:rPr>
              <w:t xml:space="preserve">Year 5  Autumn</w:t>
            </w:r>
          </w:p>
        </w:tc>
        <w:tc>
          <w:tcPr>
            <w:shd w:fill="d9d9d9" w:val="clear"/>
          </w:tcPr>
          <w:p w:rsidR="00000000" w:rsidDel="00000000" w:rsidP="00000000" w:rsidRDefault="00000000" w:rsidRPr="00000000" w14:paraId="0000006A">
            <w:pPr>
              <w:pageBreakBefore w:val="0"/>
              <w:rPr>
                <w:b w:val="1"/>
                <w:highlight w:val="yellow"/>
              </w:rPr>
            </w:pPr>
            <w:r w:rsidDel="00000000" w:rsidR="00000000" w:rsidRPr="00000000">
              <w:rPr>
                <w:b w:val="1"/>
                <w:highlight w:val="yellow"/>
                <w:rtl w:val="0"/>
              </w:rPr>
              <w:t xml:space="preserve">World War 2</w:t>
            </w:r>
          </w:p>
          <w:p w:rsidR="00000000" w:rsidDel="00000000" w:rsidP="00000000" w:rsidRDefault="00000000" w:rsidRPr="00000000" w14:paraId="0000006B">
            <w:pPr>
              <w:pageBreakBefore w:val="0"/>
              <w:spacing w:line="259" w:lineRule="auto"/>
              <w:rPr/>
            </w:pPr>
            <w:r w:rsidDel="00000000" w:rsidR="00000000" w:rsidRPr="00000000">
              <w:rPr>
                <w:rFonts w:ascii="Arial" w:cs="Arial" w:eastAsia="Arial" w:hAnsi="Arial"/>
                <w:sz w:val="20"/>
                <w:szCs w:val="20"/>
                <w:rtl w:val="0"/>
              </w:rPr>
              <w:t xml:space="preserve">a study of an aspect or theme in British history that extends pupils’ chronological knowledge beyond 1066</w:t>
            </w:r>
            <w:r w:rsidDel="00000000" w:rsidR="00000000" w:rsidRPr="00000000">
              <w:rPr>
                <w:rtl w:val="0"/>
              </w:rPr>
            </w:r>
          </w:p>
        </w:tc>
        <w:tc>
          <w:tcPr>
            <w:shd w:fill="d9d9d9" w:val="clear"/>
          </w:tcPr>
          <w:p w:rsidR="00000000" w:rsidDel="00000000" w:rsidP="00000000" w:rsidRDefault="00000000" w:rsidRPr="00000000" w14:paraId="0000006C">
            <w:pPr>
              <w:pageBreakBefore w:val="0"/>
              <w:rPr/>
            </w:pPr>
            <w:r w:rsidDel="00000000" w:rsidR="00000000" w:rsidRPr="00000000">
              <w:rPr>
                <w:rtl w:val="0"/>
              </w:rPr>
              <w:t xml:space="preserve">Burton Brewery</w:t>
            </w:r>
          </w:p>
          <w:p w:rsidR="00000000" w:rsidDel="00000000" w:rsidP="00000000" w:rsidRDefault="00000000" w:rsidRPr="00000000" w14:paraId="0000006D">
            <w:pPr>
              <w:pageBreakBefore w:val="0"/>
              <w:spacing w:line="259" w:lineRule="auto"/>
              <w:rPr/>
            </w:pPr>
            <w:r w:rsidDel="00000000" w:rsidR="00000000" w:rsidRPr="00000000">
              <w:rPr>
                <w:rFonts w:ascii="Arial" w:cs="Arial" w:eastAsia="Arial" w:hAnsi="Arial"/>
                <w:sz w:val="20"/>
                <w:szCs w:val="20"/>
                <w:rtl w:val="0"/>
              </w:rPr>
              <w:t xml:space="preserve">a local history study</w:t>
            </w:r>
            <w:r w:rsidDel="00000000" w:rsidR="00000000" w:rsidRPr="00000000">
              <w:rPr>
                <w:rtl w:val="0"/>
              </w:rPr>
            </w:r>
          </w:p>
        </w:tc>
        <w:tc>
          <w:tcPr>
            <w:vMerge w:val="continue"/>
            <w:shd w:fill="d9d9d9" w:val="clear"/>
          </w:tcPr>
          <w:p w:rsidR="00000000" w:rsidDel="00000000" w:rsidP="00000000" w:rsidRDefault="00000000" w:rsidRPr="00000000" w14:paraId="0000006E">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shd w:fill="d9d9d9" w:val="clear"/>
          </w:tcPr>
          <w:p w:rsidR="00000000" w:rsidDel="00000000" w:rsidP="00000000" w:rsidRDefault="00000000" w:rsidRPr="00000000" w14:paraId="0000006F">
            <w:pPr>
              <w:pageBreakBefore w:val="0"/>
              <w:rPr/>
            </w:pPr>
            <w:r w:rsidDel="00000000" w:rsidR="00000000" w:rsidRPr="00000000">
              <w:rPr>
                <w:rtl w:val="0"/>
              </w:rPr>
              <w:t xml:space="preserve">Year 5 Spring</w:t>
            </w:r>
          </w:p>
        </w:tc>
        <w:tc>
          <w:tcPr>
            <w:shd w:fill="d9d9d9" w:val="clear"/>
          </w:tcPr>
          <w:p w:rsidR="00000000" w:rsidDel="00000000" w:rsidP="00000000" w:rsidRDefault="00000000" w:rsidRPr="00000000" w14:paraId="00000070">
            <w:pPr>
              <w:pageBreakBefore w:val="0"/>
              <w:rPr>
                <w:b w:val="1"/>
                <w:highlight w:val="yellow"/>
              </w:rPr>
            </w:pPr>
            <w:r w:rsidDel="00000000" w:rsidR="00000000" w:rsidRPr="00000000">
              <w:rPr>
                <w:b w:val="1"/>
                <w:highlight w:val="yellow"/>
                <w:rtl w:val="0"/>
              </w:rPr>
              <w:t xml:space="preserve">Vikings and Saxons</w:t>
            </w:r>
          </w:p>
          <w:p w:rsidR="00000000" w:rsidDel="00000000" w:rsidP="00000000" w:rsidRDefault="00000000" w:rsidRPr="00000000" w14:paraId="00000071">
            <w:pPr>
              <w:pageBreakBefore w:val="0"/>
              <w:spacing w:line="259" w:lineRule="auto"/>
              <w:rPr/>
            </w:pPr>
            <w:r w:rsidDel="00000000" w:rsidR="00000000" w:rsidRPr="00000000">
              <w:rPr>
                <w:rFonts w:ascii="Arial" w:cs="Arial" w:eastAsia="Arial" w:hAnsi="Arial"/>
                <w:sz w:val="20"/>
                <w:szCs w:val="20"/>
                <w:rtl w:val="0"/>
              </w:rPr>
              <w:t xml:space="preserve">the Viking and Anglo-Saxon struggle for the Kingdom of England to the time of Edward the Confessor</w:t>
            </w:r>
            <w:r w:rsidDel="00000000" w:rsidR="00000000" w:rsidRPr="00000000">
              <w:rPr>
                <w:rtl w:val="0"/>
              </w:rPr>
            </w:r>
          </w:p>
        </w:tc>
        <w:tc>
          <w:tcPr>
            <w:shd w:fill="d9d9d9" w:val="clear"/>
            <w:vAlign w:val="top"/>
          </w:tcPr>
          <w:p w:rsidR="00000000" w:rsidDel="00000000" w:rsidP="00000000" w:rsidRDefault="00000000" w:rsidRPr="00000000" w14:paraId="00000072">
            <w:pPr>
              <w:pageBreakBefore w:val="0"/>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Ancient Greece – a study of Greek life and achievements and their influence on the western world</w:t>
            </w:r>
          </w:p>
        </w:tc>
        <w:tc>
          <w:tcPr>
            <w:vMerge w:val="continue"/>
            <w:shd w:fill="d9d9d9" w:val="clear"/>
            <w:vAlign w:val="top"/>
          </w:tcPr>
          <w:p w:rsidR="00000000" w:rsidDel="00000000" w:rsidP="00000000" w:rsidRDefault="00000000" w:rsidRPr="00000000" w14:paraId="00000073">
            <w:pPr>
              <w:pageBreakBefore w:val="0"/>
              <w:spacing w:after="0" w:before="0" w:line="240" w:lineRule="auto"/>
              <w:ind w:left="0" w:firstLine="0"/>
              <w:rPr>
                <w:rFonts w:ascii="Arial" w:cs="Arial" w:eastAsia="Arial" w:hAnsi="Arial"/>
                <w:sz w:val="20"/>
                <w:szCs w:val="20"/>
              </w:rPr>
            </w:pPr>
            <w:r w:rsidDel="00000000" w:rsidR="00000000" w:rsidRPr="00000000">
              <w:rPr>
                <w:rtl w:val="0"/>
              </w:rPr>
            </w:r>
          </w:p>
        </w:tc>
      </w:tr>
      <w:tr>
        <w:trPr>
          <w:cantSplit w:val="0"/>
          <w:trHeight w:val="1180" w:hRule="atLeast"/>
          <w:tblHeader w:val="0"/>
        </w:trPr>
        <w:tc>
          <w:tcPr>
            <w:shd w:fill="d9d9d9" w:val="clear"/>
          </w:tcPr>
          <w:p w:rsidR="00000000" w:rsidDel="00000000" w:rsidP="00000000" w:rsidRDefault="00000000" w:rsidRPr="00000000" w14:paraId="00000074">
            <w:pPr>
              <w:pageBreakBefore w:val="0"/>
              <w:rPr/>
            </w:pPr>
            <w:r w:rsidDel="00000000" w:rsidR="00000000" w:rsidRPr="00000000">
              <w:rPr>
                <w:rtl w:val="0"/>
              </w:rPr>
              <w:t xml:space="preserve">Year 5  Summer</w:t>
            </w:r>
          </w:p>
        </w:tc>
        <w:tc>
          <w:tcPr>
            <w:shd w:fill="d9d9d9" w:val="clear"/>
          </w:tcPr>
          <w:p w:rsidR="00000000" w:rsidDel="00000000" w:rsidP="00000000" w:rsidRDefault="00000000" w:rsidRPr="00000000" w14:paraId="00000075">
            <w:pPr>
              <w:pageBreakBefore w:val="0"/>
              <w:rPr/>
            </w:pPr>
            <w:r w:rsidDel="00000000" w:rsidR="00000000" w:rsidRPr="00000000">
              <w:rPr>
                <w:rtl w:val="0"/>
              </w:rPr>
              <w:t xml:space="preserve">Crime and Punishment </w:t>
            </w:r>
          </w:p>
          <w:p w:rsidR="00000000" w:rsidDel="00000000" w:rsidP="00000000" w:rsidRDefault="00000000" w:rsidRPr="00000000" w14:paraId="00000076">
            <w:pPr>
              <w:pageBreakBefore w:val="0"/>
              <w:spacing w:line="259" w:lineRule="auto"/>
              <w:rPr/>
            </w:pPr>
            <w:r w:rsidDel="00000000" w:rsidR="00000000" w:rsidRPr="00000000">
              <w:rPr>
                <w:rFonts w:ascii="Arial" w:cs="Arial" w:eastAsia="Arial" w:hAnsi="Arial"/>
                <w:sz w:val="20"/>
                <w:szCs w:val="20"/>
                <w:rtl w:val="0"/>
              </w:rPr>
              <w:t xml:space="preserve">a study of an aspect or theme in British history that extends pupils’ chronological knowledge beyond 1066</w:t>
            </w:r>
            <w:r w:rsidDel="00000000" w:rsidR="00000000" w:rsidRPr="00000000">
              <w:rPr>
                <w:rtl w:val="0"/>
              </w:rPr>
            </w:r>
          </w:p>
        </w:tc>
        <w:tc>
          <w:tcPr>
            <w:shd w:fill="d9d9d9" w:val="clear"/>
          </w:tcPr>
          <w:p w:rsidR="00000000" w:rsidDel="00000000" w:rsidP="00000000" w:rsidRDefault="00000000" w:rsidRPr="00000000" w14:paraId="00000077">
            <w:pPr>
              <w:pageBreakBefore w:val="0"/>
              <w:rPr/>
            </w:pPr>
            <w:r w:rsidDel="00000000" w:rsidR="00000000" w:rsidRPr="00000000">
              <w:rPr>
                <w:rtl w:val="0"/>
              </w:rPr>
              <w:t xml:space="preserve">The Mayans </w:t>
            </w:r>
          </w:p>
          <w:p w:rsidR="00000000" w:rsidDel="00000000" w:rsidP="00000000" w:rsidRDefault="00000000" w:rsidRPr="00000000" w14:paraId="00000078">
            <w:pPr>
              <w:pageBreakBefore w:val="0"/>
              <w:spacing w:line="259" w:lineRule="auto"/>
              <w:rPr/>
            </w:pPr>
            <w:r w:rsidDel="00000000" w:rsidR="00000000" w:rsidRPr="00000000">
              <w:rPr>
                <w:rFonts w:ascii="Arial" w:cs="Arial" w:eastAsia="Arial" w:hAnsi="Arial"/>
                <w:sz w:val="20"/>
                <w:szCs w:val="20"/>
                <w:rtl w:val="0"/>
              </w:rPr>
              <w:t xml:space="preserve">a non-European society that provides contrasts with British History – Mayan civilization c AD 900</w:t>
            </w:r>
            <w:r w:rsidDel="00000000" w:rsidR="00000000" w:rsidRPr="00000000">
              <w:rPr>
                <w:rtl w:val="0"/>
              </w:rPr>
            </w:r>
          </w:p>
        </w:tc>
        <w:tc>
          <w:tcPr>
            <w:vMerge w:val="continue"/>
            <w:shd w:fill="d9d9d9" w:val="clear"/>
          </w:tcPr>
          <w:p w:rsidR="00000000" w:rsidDel="00000000" w:rsidP="00000000" w:rsidRDefault="00000000" w:rsidRPr="00000000" w14:paraId="00000079">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07A">
            <w:pPr>
              <w:pageBreakBefore w:val="0"/>
              <w:rPr/>
            </w:pPr>
            <w:r w:rsidDel="00000000" w:rsidR="00000000" w:rsidRPr="00000000">
              <w:rPr>
                <w:rtl w:val="0"/>
              </w:rPr>
              <w:t xml:space="preserve">Year 6 Autumn</w:t>
            </w:r>
          </w:p>
        </w:tc>
        <w:tc>
          <w:tcPr/>
          <w:p w:rsidR="00000000" w:rsidDel="00000000" w:rsidP="00000000" w:rsidRDefault="00000000" w:rsidRPr="00000000" w14:paraId="0000007B">
            <w:pPr>
              <w:pageBreakBefore w:val="0"/>
              <w:rPr>
                <w:highlight w:val="yellow"/>
              </w:rPr>
            </w:pPr>
            <w:r w:rsidDel="00000000" w:rsidR="00000000" w:rsidRPr="00000000">
              <w:rPr>
                <w:highlight w:val="yellow"/>
                <w:rtl w:val="0"/>
              </w:rPr>
              <w:t xml:space="preserve">Burton Brewery</w:t>
            </w:r>
          </w:p>
        </w:tc>
        <w:tc>
          <w:tcPr/>
          <w:p w:rsidR="00000000" w:rsidDel="00000000" w:rsidP="00000000" w:rsidRDefault="00000000" w:rsidRPr="00000000" w14:paraId="0000007C">
            <w:pPr>
              <w:pageBreakBefore w:val="0"/>
              <w:rPr/>
            </w:pPr>
            <w:r w:rsidDel="00000000" w:rsidR="00000000" w:rsidRPr="00000000">
              <w:rPr>
                <w:rtl w:val="0"/>
              </w:rPr>
              <w:t xml:space="preserve">World War 2</w:t>
            </w:r>
          </w:p>
        </w:tc>
        <w:tc>
          <w:tcPr>
            <w:vMerge w:val="continue"/>
          </w:tcPr>
          <w:p w:rsidR="00000000" w:rsidDel="00000000" w:rsidP="00000000" w:rsidRDefault="00000000" w:rsidRPr="00000000" w14:paraId="0000007D">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07E">
            <w:pPr>
              <w:pageBreakBefore w:val="0"/>
              <w:rPr/>
            </w:pPr>
            <w:r w:rsidDel="00000000" w:rsidR="00000000" w:rsidRPr="00000000">
              <w:rPr>
                <w:rtl w:val="0"/>
              </w:rPr>
              <w:t xml:space="preserve">Year 6 Spring</w:t>
            </w:r>
          </w:p>
        </w:tc>
        <w:tc>
          <w:tcPr/>
          <w:p w:rsidR="00000000" w:rsidDel="00000000" w:rsidP="00000000" w:rsidRDefault="00000000" w:rsidRPr="00000000" w14:paraId="0000007F">
            <w:pPr>
              <w:pageBreakBefore w:val="0"/>
              <w:rPr>
                <w:b w:val="1"/>
                <w:highlight w:val="yellow"/>
              </w:rPr>
            </w:pPr>
            <w:r w:rsidDel="00000000" w:rsidR="00000000" w:rsidRPr="00000000">
              <w:rPr>
                <w:b w:val="1"/>
                <w:highlight w:val="yellow"/>
                <w:rtl w:val="0"/>
              </w:rPr>
              <w:t xml:space="preserve">Ancient Greece </w:t>
            </w:r>
          </w:p>
        </w:tc>
        <w:tc>
          <w:tcPr/>
          <w:p w:rsidR="00000000" w:rsidDel="00000000" w:rsidP="00000000" w:rsidRDefault="00000000" w:rsidRPr="00000000" w14:paraId="00000080">
            <w:pPr>
              <w:pageBreakBefore w:val="0"/>
              <w:rPr/>
            </w:pPr>
            <w:r w:rsidDel="00000000" w:rsidR="00000000" w:rsidRPr="00000000">
              <w:rPr>
                <w:rtl w:val="0"/>
              </w:rPr>
              <w:t xml:space="preserve">Vikings </w:t>
            </w:r>
          </w:p>
        </w:tc>
        <w:tc>
          <w:tcPr>
            <w:vMerge w:val="continue"/>
          </w:tcPr>
          <w:p w:rsidR="00000000" w:rsidDel="00000000" w:rsidP="00000000" w:rsidRDefault="00000000" w:rsidRPr="00000000" w14:paraId="00000081">
            <w:pPr>
              <w:pageBreakBefore w:val="0"/>
              <w:spacing w:after="0" w:before="0" w:line="240" w:lineRule="auto"/>
              <w:ind w:left="0" w:firstLine="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082">
            <w:pPr>
              <w:pageBreakBefore w:val="0"/>
              <w:rPr/>
            </w:pPr>
            <w:r w:rsidDel="00000000" w:rsidR="00000000" w:rsidRPr="00000000">
              <w:rPr>
                <w:rtl w:val="0"/>
              </w:rPr>
              <w:t xml:space="preserve">Year 6 Summer</w:t>
            </w:r>
          </w:p>
        </w:tc>
        <w:tc>
          <w:tcPr/>
          <w:p w:rsidR="00000000" w:rsidDel="00000000" w:rsidP="00000000" w:rsidRDefault="00000000" w:rsidRPr="00000000" w14:paraId="00000083">
            <w:pPr>
              <w:pageBreakBefore w:val="0"/>
              <w:rPr>
                <w:b w:val="1"/>
                <w:highlight w:val="yellow"/>
              </w:rPr>
            </w:pPr>
            <w:r w:rsidDel="00000000" w:rsidR="00000000" w:rsidRPr="00000000">
              <w:rPr>
                <w:b w:val="1"/>
                <w:highlight w:val="yellow"/>
                <w:rtl w:val="0"/>
              </w:rPr>
              <w:t xml:space="preserve">The Mayans </w:t>
            </w:r>
          </w:p>
        </w:tc>
        <w:tc>
          <w:tcPr/>
          <w:p w:rsidR="00000000" w:rsidDel="00000000" w:rsidP="00000000" w:rsidRDefault="00000000" w:rsidRPr="00000000" w14:paraId="00000084">
            <w:pPr>
              <w:pageBreakBefore w:val="0"/>
              <w:rPr/>
            </w:pPr>
            <w:r w:rsidDel="00000000" w:rsidR="00000000" w:rsidRPr="00000000">
              <w:rPr>
                <w:rtl w:val="0"/>
              </w:rPr>
              <w:t xml:space="preserve">Crime and Punishment </w:t>
            </w:r>
          </w:p>
        </w:tc>
        <w:tc>
          <w:tcPr>
            <w:vMerge w:val="continue"/>
          </w:tcPr>
          <w:p w:rsidR="00000000" w:rsidDel="00000000" w:rsidP="00000000" w:rsidRDefault="00000000" w:rsidRPr="00000000" w14:paraId="00000085">
            <w:pPr>
              <w:pageBreakBefore w:val="0"/>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F2AD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F2A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illiz4HDPs/KMfsFfWohccUlSg==">CgMxLjAyDmguejlvbnZseXRhZGkwOAByITFrd0lSbEJRN2VNOG1HQzc0alhoZXluR05FcTI1NzZqTg==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2019-11-26T11:31:00Z</dcterms:created>
  <dc:creator>Jonathan Wynn</dc:creator>
</cp:coreProperties>
</file>