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34"/>
          <w:szCs w:val="3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34"/>
          <w:szCs w:val="34"/>
          <w:u w:val="single"/>
          <w:rtl w:val="0"/>
        </w:rPr>
        <w:t xml:space="preserve">Year 5 and 6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rtl w:val="0"/>
              </w:rPr>
              <w:t xml:space="preserve">Must</w:t>
            </w:r>
          </w:p>
        </w:tc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rtl w:val="0"/>
              </w:rPr>
              <w:t xml:space="preserve">Should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4"/>
                <w:szCs w:val="14"/>
                <w:rtl w:val="0"/>
              </w:rPr>
              <w:t xml:space="preserve">Could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There / they’re/ their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reign/rain/rein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stomach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they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aggressive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rhythm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friend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occasionally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conscience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your/ you’re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particular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restaurant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couldn’t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various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thorough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Doesn’t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curious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embarrass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straight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forgotten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Queue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should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immediately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which/witch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Desperate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criticise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every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interrupt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attached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caught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soldier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sincerely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fruit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sacrifice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temperature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through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interfere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where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vegetable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profession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hasn’t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forty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amateur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enough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twelfth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committee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because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muscle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guarantee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when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disastrous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sure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bruise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environment</w:t>
            </w:r>
          </w:p>
        </w:tc>
      </w:tr>
    </w:tbl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