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5CC2" w14:textId="498B661D" w:rsidR="005E18CB" w:rsidRDefault="009D71E8" w:rsidP="007815CE">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7815CE">
        <w:t>St. Peter’s Primary School - Bromyard</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Pr="00D91FED" w:rsidRDefault="002940F3">
            <w:pPr>
              <w:pStyle w:val="TableRow"/>
              <w:rPr>
                <w:color w:val="auto"/>
              </w:rPr>
            </w:pPr>
            <w:r w:rsidRPr="00D91FED">
              <w:rPr>
                <w:color w:val="auto"/>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E829EC1" w:rsidR="002940F3" w:rsidRPr="00D91FED" w:rsidRDefault="00D03FEA" w:rsidP="00222BAB">
            <w:pPr>
              <w:pStyle w:val="TableRow"/>
              <w:jc w:val="center"/>
              <w:rPr>
                <w:color w:val="auto"/>
              </w:rPr>
            </w:pPr>
            <w:r w:rsidRPr="00D91FED">
              <w:rPr>
                <w:color w:val="auto"/>
              </w:rPr>
              <w:t>200</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Pr="00D91FED" w:rsidRDefault="002940F3">
            <w:pPr>
              <w:pStyle w:val="TableRow"/>
              <w:rPr>
                <w:color w:val="auto"/>
              </w:rPr>
            </w:pPr>
            <w:r w:rsidRPr="00D91FED">
              <w:rPr>
                <w:color w:val="auto"/>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E4A8633" w:rsidR="002940F3" w:rsidRPr="00D91FED" w:rsidRDefault="00D03FEA" w:rsidP="00222BAB">
            <w:pPr>
              <w:pStyle w:val="TableRow"/>
              <w:jc w:val="center"/>
              <w:rPr>
                <w:color w:val="auto"/>
              </w:rPr>
            </w:pPr>
            <w:r w:rsidRPr="00D91FED">
              <w:rPr>
                <w:color w:val="auto"/>
              </w:rPr>
              <w:t>25%</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5BCCD518" w:rsidR="002940F3" w:rsidRPr="00D91FED" w:rsidRDefault="002940F3">
            <w:pPr>
              <w:pStyle w:val="TableRow"/>
              <w:rPr>
                <w:color w:val="auto"/>
              </w:rPr>
            </w:pPr>
            <w:r w:rsidRPr="00D91FED">
              <w:rPr>
                <w:color w:val="auto"/>
              </w:rP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A6B90" w14:textId="77777777" w:rsidR="007815CE" w:rsidRPr="00D91FED" w:rsidRDefault="00297A43" w:rsidP="00222BAB">
            <w:pPr>
              <w:pStyle w:val="TableRow"/>
              <w:jc w:val="center"/>
              <w:rPr>
                <w:color w:val="auto"/>
              </w:rPr>
            </w:pPr>
            <w:r w:rsidRPr="00D91FED">
              <w:rPr>
                <w:color w:val="auto"/>
              </w:rPr>
              <w:t>2025-2026</w:t>
            </w:r>
          </w:p>
          <w:p w14:paraId="2A7D54BF" w14:textId="52F04959" w:rsidR="00297A43" w:rsidRPr="00D91FED" w:rsidRDefault="00297A43" w:rsidP="00D03FEA">
            <w:pPr>
              <w:pStyle w:val="TableRow"/>
              <w:ind w:left="0"/>
              <w:rPr>
                <w:color w:val="auto"/>
              </w:rPr>
            </w:pP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D91FED" w:rsidRDefault="002940F3">
            <w:pPr>
              <w:pStyle w:val="TableRow"/>
              <w:rPr>
                <w:color w:val="auto"/>
              </w:rPr>
            </w:pPr>
            <w:r w:rsidRPr="00D91FED">
              <w:rPr>
                <w:color w:val="auto"/>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6AC7E20B" w:rsidR="002940F3" w:rsidRPr="00D91FED" w:rsidRDefault="007815CE" w:rsidP="00222BAB">
            <w:pPr>
              <w:pStyle w:val="TableRow"/>
              <w:jc w:val="center"/>
              <w:rPr>
                <w:color w:val="auto"/>
              </w:rPr>
            </w:pPr>
            <w:r w:rsidRPr="00D91FED">
              <w:rPr>
                <w:color w:val="auto"/>
              </w:rPr>
              <w:t>September 2024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D91FED" w:rsidRDefault="002940F3">
            <w:pPr>
              <w:pStyle w:val="TableRow"/>
              <w:rPr>
                <w:color w:val="auto"/>
              </w:rPr>
            </w:pPr>
            <w:r w:rsidRPr="00D91FED">
              <w:rPr>
                <w:color w:val="auto"/>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D0C2F6B" w:rsidR="002940F3" w:rsidRPr="00D91FED" w:rsidRDefault="007815CE" w:rsidP="00222BAB">
            <w:pPr>
              <w:pStyle w:val="TableRow"/>
              <w:jc w:val="center"/>
              <w:rPr>
                <w:color w:val="auto"/>
              </w:rPr>
            </w:pPr>
            <w:r w:rsidRPr="00D91FED">
              <w:rPr>
                <w:color w:val="auto"/>
              </w:rPr>
              <w:t>September 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D91FED" w:rsidRDefault="002940F3">
            <w:pPr>
              <w:pStyle w:val="TableRow"/>
              <w:rPr>
                <w:color w:val="auto"/>
              </w:rPr>
            </w:pPr>
            <w:r w:rsidRPr="00D91FED">
              <w:rPr>
                <w:color w:val="auto"/>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7146B39" w:rsidR="002940F3" w:rsidRPr="00D91FED" w:rsidRDefault="007815CE" w:rsidP="00222BAB">
            <w:pPr>
              <w:pStyle w:val="TableRow"/>
              <w:jc w:val="center"/>
              <w:rPr>
                <w:color w:val="auto"/>
              </w:rPr>
            </w:pPr>
            <w:r w:rsidRPr="00D91FED">
              <w:rPr>
                <w:color w:val="auto"/>
              </w:rPr>
              <w:t>M Farmer, D Wiles,</w:t>
            </w:r>
            <w:r w:rsidR="000D7682" w:rsidRPr="00D91FED">
              <w:rPr>
                <w:color w:val="auto"/>
              </w:rPr>
              <w:t xml:space="preserve"> L Taylor</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EC269" w14:textId="3B3093AB" w:rsidR="002940F3" w:rsidRDefault="007815CE" w:rsidP="00222BAB">
            <w:pPr>
              <w:pStyle w:val="TableRow"/>
              <w:jc w:val="center"/>
            </w:pPr>
            <w:r>
              <w:t xml:space="preserve">L Hollywell </w:t>
            </w:r>
            <w:r w:rsidR="000D7682">
              <w:t>– Assistant Headteacher</w:t>
            </w:r>
          </w:p>
          <w:p w14:paraId="2A7D54CB" w14:textId="7A655030" w:rsidR="007815CE" w:rsidRDefault="007815CE" w:rsidP="00222BAB">
            <w:pPr>
              <w:pStyle w:val="TableRow"/>
              <w:jc w:val="center"/>
            </w:pPr>
            <w:r>
              <w:t>L Taylor – Pupil Premium Mentor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3AEDE" w14:textId="77777777" w:rsidR="002940F3" w:rsidRPr="00D528C1" w:rsidRDefault="007815CE" w:rsidP="00222BAB">
            <w:pPr>
              <w:pStyle w:val="TableRow"/>
              <w:jc w:val="center"/>
            </w:pPr>
            <w:r w:rsidRPr="00D528C1">
              <w:t xml:space="preserve">Mr </w:t>
            </w:r>
            <w:r w:rsidR="00F30C40" w:rsidRPr="00D528C1">
              <w:t>P Gallagher</w:t>
            </w:r>
            <w:r w:rsidR="00966136" w:rsidRPr="00D528C1">
              <w:t xml:space="preserve"> </w:t>
            </w:r>
          </w:p>
          <w:p w14:paraId="2A7D54CE" w14:textId="76D43420" w:rsidR="00966136" w:rsidRDefault="00966136" w:rsidP="00222BAB">
            <w:pPr>
              <w:pStyle w:val="TableRow"/>
              <w:jc w:val="center"/>
            </w:pPr>
            <w:r w:rsidRPr="00D528C1">
              <w:t>Mrs J Balderson</w:t>
            </w:r>
            <w:r>
              <w:t xml:space="preserve">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697A4201" w:rsidR="00E66558" w:rsidRDefault="009D71E8">
            <w:pPr>
              <w:pStyle w:val="TableRow"/>
            </w:pPr>
            <w:r>
              <w:t>£</w:t>
            </w:r>
            <w:r w:rsidR="007815CE">
              <w:t xml:space="preserve"> </w:t>
            </w:r>
            <w:r w:rsidR="0047744E">
              <w:t>86,540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A" w14:textId="4A7490C5" w:rsidR="00CA5363" w:rsidRPr="00222BAB" w:rsidRDefault="009D71E8" w:rsidP="00222BAB">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7401404E" w:rsidR="00E66558" w:rsidRDefault="009D71E8">
            <w:pPr>
              <w:pStyle w:val="TableRow"/>
            </w:pPr>
            <w:r>
              <w:t>£</w:t>
            </w:r>
            <w:r w:rsidR="0047744E">
              <w:t xml:space="preserve"> 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6989716" w:rsidR="007109F6" w:rsidRPr="005F16B6" w:rsidRDefault="009D71E8" w:rsidP="005F16B6">
            <w:pPr>
              <w:pStyle w:val="TableRow"/>
              <w:spacing w:after="120"/>
            </w:pPr>
            <w:r>
              <w:t>Pupil premium</w:t>
            </w:r>
            <w:r w:rsidR="005F16B6">
              <w:t xml:space="preserve"> </w:t>
            </w:r>
            <w:r>
              <w:t xml:space="preserve">funding carried forward from previous years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66014721" w:rsidR="00E66558" w:rsidRDefault="009D71E8">
            <w:pPr>
              <w:pStyle w:val="TableRow"/>
            </w:pPr>
            <w:r>
              <w:t>£</w:t>
            </w:r>
            <w:r w:rsidR="00222BAB">
              <w:t xml:space="preserve"> </w:t>
            </w:r>
            <w:r w:rsidR="00151621">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27294DC0" w:rsidR="00E66558" w:rsidRPr="003C4388" w:rsidRDefault="00E66558">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6E1A9B4A" w:rsidR="00E66558" w:rsidRDefault="009D71E8">
            <w:pPr>
              <w:pStyle w:val="TableRow"/>
            </w:pPr>
            <w:r>
              <w:t>£</w:t>
            </w:r>
            <w:r w:rsidR="00151621">
              <w:t xml:space="preserve"> </w:t>
            </w:r>
            <w:r w:rsidR="00767ABB">
              <w:t>86,540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F191C" w14:textId="77777777" w:rsidR="000A18FE" w:rsidRPr="00D91FED" w:rsidRDefault="000A18FE" w:rsidP="000A18FE">
            <w:pPr>
              <w:rPr>
                <w:iCs/>
                <w:color w:val="auto"/>
              </w:rPr>
            </w:pPr>
            <w:r>
              <w:rPr>
                <w:iCs/>
              </w:rPr>
              <w:t xml:space="preserve">The </w:t>
            </w:r>
            <w:r w:rsidRPr="00D91FED">
              <w:rPr>
                <w:iCs/>
                <w:color w:val="auto"/>
              </w:rPr>
              <w:t xml:space="preserve">key aim of our school’s pupil strategy plan is to ensure that all students, regardless of their background and family income have an equal opportunity to thrive and achieve in school. </w:t>
            </w:r>
          </w:p>
          <w:p w14:paraId="54531625" w14:textId="77777777" w:rsidR="000A18FE" w:rsidRPr="00D91FED" w:rsidRDefault="000A18FE" w:rsidP="000A18FE">
            <w:pPr>
              <w:rPr>
                <w:iCs/>
                <w:color w:val="auto"/>
              </w:rPr>
            </w:pPr>
            <w:r w:rsidRPr="00D91FED">
              <w:rPr>
                <w:iCs/>
                <w:color w:val="auto"/>
              </w:rPr>
              <w:t xml:space="preserve">Common barriers to learning for disadvantaged children in our school, can be that they receive less support at home, weak language and communication skills, lack of confidence, more frequent behaviour difficulties as well as attendance and punctuality issues.  There may also be complex family situations that prevent children from excelling.  The challenges are varied and there is no ‘one size fits all’ answer. </w:t>
            </w:r>
          </w:p>
          <w:p w14:paraId="12857484" w14:textId="77777777" w:rsidR="000A18FE" w:rsidRPr="00D91FED" w:rsidRDefault="000A18FE" w:rsidP="000A18FE">
            <w:pPr>
              <w:rPr>
                <w:iCs/>
                <w:color w:val="auto"/>
                <w:u w:val="single"/>
              </w:rPr>
            </w:pPr>
            <w:r w:rsidRPr="00D91FED">
              <w:rPr>
                <w:iCs/>
                <w:color w:val="auto"/>
                <w:u w:val="single"/>
              </w:rPr>
              <w:t>Key Principles</w:t>
            </w:r>
          </w:p>
          <w:p w14:paraId="24D3B516" w14:textId="77777777" w:rsidR="000A18FE" w:rsidRPr="00D91FED" w:rsidRDefault="000A18FE" w:rsidP="000A18FE">
            <w:pPr>
              <w:pStyle w:val="ListParagraph"/>
              <w:numPr>
                <w:ilvl w:val="0"/>
                <w:numId w:val="15"/>
              </w:numPr>
              <w:rPr>
                <w:iCs/>
                <w:color w:val="auto"/>
              </w:rPr>
            </w:pPr>
            <w:r w:rsidRPr="00D91FED">
              <w:rPr>
                <w:iCs/>
                <w:color w:val="auto"/>
              </w:rPr>
              <w:t xml:space="preserve">We ensure that teaching and learning opportunities meet the needs of all the students. </w:t>
            </w:r>
          </w:p>
          <w:p w14:paraId="68D6CB41" w14:textId="77777777" w:rsidR="000A18FE" w:rsidRPr="00D91FED" w:rsidRDefault="000A18FE" w:rsidP="000A18FE">
            <w:pPr>
              <w:pStyle w:val="ListParagraph"/>
              <w:numPr>
                <w:ilvl w:val="0"/>
                <w:numId w:val="15"/>
              </w:numPr>
              <w:rPr>
                <w:iCs/>
                <w:color w:val="auto"/>
              </w:rPr>
            </w:pPr>
            <w:r w:rsidRPr="00D91FED">
              <w:rPr>
                <w:iCs/>
                <w:color w:val="auto"/>
              </w:rPr>
              <w:t>We ensure that appropriate provision is made for students who belong to vulnerable groups, this includes but is not limited to, ensuring that the needs of socially disadvantaged students are adequately assessed and addressed.</w:t>
            </w:r>
          </w:p>
          <w:p w14:paraId="13407AA5" w14:textId="77777777" w:rsidR="000A18FE" w:rsidRPr="00D91FED" w:rsidRDefault="000A18FE" w:rsidP="000A18FE">
            <w:pPr>
              <w:pStyle w:val="ListParagraph"/>
              <w:numPr>
                <w:ilvl w:val="0"/>
                <w:numId w:val="15"/>
              </w:numPr>
              <w:rPr>
                <w:iCs/>
                <w:color w:val="auto"/>
              </w:rPr>
            </w:pPr>
            <w:r w:rsidRPr="00D91FED">
              <w:rPr>
                <w:iCs/>
                <w:color w:val="auto"/>
              </w:rPr>
              <w:t>To support our children’s health and wellbeing to enable them to access learning at an appropriate level.</w:t>
            </w:r>
          </w:p>
          <w:p w14:paraId="2BADD35A" w14:textId="77777777" w:rsidR="000A18FE" w:rsidRPr="00D91FED" w:rsidRDefault="000A18FE" w:rsidP="000A18FE">
            <w:pPr>
              <w:pStyle w:val="ListParagraph"/>
              <w:numPr>
                <w:ilvl w:val="0"/>
                <w:numId w:val="15"/>
              </w:numPr>
              <w:rPr>
                <w:iCs/>
                <w:color w:val="auto"/>
              </w:rPr>
            </w:pPr>
            <w:r w:rsidRPr="00D91FED">
              <w:rPr>
                <w:iCs/>
                <w:color w:val="auto"/>
              </w:rPr>
              <w:t>In making provision for socially disadvantaged students, we recognise that not all students who receive free school meals will be socially disadvantaged</w:t>
            </w:r>
          </w:p>
          <w:p w14:paraId="4691DB24" w14:textId="77777777" w:rsidR="000A18FE" w:rsidRPr="00D91FED" w:rsidRDefault="000A18FE" w:rsidP="000A18FE">
            <w:pPr>
              <w:pStyle w:val="ListParagraph"/>
              <w:numPr>
                <w:ilvl w:val="0"/>
                <w:numId w:val="15"/>
              </w:numPr>
              <w:rPr>
                <w:iCs/>
                <w:color w:val="auto"/>
              </w:rPr>
            </w:pPr>
            <w:r w:rsidRPr="00D91FED">
              <w:rPr>
                <w:iCs/>
                <w:color w:val="auto"/>
              </w:rPr>
              <w:t>We promote and encourage increased parental engagement with the school.</w:t>
            </w:r>
          </w:p>
          <w:p w14:paraId="6490DDCD" w14:textId="77777777" w:rsidR="000A18FE" w:rsidRPr="00D91FED" w:rsidRDefault="000A18FE" w:rsidP="000A18FE">
            <w:pPr>
              <w:rPr>
                <w:iCs/>
                <w:color w:val="auto"/>
                <w:u w:val="single"/>
              </w:rPr>
            </w:pPr>
            <w:r w:rsidRPr="00D91FED">
              <w:rPr>
                <w:iCs/>
                <w:color w:val="auto"/>
                <w:u w:val="single"/>
              </w:rPr>
              <w:t>The range of provision we will provide</w:t>
            </w:r>
          </w:p>
          <w:p w14:paraId="2499E6A1" w14:textId="77777777" w:rsidR="000A18FE" w:rsidRPr="00D91FED" w:rsidRDefault="000A18FE" w:rsidP="000A18FE">
            <w:pPr>
              <w:pStyle w:val="ListParagraph"/>
              <w:numPr>
                <w:ilvl w:val="0"/>
                <w:numId w:val="16"/>
              </w:numPr>
              <w:rPr>
                <w:iCs/>
                <w:color w:val="auto"/>
              </w:rPr>
            </w:pPr>
            <w:r w:rsidRPr="00D91FED">
              <w:rPr>
                <w:iCs/>
                <w:color w:val="auto"/>
              </w:rPr>
              <w:t>Ensuring all teaching is good or better therefore ensuring that the teaching experienced by all children is improved.</w:t>
            </w:r>
          </w:p>
          <w:p w14:paraId="3F316A35" w14:textId="77777777" w:rsidR="000A18FE" w:rsidRPr="00D91FED" w:rsidRDefault="000A18FE" w:rsidP="000A18FE">
            <w:pPr>
              <w:pStyle w:val="ListParagraph"/>
              <w:numPr>
                <w:ilvl w:val="0"/>
                <w:numId w:val="16"/>
              </w:numPr>
              <w:rPr>
                <w:iCs/>
                <w:color w:val="auto"/>
              </w:rPr>
            </w:pPr>
            <w:r w:rsidRPr="00D91FED">
              <w:rPr>
                <w:iCs/>
                <w:color w:val="auto"/>
              </w:rPr>
              <w:t xml:space="preserve">To allocate staffing appropriately </w:t>
            </w:r>
            <w:proofErr w:type="gramStart"/>
            <w:r w:rsidRPr="00D91FED">
              <w:rPr>
                <w:iCs/>
                <w:color w:val="auto"/>
              </w:rPr>
              <w:t>in order to</w:t>
            </w:r>
            <w:proofErr w:type="gramEnd"/>
            <w:r w:rsidRPr="00D91FED">
              <w:rPr>
                <w:iCs/>
                <w:color w:val="auto"/>
              </w:rPr>
              <w:t xml:space="preserve"> provide small group work focussed on overcoming gaps in learning. </w:t>
            </w:r>
          </w:p>
          <w:p w14:paraId="65C4442D" w14:textId="77777777" w:rsidR="000A18FE" w:rsidRPr="00D91FED" w:rsidRDefault="000A18FE" w:rsidP="000A18FE">
            <w:pPr>
              <w:pStyle w:val="ListParagraph"/>
              <w:numPr>
                <w:ilvl w:val="0"/>
                <w:numId w:val="16"/>
              </w:numPr>
              <w:rPr>
                <w:iCs/>
                <w:color w:val="auto"/>
              </w:rPr>
            </w:pPr>
            <w:r w:rsidRPr="00D91FED">
              <w:rPr>
                <w:iCs/>
                <w:color w:val="auto"/>
              </w:rPr>
              <w:t>1-1 support both socially and academically as required</w:t>
            </w:r>
          </w:p>
          <w:p w14:paraId="357852C8" w14:textId="77777777" w:rsidR="000A18FE" w:rsidRPr="00D91FED" w:rsidRDefault="000A18FE" w:rsidP="000A18FE">
            <w:pPr>
              <w:pStyle w:val="ListParagraph"/>
              <w:numPr>
                <w:ilvl w:val="0"/>
                <w:numId w:val="16"/>
              </w:numPr>
              <w:rPr>
                <w:iCs/>
                <w:color w:val="auto"/>
              </w:rPr>
            </w:pPr>
            <w:r w:rsidRPr="00D91FED">
              <w:rPr>
                <w:iCs/>
                <w:color w:val="auto"/>
              </w:rPr>
              <w:t>All work through pupil premium will be aimed at accelerating progress, moving children to at least age-related expectations</w:t>
            </w:r>
          </w:p>
          <w:p w14:paraId="640C93BA" w14:textId="77777777" w:rsidR="000A18FE" w:rsidRPr="00D91FED" w:rsidRDefault="000A18FE" w:rsidP="000A18FE">
            <w:pPr>
              <w:pStyle w:val="ListParagraph"/>
              <w:numPr>
                <w:ilvl w:val="0"/>
                <w:numId w:val="16"/>
              </w:numPr>
              <w:rPr>
                <w:iCs/>
                <w:color w:val="auto"/>
              </w:rPr>
            </w:pPr>
            <w:r w:rsidRPr="00D91FED">
              <w:rPr>
                <w:iCs/>
                <w:color w:val="auto"/>
              </w:rPr>
              <w:t>Additional staffing for interventions and catch-up lessons and additional reading support across both key stages.</w:t>
            </w:r>
          </w:p>
          <w:p w14:paraId="518C34F0" w14:textId="77777777" w:rsidR="000A18FE" w:rsidRPr="00D91FED" w:rsidRDefault="000A18FE" w:rsidP="000A18FE">
            <w:pPr>
              <w:pStyle w:val="ListParagraph"/>
              <w:numPr>
                <w:ilvl w:val="0"/>
                <w:numId w:val="16"/>
              </w:numPr>
              <w:rPr>
                <w:iCs/>
                <w:color w:val="auto"/>
              </w:rPr>
            </w:pPr>
            <w:r w:rsidRPr="00D91FED">
              <w:rPr>
                <w:iCs/>
                <w:color w:val="auto"/>
              </w:rPr>
              <w:t>Mentor Meetings – providing contact and support, whilst getting to know the pupil premium students and their families</w:t>
            </w:r>
          </w:p>
          <w:p w14:paraId="0AD7CA62" w14:textId="77777777" w:rsidR="000A18FE" w:rsidRPr="00D91FED" w:rsidRDefault="000A18FE" w:rsidP="000A18FE">
            <w:pPr>
              <w:pStyle w:val="ListParagraph"/>
              <w:numPr>
                <w:ilvl w:val="0"/>
                <w:numId w:val="16"/>
              </w:numPr>
              <w:rPr>
                <w:iCs/>
                <w:color w:val="auto"/>
              </w:rPr>
            </w:pPr>
            <w:r w:rsidRPr="00D91FED">
              <w:rPr>
                <w:iCs/>
                <w:color w:val="auto"/>
              </w:rPr>
              <w:t>Supporting payment for activities, educational visits and residential trips. Ensuring children have concrete experiences to expand their classroom education</w:t>
            </w:r>
          </w:p>
          <w:p w14:paraId="001CB6CD" w14:textId="77777777" w:rsidR="000A18FE" w:rsidRPr="00D91FED" w:rsidRDefault="000A18FE" w:rsidP="000A18FE">
            <w:pPr>
              <w:pStyle w:val="ListParagraph"/>
              <w:numPr>
                <w:ilvl w:val="0"/>
                <w:numId w:val="16"/>
              </w:numPr>
              <w:rPr>
                <w:iCs/>
                <w:color w:val="auto"/>
              </w:rPr>
            </w:pPr>
            <w:r w:rsidRPr="00D91FED">
              <w:rPr>
                <w:iCs/>
                <w:color w:val="auto"/>
              </w:rPr>
              <w:lastRenderedPageBreak/>
              <w:t>Support payment for school uniform, PE kit and school equipment as appropriate</w:t>
            </w:r>
          </w:p>
          <w:p w14:paraId="689D77AA" w14:textId="77777777" w:rsidR="000A18FE" w:rsidRPr="00D91FED" w:rsidRDefault="000A18FE" w:rsidP="000A18FE">
            <w:pPr>
              <w:pStyle w:val="ListParagraph"/>
              <w:numPr>
                <w:ilvl w:val="0"/>
                <w:numId w:val="16"/>
              </w:numPr>
              <w:rPr>
                <w:iCs/>
                <w:color w:val="auto"/>
              </w:rPr>
            </w:pPr>
            <w:r w:rsidRPr="00D91FED">
              <w:rPr>
                <w:iCs/>
                <w:color w:val="auto"/>
              </w:rPr>
              <w:t>Support payment for attendance at one Out of School activity</w:t>
            </w:r>
          </w:p>
          <w:p w14:paraId="7C04AC00" w14:textId="77777777" w:rsidR="000A18FE" w:rsidRPr="00D91FED" w:rsidRDefault="000A18FE" w:rsidP="000A18FE">
            <w:pPr>
              <w:pStyle w:val="ListParagraph"/>
              <w:numPr>
                <w:ilvl w:val="0"/>
                <w:numId w:val="16"/>
              </w:numPr>
              <w:rPr>
                <w:iCs/>
                <w:color w:val="auto"/>
              </w:rPr>
            </w:pPr>
            <w:r w:rsidRPr="00D91FED">
              <w:rPr>
                <w:iCs/>
                <w:color w:val="auto"/>
              </w:rPr>
              <w:t>Assistance as necessary to encourage good attendance working closely with students and their families</w:t>
            </w:r>
          </w:p>
          <w:p w14:paraId="5A477E60" w14:textId="609B9AED" w:rsidR="000A18FE" w:rsidRPr="00D91FED" w:rsidRDefault="000A18FE" w:rsidP="000A18FE">
            <w:pPr>
              <w:pStyle w:val="ListParagraph"/>
              <w:numPr>
                <w:ilvl w:val="0"/>
                <w:numId w:val="16"/>
              </w:numPr>
              <w:rPr>
                <w:iCs/>
                <w:color w:val="auto"/>
              </w:rPr>
            </w:pPr>
            <w:r w:rsidRPr="00D91FED">
              <w:rPr>
                <w:iCs/>
                <w:color w:val="auto"/>
              </w:rPr>
              <w:t xml:space="preserve">Mental Health and Wellbeing support, </w:t>
            </w:r>
            <w:proofErr w:type="gramStart"/>
            <w:r w:rsidRPr="00D91FED">
              <w:rPr>
                <w:iCs/>
                <w:color w:val="auto"/>
              </w:rPr>
              <w:t>through the use of</w:t>
            </w:r>
            <w:proofErr w:type="gramEnd"/>
            <w:r w:rsidRPr="00D91FED">
              <w:rPr>
                <w:iCs/>
                <w:color w:val="auto"/>
              </w:rPr>
              <w:t xml:space="preserve"> school based Thrive practitioner on a 1:1 or targeted group basis</w:t>
            </w:r>
          </w:p>
          <w:p w14:paraId="4C935601" w14:textId="3A96FF0B" w:rsidR="0047744E" w:rsidRPr="00D91FED" w:rsidRDefault="0047744E" w:rsidP="000A18FE">
            <w:pPr>
              <w:pStyle w:val="ListParagraph"/>
              <w:numPr>
                <w:ilvl w:val="0"/>
                <w:numId w:val="16"/>
              </w:numPr>
              <w:rPr>
                <w:iCs/>
                <w:color w:val="auto"/>
              </w:rPr>
            </w:pPr>
            <w:r w:rsidRPr="00D91FED">
              <w:rPr>
                <w:iCs/>
                <w:color w:val="auto"/>
              </w:rPr>
              <w:t xml:space="preserve">Mental Health and Wellbeing support, </w:t>
            </w:r>
            <w:proofErr w:type="gramStart"/>
            <w:r w:rsidRPr="00D91FED">
              <w:rPr>
                <w:iCs/>
                <w:color w:val="auto"/>
              </w:rPr>
              <w:t>through the use of</w:t>
            </w:r>
            <w:proofErr w:type="gramEnd"/>
            <w:r w:rsidRPr="00D91FED">
              <w:rPr>
                <w:iCs/>
                <w:color w:val="auto"/>
              </w:rPr>
              <w:t xml:space="preserve"> school based ELSA practitioner on a 1:1 </w:t>
            </w:r>
            <w:proofErr w:type="gramStart"/>
            <w:r w:rsidRPr="00D91FED">
              <w:rPr>
                <w:iCs/>
                <w:color w:val="auto"/>
              </w:rPr>
              <w:t>bases</w:t>
            </w:r>
            <w:proofErr w:type="gramEnd"/>
            <w:r w:rsidRPr="00D91FED">
              <w:rPr>
                <w:iCs/>
                <w:color w:val="auto"/>
              </w:rPr>
              <w:t xml:space="preserve">. </w:t>
            </w:r>
          </w:p>
          <w:p w14:paraId="2A7D54E9" w14:textId="56525967" w:rsidR="00E66558" w:rsidRPr="000A18FE" w:rsidRDefault="000A18FE" w:rsidP="000A18FE">
            <w:pPr>
              <w:pStyle w:val="ListParagraph"/>
              <w:numPr>
                <w:ilvl w:val="0"/>
                <w:numId w:val="16"/>
              </w:numPr>
              <w:rPr>
                <w:iCs/>
              </w:rPr>
            </w:pPr>
            <w:r w:rsidRPr="00D91FED">
              <w:rPr>
                <w:iCs/>
                <w:color w:val="auto"/>
              </w:rPr>
              <w:t>Support for mental health and wellbeing will be offered through external support services.</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D91FED" w:rsidRDefault="009D71E8">
            <w:pPr>
              <w:pStyle w:val="TableRow"/>
              <w:rPr>
                <w:color w:val="auto"/>
                <w:sz w:val="22"/>
                <w:szCs w:val="22"/>
              </w:rPr>
            </w:pPr>
            <w:r w:rsidRPr="00D91FED">
              <w:rPr>
                <w:color w:val="auto"/>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094E2E72" w:rsidR="00E66558" w:rsidRPr="00D91FED" w:rsidRDefault="00CC7CC5" w:rsidP="00CC7CC5">
            <w:pPr>
              <w:pStyle w:val="TableRowCentered"/>
              <w:jc w:val="left"/>
              <w:rPr>
                <w:color w:val="auto"/>
              </w:rPr>
            </w:pPr>
            <w:r w:rsidRPr="00D91FED">
              <w:rPr>
                <w:color w:val="auto"/>
              </w:rPr>
              <w:t>The increasing rates of school attendance and persistent absence highlight significant challenges. Family issues and a prevailing misunderstanding of educational importance contribute to a lack of concern regarding attendance, compounded by insufficient teacher training on the connection between engagement, curriculum delivery, and the need for tailored lessons for disadvantaged pupils.</w:t>
            </w:r>
          </w:p>
        </w:tc>
      </w:tr>
      <w:tr w:rsidR="00C90F1B"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C90F1B" w:rsidRPr="00D91FED" w:rsidRDefault="00C90F1B" w:rsidP="00C90F1B">
            <w:pPr>
              <w:pStyle w:val="TableRow"/>
              <w:rPr>
                <w:color w:val="auto"/>
                <w:sz w:val="22"/>
                <w:szCs w:val="22"/>
              </w:rPr>
            </w:pPr>
            <w:r w:rsidRPr="00D91FED">
              <w:rPr>
                <w:color w:val="auto"/>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CE70B" w14:textId="77777777" w:rsidR="00C90F1B" w:rsidRPr="00D91FED" w:rsidRDefault="00C90F1B" w:rsidP="00C90F1B">
            <w:pPr>
              <w:pStyle w:val="TableRowCentered"/>
              <w:jc w:val="left"/>
              <w:rPr>
                <w:color w:val="auto"/>
                <w:szCs w:val="24"/>
              </w:rPr>
            </w:pPr>
            <w:r w:rsidRPr="00D91FED">
              <w:rPr>
                <w:color w:val="auto"/>
                <w:szCs w:val="24"/>
              </w:rPr>
              <w:t xml:space="preserve">Phonics Screening results &amp; reading levels - Results within the Phonics screening test in Year 1 are below the national rate and whilst improving year on year are still below the expected standard. This is impacting reading attainment in years 2 and 3.  Pupils in years 2 and 5 are below the national expected standard with regards to reading levels. </w:t>
            </w:r>
          </w:p>
          <w:p w14:paraId="2A7D54F4" w14:textId="67A85383" w:rsidR="00C90F1B" w:rsidRPr="00D91FED" w:rsidRDefault="00C90F1B" w:rsidP="00C90F1B">
            <w:pPr>
              <w:pStyle w:val="TableRowCentered"/>
              <w:jc w:val="left"/>
              <w:rPr>
                <w:color w:val="auto"/>
                <w:sz w:val="22"/>
                <w:szCs w:val="22"/>
              </w:rPr>
            </w:pPr>
            <w:r w:rsidRPr="00D91FED">
              <w:rPr>
                <w:color w:val="auto"/>
                <w:szCs w:val="24"/>
              </w:rPr>
              <w:t>Assessments, observations and discussions with pupils indicate underdeveloped oral language skills and vocabulary gaps among many disadvantaged pupils.</w:t>
            </w:r>
          </w:p>
        </w:tc>
      </w:tr>
      <w:tr w:rsidR="00C90F1B"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C90F1B" w:rsidRPr="00D91FED" w:rsidRDefault="00C90F1B" w:rsidP="00C90F1B">
            <w:pPr>
              <w:pStyle w:val="TableRow"/>
              <w:rPr>
                <w:color w:val="auto"/>
                <w:sz w:val="22"/>
                <w:szCs w:val="22"/>
              </w:rPr>
            </w:pPr>
            <w:r w:rsidRPr="00D91FED">
              <w:rPr>
                <w:color w:val="auto"/>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71836268" w:rsidR="00C90F1B" w:rsidRPr="00D91FED" w:rsidRDefault="00C90F1B" w:rsidP="00C90F1B">
            <w:pPr>
              <w:pStyle w:val="TableRowCentered"/>
              <w:jc w:val="left"/>
              <w:rPr>
                <w:color w:val="auto"/>
                <w:sz w:val="22"/>
                <w:szCs w:val="22"/>
              </w:rPr>
            </w:pPr>
            <w:r w:rsidRPr="00D91FED">
              <w:rPr>
                <w:color w:val="auto"/>
                <w:szCs w:val="22"/>
              </w:rPr>
              <w:t>Writing - Across both Key Stages writing levels of disadvantaged pupils is below that of their peers. It is unclear if this is due to issues with reading, lack of exposure to a wide range of reading material, language and communication issues for the family and pupil or whether it is lack of exposure to a more varied life and opportunity.</w:t>
            </w:r>
          </w:p>
        </w:tc>
      </w:tr>
      <w:tr w:rsidR="00C90F1B"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C90F1B" w:rsidRPr="00D91FED" w:rsidRDefault="00C90F1B" w:rsidP="00C90F1B">
            <w:pPr>
              <w:pStyle w:val="TableRow"/>
              <w:rPr>
                <w:color w:val="auto"/>
                <w:sz w:val="22"/>
                <w:szCs w:val="22"/>
              </w:rPr>
            </w:pPr>
            <w:r w:rsidRPr="00D91FED">
              <w:rPr>
                <w:color w:val="auto"/>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E1323" w14:textId="77777777" w:rsidR="004544E7" w:rsidRPr="00D91FED" w:rsidRDefault="004544E7" w:rsidP="00C90F1B">
            <w:pPr>
              <w:pStyle w:val="TableRowCentered"/>
              <w:jc w:val="left"/>
              <w:rPr>
                <w:iCs/>
                <w:color w:val="auto"/>
              </w:rPr>
            </w:pPr>
            <w:r w:rsidRPr="00D91FED">
              <w:rPr>
                <w:iCs/>
                <w:color w:val="auto"/>
              </w:rPr>
              <w:t xml:space="preserve">Our assessments, observations and discussions with pupils and their families reveal that many students, particularly those from disadvantaged backgrounds, experience significant social and emotional issues, including anxiety, low self-esteem and confidence challenges. These factors substantially impede their academic attainment and necessitate targeted support for mental health and wellbeing to be provided. </w:t>
            </w:r>
          </w:p>
          <w:p w14:paraId="2A7D54FA" w14:textId="464480CD" w:rsidR="00C90F1B" w:rsidRPr="00D91FED" w:rsidRDefault="00C90F1B" w:rsidP="00C90F1B">
            <w:pPr>
              <w:pStyle w:val="TableRowCentered"/>
              <w:jc w:val="left"/>
              <w:rPr>
                <w:iCs/>
                <w:color w:val="auto"/>
                <w:sz w:val="22"/>
              </w:rPr>
            </w:pPr>
            <w:r w:rsidRPr="00D91FED">
              <w:rPr>
                <w:iCs/>
                <w:color w:val="auto"/>
              </w:rPr>
              <w:lastRenderedPageBreak/>
              <w:t xml:space="preserve">Teacher and family referrals to Thrive remain high.  </w:t>
            </w:r>
            <w:r w:rsidR="00347FC7" w:rsidRPr="00D91FED">
              <w:rPr>
                <w:iCs/>
                <w:color w:val="auto"/>
              </w:rPr>
              <w:t>54</w:t>
            </w:r>
            <w:r w:rsidRPr="00D91FED">
              <w:rPr>
                <w:iCs/>
                <w:color w:val="auto"/>
              </w:rPr>
              <w:t xml:space="preserve">% of the disadvantaged pupils have accessed support via the Thrive practitioner within the last academic year. Approximately 5 referrals </w:t>
            </w:r>
            <w:r w:rsidR="00347FC7" w:rsidRPr="00D91FED">
              <w:rPr>
                <w:iCs/>
                <w:color w:val="auto"/>
              </w:rPr>
              <w:t>to WEST</w:t>
            </w:r>
            <w:r w:rsidRPr="00D91FED">
              <w:rPr>
                <w:iCs/>
                <w:color w:val="auto"/>
              </w:rPr>
              <w:t xml:space="preserve"> have been for disadvantaged pupils.</w:t>
            </w:r>
          </w:p>
        </w:tc>
      </w:tr>
      <w:tr w:rsidR="00C90F1B"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C90F1B" w:rsidRPr="00D91FED" w:rsidRDefault="00C90F1B" w:rsidP="00C90F1B">
            <w:pPr>
              <w:pStyle w:val="TableRow"/>
              <w:rPr>
                <w:color w:val="auto"/>
                <w:sz w:val="22"/>
                <w:szCs w:val="22"/>
              </w:rPr>
            </w:pPr>
            <w:r w:rsidRPr="00D91FED">
              <w:rPr>
                <w:color w:val="auto"/>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4F366886" w:rsidR="00C90F1B" w:rsidRPr="00D91FED" w:rsidRDefault="004544E7" w:rsidP="00CA6ACD">
            <w:pPr>
              <w:pStyle w:val="TableRowCentered"/>
              <w:jc w:val="left"/>
              <w:rPr>
                <w:iCs/>
                <w:color w:val="auto"/>
                <w:sz w:val="22"/>
              </w:rPr>
            </w:pPr>
            <w:r w:rsidRPr="00D91FED">
              <w:rPr>
                <w:iCs/>
                <w:color w:val="auto"/>
                <w:szCs w:val="24"/>
              </w:rPr>
              <w:t>Improve early identification and</w:t>
            </w:r>
            <w:r w:rsidR="00CA6ACD" w:rsidRPr="00D91FED">
              <w:rPr>
                <w:iCs/>
                <w:color w:val="auto"/>
                <w:szCs w:val="24"/>
              </w:rPr>
              <w:t xml:space="preserve"> support for pupils with speech and c</w:t>
            </w:r>
            <w:r w:rsidRPr="00D91FED">
              <w:rPr>
                <w:iCs/>
                <w:color w:val="auto"/>
                <w:szCs w:val="24"/>
              </w:rPr>
              <w:t>ommunication needs</w:t>
            </w:r>
            <w:r w:rsidR="00CA6ACD" w:rsidRPr="00D91FED">
              <w:rPr>
                <w:iCs/>
                <w:color w:val="auto"/>
                <w:szCs w:val="24"/>
              </w:rPr>
              <w:t>. The significant prevalence of speech and language issues among our disadvantaged pupils in the Early Years, characterised by limited vocabulary and pronunciation difficulties, often leads to poorer reading and writing skills, increased anxiety and a lack of confidence through KS1 and 2. This necessitates further staff training, including POPAT training and targeted 1-1 S</w:t>
            </w:r>
            <w:r w:rsidR="00933E78" w:rsidRPr="00D91FED">
              <w:rPr>
                <w:iCs/>
                <w:color w:val="auto"/>
                <w:szCs w:val="24"/>
              </w:rPr>
              <w:t>AL</w:t>
            </w:r>
            <w:r w:rsidR="00CA6ACD" w:rsidRPr="00D91FED">
              <w:rPr>
                <w:iCs/>
                <w:color w:val="auto"/>
                <w:szCs w:val="24"/>
              </w:rPr>
              <w:t>T sessions.</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297A43"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5318B0BC" w:rsidR="00297A43" w:rsidRPr="00D91FED" w:rsidRDefault="00297A43" w:rsidP="00297A43">
            <w:pPr>
              <w:pStyle w:val="TableRow"/>
              <w:rPr>
                <w:color w:val="auto"/>
              </w:rPr>
            </w:pPr>
            <w:r w:rsidRPr="00D91FED">
              <w:rPr>
                <w:color w:val="auto"/>
              </w:rPr>
              <w:t>Increase school attendance rates to meet or exceed the national average and reduce persistent absence among disadvantaged pupils. Engage parents in understanding the importance of attendance.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754108DD" w:rsidR="00297A43" w:rsidRPr="00D91FED" w:rsidRDefault="00297A43" w:rsidP="00297A43">
            <w:pPr>
              <w:pStyle w:val="TableRowCentered"/>
              <w:jc w:val="left"/>
              <w:rPr>
                <w:color w:val="auto"/>
                <w:sz w:val="22"/>
                <w:szCs w:val="22"/>
              </w:rPr>
            </w:pPr>
            <w:r w:rsidRPr="00D91FED">
              <w:rPr>
                <w:color w:val="auto"/>
              </w:rPr>
              <w:t>Quarterly attendance reports will show an increase towards the national average and a 10% reduction in persistent absence rates. At least 60% of families will attend workshops promoting education at St Peter's. </w:t>
            </w:r>
          </w:p>
        </w:tc>
      </w:tr>
      <w:tr w:rsidR="00297A43"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5AFE0E0E" w:rsidR="00297A43" w:rsidRPr="00D91FED" w:rsidRDefault="00297A43" w:rsidP="00297A43">
            <w:pPr>
              <w:pStyle w:val="TableRow"/>
              <w:rPr>
                <w:color w:val="auto"/>
                <w:sz w:val="22"/>
                <w:szCs w:val="22"/>
              </w:rPr>
            </w:pPr>
            <w:r w:rsidRPr="00D91FED">
              <w:rPr>
                <w:color w:val="auto"/>
              </w:rPr>
              <w:t>Improve Year 1 Phonics Screening results to meet national standards and enhance reading levels in Years 2 and 3, particularly for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7D9CD276" w:rsidR="00297A43" w:rsidRPr="00D91FED" w:rsidRDefault="00297A43" w:rsidP="00D03FEA">
            <w:pPr>
              <w:pStyle w:val="TableRowCentered"/>
              <w:jc w:val="left"/>
              <w:rPr>
                <w:color w:val="auto"/>
                <w:sz w:val="22"/>
                <w:szCs w:val="22"/>
              </w:rPr>
            </w:pPr>
            <w:r w:rsidRPr="00D91FED">
              <w:rPr>
                <w:color w:val="auto"/>
              </w:rPr>
              <w:t>Phonics results will show improvement to meet the national average. Reading assessments</w:t>
            </w:r>
            <w:r w:rsidR="00D03FEA" w:rsidRPr="00D91FED">
              <w:rPr>
                <w:color w:val="auto"/>
              </w:rPr>
              <w:t xml:space="preserve"> in Years 2 and 3 will show 75% of </w:t>
            </w:r>
            <w:r w:rsidRPr="00D91FED">
              <w:rPr>
                <w:color w:val="auto"/>
              </w:rPr>
              <w:t>pupils meeting expected standards, with evidence of improved oral language and vocabulary skills among disadvantaged pupils through pre- and post-intervention evaluations.</w:t>
            </w:r>
          </w:p>
        </w:tc>
      </w:tr>
      <w:tr w:rsidR="00297A43"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1C1CB4FA" w:rsidR="00297A43" w:rsidRPr="00D91FED" w:rsidRDefault="00297A43" w:rsidP="00297A43">
            <w:pPr>
              <w:pStyle w:val="TableRow"/>
              <w:rPr>
                <w:color w:val="auto"/>
                <w:sz w:val="22"/>
                <w:szCs w:val="22"/>
              </w:rPr>
            </w:pPr>
            <w:r w:rsidRPr="00D91FED">
              <w:rPr>
                <w:color w:val="auto"/>
              </w:rPr>
              <w:t>Elevate writing proficiency of disadvantaged pupils across both Key Stages to align with their peers’ performance.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1457A886" w:rsidR="00297A43" w:rsidRPr="00D91FED" w:rsidRDefault="00297A43" w:rsidP="00297A43">
            <w:pPr>
              <w:pStyle w:val="TableRowCentered"/>
              <w:jc w:val="left"/>
              <w:rPr>
                <w:color w:val="auto"/>
                <w:sz w:val="22"/>
                <w:szCs w:val="22"/>
              </w:rPr>
            </w:pPr>
            <w:r w:rsidRPr="00D91FED">
              <w:rPr>
                <w:color w:val="auto"/>
              </w:rPr>
              <w:t>Writing assessments will show a 15% improvement in disadvantaged pupils' writing levels, with 75% achieving age-appropriate standards. Pupil surveys will indicate increased confidence and enthusiasm for writing, supported by increased attendance. </w:t>
            </w:r>
          </w:p>
        </w:tc>
      </w:tr>
      <w:tr w:rsidR="00297A43" w14:paraId="4C77B31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EEA9A" w14:textId="01E8DE05" w:rsidR="00297A43" w:rsidRPr="00D91FED" w:rsidRDefault="00297A43" w:rsidP="00297A43">
            <w:pPr>
              <w:pStyle w:val="TableRow"/>
              <w:rPr>
                <w:color w:val="auto"/>
                <w:sz w:val="22"/>
                <w:szCs w:val="22"/>
              </w:rPr>
            </w:pPr>
            <w:r w:rsidRPr="00D91FED">
              <w:rPr>
                <w:color w:val="auto"/>
              </w:rPr>
              <w:t>Provide targeted mental health and wellbeing support to reduce anxiety and enhance self-esteem in disadvantaged pupils, positively impacting academic achievement.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AE6DD" w14:textId="5D9A2847" w:rsidR="00297A43" w:rsidRPr="00D91FED" w:rsidRDefault="00297A43" w:rsidP="00297A43">
            <w:pPr>
              <w:pStyle w:val="TableRowCentered"/>
              <w:jc w:val="left"/>
              <w:rPr>
                <w:color w:val="auto"/>
                <w:sz w:val="22"/>
                <w:szCs w:val="22"/>
              </w:rPr>
            </w:pPr>
            <w:r w:rsidRPr="00D91FED">
              <w:rPr>
                <w:color w:val="auto"/>
              </w:rPr>
              <w:t>Pupil self-esteem survey responses will show a 15% increase. Academic performance indicators will reflect improvement in classrooms, linking wellbeing support to enhanced learning outcomes.</w:t>
            </w:r>
          </w:p>
        </w:tc>
      </w:tr>
      <w:tr w:rsidR="00297A43" w14:paraId="6ACE3DC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DFDC7" w14:textId="7E080A0D" w:rsidR="00297A43" w:rsidRPr="00D91FED" w:rsidRDefault="00297A43" w:rsidP="00297A43">
            <w:pPr>
              <w:pStyle w:val="TableRow"/>
              <w:rPr>
                <w:color w:val="auto"/>
                <w:sz w:val="22"/>
                <w:szCs w:val="22"/>
              </w:rPr>
            </w:pPr>
            <w:r w:rsidRPr="00D91FED">
              <w:rPr>
                <w:color w:val="auto"/>
              </w:rPr>
              <w:t xml:space="preserve">Enhance early identification and support for pupils with speech and communication </w:t>
            </w:r>
            <w:r w:rsidRPr="00D91FED">
              <w:rPr>
                <w:color w:val="auto"/>
              </w:rPr>
              <w:lastRenderedPageBreak/>
              <w:t>needs among disadvantaged students to reduce related academic challenges.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D8A44" w14:textId="157698E6" w:rsidR="00297A43" w:rsidRPr="00D91FED" w:rsidRDefault="00297A43" w:rsidP="00297A43">
            <w:pPr>
              <w:pStyle w:val="TableRowCentered"/>
              <w:jc w:val="left"/>
              <w:rPr>
                <w:color w:val="auto"/>
                <w:sz w:val="22"/>
                <w:szCs w:val="22"/>
              </w:rPr>
            </w:pPr>
            <w:r w:rsidRPr="00D91FED">
              <w:rPr>
                <w:color w:val="auto"/>
              </w:rPr>
              <w:lastRenderedPageBreak/>
              <w:t xml:space="preserve">At least two members of KS1 staff to receive POPAT training, leading to a </w:t>
            </w:r>
            <w:r w:rsidRPr="00D91FED">
              <w:rPr>
                <w:color w:val="auto"/>
              </w:rPr>
              <w:lastRenderedPageBreak/>
              <w:t>20% increase in pupils identified with significant speech and language delays receiving specialist support. Data will show a 20% improvement in literacy skills for those receiving targeted interventions compared to baseline measures.</w:t>
            </w:r>
          </w:p>
        </w:tc>
      </w:tr>
      <w:tr w:rsidR="008A3C76" w14:paraId="2AD2357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98B8" w14:textId="3A07695E" w:rsidR="008A3C76" w:rsidRPr="00D91FED" w:rsidRDefault="00135FEA" w:rsidP="00297A43">
            <w:pPr>
              <w:pStyle w:val="TableRow"/>
              <w:rPr>
                <w:rFonts w:cs="Arial"/>
                <w:color w:val="auto"/>
              </w:rPr>
            </w:pPr>
            <w:r w:rsidRPr="00D91FED">
              <w:rPr>
                <w:rFonts w:cs="Arial"/>
                <w:color w:val="auto"/>
              </w:rPr>
              <w:lastRenderedPageBreak/>
              <w:t>Increase parental engagement in supporting their children’s Maths learning in Years 2 and 3, fostering confidence and a positive attitude towards Maths.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06838" w14:textId="5EE80424" w:rsidR="00135FEA" w:rsidRPr="00D91FED" w:rsidRDefault="00135FEA" w:rsidP="00135FEA">
            <w:pPr>
              <w:pStyle w:val="NormalWeb"/>
              <w:rPr>
                <w:rFonts w:ascii="Arial" w:hAnsi="Arial" w:cs="Arial"/>
              </w:rPr>
            </w:pPr>
            <w:r w:rsidRPr="00D91FED">
              <w:rPr>
                <w:rFonts w:ascii="Arial" w:hAnsi="Arial" w:cs="Arial"/>
              </w:rPr>
              <w:t>50% increase in the number of parents attending Maths workshops, family learning sessions and engaging with Maths resources. Feedback from parents and pupils will indicate a reduction in Maths anxiety and increased confidence in discussing or completing Maths tasks at home. Pupils’ engagement and participation will improve in Maths lessons, linked to parental involvement.</w:t>
            </w:r>
          </w:p>
          <w:p w14:paraId="00BE97CD" w14:textId="38E086C6" w:rsidR="008A3C76" w:rsidRPr="00D91FED" w:rsidRDefault="008A3C76" w:rsidP="00135FEA">
            <w:pPr>
              <w:pStyle w:val="TableRowCentered"/>
              <w:ind w:left="0"/>
              <w:jc w:val="left"/>
              <w:rPr>
                <w:rFonts w:cs="Arial"/>
                <w:color w:val="auto"/>
              </w:rPr>
            </w:pPr>
          </w:p>
        </w:tc>
      </w:tr>
    </w:tbl>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1F506606" w:rsidR="00E66558" w:rsidRDefault="009D71E8">
      <w:pPr>
        <w:pStyle w:val="Heading3"/>
      </w:pPr>
      <w:r>
        <w:t>Teaching</w:t>
      </w:r>
      <w:r w:rsidR="00DD1120">
        <w:t xml:space="preserve"> and Learning</w:t>
      </w:r>
      <w:r>
        <w:t xml:space="preserve"> (for example, CPD, </w:t>
      </w:r>
      <w:r w:rsidR="00E95421">
        <w:t>schemes and resources</w:t>
      </w:r>
      <w:r>
        <w:t>)</w:t>
      </w:r>
    </w:p>
    <w:p w14:paraId="2A7D5515" w14:textId="7BBD9B8E" w:rsidR="00E66558" w:rsidRDefault="009D71E8">
      <w:r>
        <w:t xml:space="preserve">Budgeted cost: </w:t>
      </w:r>
      <w:r w:rsidR="007D7A75">
        <w:t>£</w:t>
      </w:r>
      <w:r w:rsidR="00C26C02">
        <w:t>34,616</w:t>
      </w:r>
    </w:p>
    <w:tbl>
      <w:tblPr>
        <w:tblW w:w="5000" w:type="pct"/>
        <w:tblCellMar>
          <w:left w:w="10" w:type="dxa"/>
          <w:right w:w="10" w:type="dxa"/>
        </w:tblCellMar>
        <w:tblLook w:val="04A0" w:firstRow="1" w:lastRow="0" w:firstColumn="1" w:lastColumn="0" w:noHBand="0" w:noVBand="1"/>
      </w:tblPr>
      <w:tblGrid>
        <w:gridCol w:w="2689"/>
        <w:gridCol w:w="5466"/>
        <w:gridCol w:w="1331"/>
      </w:tblGrid>
      <w:tr w:rsidR="00E66558" w14:paraId="2A7D5519" w14:textId="77777777" w:rsidTr="00270D6A">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46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3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rsidRPr="00DA2721">
              <w:rPr>
                <w:sz w:val="20"/>
                <w:szCs w:val="20"/>
              </w:rPr>
              <w:t>Challenge number(s) addressed</w:t>
            </w:r>
          </w:p>
        </w:tc>
      </w:tr>
      <w:tr w:rsidR="00E95421" w14:paraId="2A7D551D" w14:textId="77777777" w:rsidTr="00270D6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1A" w14:textId="43774C2E" w:rsidR="00E95421" w:rsidRPr="00D91FED" w:rsidRDefault="00E95421" w:rsidP="00E95421">
            <w:pPr>
              <w:pStyle w:val="TableRow"/>
              <w:rPr>
                <w:rFonts w:cs="Arial"/>
                <w:color w:val="auto"/>
              </w:rPr>
            </w:pPr>
            <w:r w:rsidRPr="00D91FED">
              <w:rPr>
                <w:rFonts w:cs="Arial"/>
                <w:color w:val="auto"/>
              </w:rPr>
              <w:t>Improve Phonics and Reading Outcomes (Y1–Y3): Fund training for phonics tutors, deliver small-group 1:1 sessions, purchase high-quality decodable texts.</w:t>
            </w:r>
          </w:p>
        </w:tc>
        <w:tc>
          <w:tcPr>
            <w:tcW w:w="5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1B" w14:textId="24098FDB" w:rsidR="00E95421" w:rsidRPr="00D91FED" w:rsidRDefault="00E95421" w:rsidP="00E95421">
            <w:pPr>
              <w:pStyle w:val="TableRowCentered"/>
              <w:jc w:val="left"/>
              <w:rPr>
                <w:rFonts w:cs="Arial"/>
                <w:color w:val="auto"/>
                <w:sz w:val="22"/>
              </w:rPr>
            </w:pPr>
            <w:r w:rsidRPr="00D91FED">
              <w:rPr>
                <w:rFonts w:cs="Arial"/>
                <w:color w:val="auto"/>
                <w:szCs w:val="24"/>
              </w:rPr>
              <w:t xml:space="preserve">The EEF states that phonics approaches have an average impact of </w:t>
            </w:r>
            <w:r w:rsidRPr="00D91FED">
              <w:rPr>
                <w:rFonts w:cs="Arial"/>
                <w:b/>
                <w:bCs/>
                <w:color w:val="auto"/>
                <w:szCs w:val="24"/>
              </w:rPr>
              <w:t>+5 months</w:t>
            </w:r>
            <w:r w:rsidRPr="00D91FED">
              <w:rPr>
                <w:rFonts w:cs="Arial"/>
                <w:color w:val="auto"/>
                <w:szCs w:val="24"/>
              </w:rPr>
              <w:t xml:space="preserve"> for </w:t>
            </w:r>
            <w:proofErr w:type="gramStart"/>
            <w:r w:rsidRPr="00D91FED">
              <w:rPr>
                <w:rFonts w:cs="Arial"/>
                <w:color w:val="auto"/>
                <w:szCs w:val="24"/>
              </w:rPr>
              <w:t>pupils, and</w:t>
            </w:r>
            <w:proofErr w:type="gramEnd"/>
            <w:r w:rsidRPr="00D91FED">
              <w:rPr>
                <w:rFonts w:cs="Arial"/>
                <w:color w:val="auto"/>
                <w:szCs w:val="24"/>
              </w:rPr>
              <w:t xml:space="preserve"> are particularly beneficial for disadvantaged pupils. </w:t>
            </w:r>
            <w:hyperlink r:id="rId7" w:tgtFrame="_new" w:history="1">
              <w:r w:rsidRPr="00D91FED">
                <w:rPr>
                  <w:rFonts w:cs="Arial"/>
                  <w:color w:val="4F81BD" w:themeColor="accent1"/>
                  <w:szCs w:val="24"/>
                  <w:u w:val="single"/>
                </w:rPr>
                <w:t>EEF – Phonics</w:t>
              </w:r>
            </w:hyperlink>
            <w:r w:rsidRPr="00D91FED">
              <w:rPr>
                <w:rFonts w:cs="Arial"/>
                <w:color w:val="4F81BD" w:themeColor="accent1"/>
                <w:szCs w:val="24"/>
              </w:rPr>
              <w:t xml:space="preserve"> </w:t>
            </w:r>
            <w:hyperlink r:id="rId8" w:tgtFrame="_blank" w:history="1">
              <w:r w:rsidRPr="00D91FED">
                <w:rPr>
                  <w:rFonts w:cs="Arial"/>
                  <w:color w:val="4F81BD" w:themeColor="accent1"/>
                  <w:szCs w:val="24"/>
                  <w:u w:val="single"/>
                </w:rPr>
                <w:t>EEF+1</w:t>
              </w:r>
            </w:hyperlink>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1C" w14:textId="0647557F" w:rsidR="00E95421" w:rsidRPr="00D91FED" w:rsidRDefault="00E95421" w:rsidP="00E95421">
            <w:pPr>
              <w:pStyle w:val="TableRowCentered"/>
              <w:jc w:val="left"/>
              <w:rPr>
                <w:rFonts w:cs="Arial"/>
                <w:color w:val="auto"/>
                <w:sz w:val="22"/>
              </w:rPr>
            </w:pPr>
            <w:r w:rsidRPr="00D91FED">
              <w:rPr>
                <w:rFonts w:cs="Arial"/>
                <w:color w:val="auto"/>
                <w:szCs w:val="24"/>
              </w:rPr>
              <w:t>2</w:t>
            </w:r>
          </w:p>
        </w:tc>
      </w:tr>
      <w:tr w:rsidR="00E95421" w14:paraId="2A7D5521" w14:textId="77777777" w:rsidTr="00270D6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1E" w14:textId="2A496A4D" w:rsidR="00E95421" w:rsidRPr="00D91FED" w:rsidRDefault="00E95421" w:rsidP="00E95421">
            <w:pPr>
              <w:pStyle w:val="TableRow"/>
              <w:rPr>
                <w:rFonts w:cs="Arial"/>
                <w:iCs/>
                <w:color w:val="auto"/>
                <w:sz w:val="22"/>
              </w:rPr>
            </w:pPr>
            <w:r w:rsidRPr="00D91FED">
              <w:rPr>
                <w:rFonts w:cs="Arial"/>
                <w:color w:val="auto"/>
              </w:rPr>
              <w:t>Enhance Speech, Language and Communication: Invest in POPAT training, Speech and Language Therapist input and targeted early language programmes.</w:t>
            </w:r>
          </w:p>
        </w:tc>
        <w:tc>
          <w:tcPr>
            <w:tcW w:w="5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1F" w14:textId="4BDEEF99" w:rsidR="00E95421" w:rsidRPr="00D91FED" w:rsidRDefault="00E95421" w:rsidP="00E95421">
            <w:pPr>
              <w:pStyle w:val="TableRowCentered"/>
              <w:jc w:val="left"/>
              <w:rPr>
                <w:rFonts w:cs="Arial"/>
                <w:color w:val="auto"/>
                <w:sz w:val="22"/>
              </w:rPr>
            </w:pPr>
            <w:r w:rsidRPr="00D91FED">
              <w:rPr>
                <w:rFonts w:cs="Arial"/>
                <w:color w:val="auto"/>
                <w:szCs w:val="24"/>
              </w:rPr>
              <w:t xml:space="preserve">EEF highlight that oral language interventions can lead to </w:t>
            </w:r>
            <w:r w:rsidRPr="00D91FED">
              <w:rPr>
                <w:rFonts w:cs="Arial"/>
                <w:b/>
                <w:bCs/>
                <w:color w:val="auto"/>
                <w:szCs w:val="24"/>
              </w:rPr>
              <w:t>+6 months</w:t>
            </w:r>
            <w:r w:rsidRPr="00D91FED">
              <w:rPr>
                <w:rFonts w:cs="Arial"/>
                <w:color w:val="auto"/>
                <w:szCs w:val="24"/>
              </w:rPr>
              <w:t xml:space="preserve">’ progress, especially when vocabulary and talk are explicitly developed. </w:t>
            </w:r>
            <w:hyperlink r:id="rId9" w:tgtFrame="_new" w:history="1">
              <w:r w:rsidRPr="00D91FED">
                <w:rPr>
                  <w:rFonts w:cs="Arial"/>
                  <w:color w:val="4F81BD" w:themeColor="accent1"/>
                  <w:szCs w:val="24"/>
                  <w:u w:val="single"/>
                </w:rPr>
                <w:t>EEF – Oral Language Interventions</w:t>
              </w:r>
            </w:hyperlink>
            <w:r w:rsidRPr="00D91FED">
              <w:rPr>
                <w:rFonts w:cs="Arial"/>
                <w:color w:val="4F81BD" w:themeColor="accent1"/>
                <w:szCs w:val="24"/>
              </w:rPr>
              <w:t xml:space="preserve"> </w:t>
            </w:r>
            <w:hyperlink r:id="rId10" w:tgtFrame="_blank" w:history="1">
              <w:r w:rsidRPr="00D91FED">
                <w:rPr>
                  <w:rFonts w:cs="Arial"/>
                  <w:color w:val="4F81BD" w:themeColor="accent1"/>
                  <w:szCs w:val="24"/>
                  <w:u w:val="single"/>
                </w:rPr>
                <w:t>EEF+1</w:t>
              </w:r>
            </w:hyperlink>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20" w14:textId="30DC25EE" w:rsidR="00E95421" w:rsidRPr="00D91FED" w:rsidRDefault="00E95421" w:rsidP="00E95421">
            <w:pPr>
              <w:pStyle w:val="TableRowCentered"/>
              <w:jc w:val="left"/>
              <w:rPr>
                <w:rFonts w:cs="Arial"/>
                <w:color w:val="auto"/>
                <w:sz w:val="22"/>
              </w:rPr>
            </w:pPr>
            <w:r w:rsidRPr="00D91FED">
              <w:rPr>
                <w:rFonts w:cs="Arial"/>
                <w:color w:val="auto"/>
                <w:szCs w:val="24"/>
              </w:rPr>
              <w:t>2, 5</w:t>
            </w:r>
          </w:p>
        </w:tc>
      </w:tr>
      <w:tr w:rsidR="00E95421" w14:paraId="1191A998" w14:textId="77777777" w:rsidTr="00270D6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52115" w14:textId="5B8D7E36" w:rsidR="00E95421" w:rsidRPr="00D91FED" w:rsidRDefault="00E95421" w:rsidP="00E95421">
            <w:pPr>
              <w:pStyle w:val="TableRow"/>
              <w:rPr>
                <w:rFonts w:cs="Arial"/>
                <w:color w:val="auto"/>
              </w:rPr>
            </w:pPr>
            <w:r w:rsidRPr="00D91FED">
              <w:rPr>
                <w:rFonts w:cs="Arial"/>
                <w:color w:val="auto"/>
              </w:rPr>
              <w:lastRenderedPageBreak/>
              <w:t xml:space="preserve">Improve Writing Proficiency Across Key Stages: Visits to schools implementing The Write Stuff. Develop vocabulary rich texts and increase opportunities for sustained writing. </w:t>
            </w:r>
          </w:p>
        </w:tc>
        <w:tc>
          <w:tcPr>
            <w:tcW w:w="5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2F546" w14:textId="429AA789" w:rsidR="00E95421" w:rsidRPr="00D91FED" w:rsidRDefault="00E95421" w:rsidP="00E95421">
            <w:pPr>
              <w:pStyle w:val="TableRowCentered"/>
              <w:jc w:val="left"/>
              <w:rPr>
                <w:rFonts w:cs="Arial"/>
                <w:color w:val="auto"/>
              </w:rPr>
            </w:pPr>
            <w:r w:rsidRPr="00D91FED">
              <w:rPr>
                <w:rFonts w:cs="Arial"/>
                <w:color w:val="auto"/>
                <w:szCs w:val="24"/>
              </w:rPr>
              <w:t xml:space="preserve">Evidence shows writing interventions that link to experiences and oral language can improve outcomes (though evidence is more mixed). </w:t>
            </w:r>
            <w:hyperlink r:id="rId11" w:tgtFrame="_new" w:history="1">
              <w:r w:rsidRPr="00D91FED">
                <w:rPr>
                  <w:rFonts w:cs="Arial"/>
                  <w:color w:val="4F81BD" w:themeColor="accent1"/>
                  <w:szCs w:val="24"/>
                  <w:u w:val="single"/>
                </w:rPr>
                <w:t>EEF News – Writing intervention example</w:t>
              </w:r>
            </w:hyperlink>
            <w:r w:rsidRPr="00D91FED">
              <w:rPr>
                <w:rFonts w:cs="Arial"/>
                <w:color w:val="4F81BD" w:themeColor="accent1"/>
                <w:szCs w:val="24"/>
              </w:rPr>
              <w:t xml:space="preserve"> </w:t>
            </w:r>
            <w:hyperlink r:id="rId12" w:tgtFrame="_blank" w:history="1">
              <w:r w:rsidRPr="00D91FED">
                <w:rPr>
                  <w:rFonts w:cs="Arial"/>
                  <w:color w:val="4F81BD" w:themeColor="accent1"/>
                  <w:szCs w:val="24"/>
                  <w:u w:val="single"/>
                </w:rPr>
                <w:t>EEF</w:t>
              </w:r>
            </w:hyperlink>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865AD" w14:textId="08A7DF20" w:rsidR="00E95421" w:rsidRPr="008A3C76" w:rsidRDefault="00E95421" w:rsidP="00E95421">
            <w:pPr>
              <w:pStyle w:val="TableRowCentered"/>
              <w:jc w:val="left"/>
              <w:rPr>
                <w:rFonts w:cs="Arial"/>
                <w:color w:val="FF0000"/>
                <w:sz w:val="22"/>
              </w:rPr>
            </w:pPr>
            <w:r w:rsidRPr="00D91FED">
              <w:rPr>
                <w:rFonts w:cs="Arial"/>
                <w:color w:val="auto"/>
                <w:szCs w:val="24"/>
              </w:rPr>
              <w:t>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42267EDB" w:rsidR="00E66558" w:rsidRDefault="009D71E8">
      <w:r>
        <w:t>Budgeted cost: £</w:t>
      </w:r>
      <w:r w:rsidR="00C26C02">
        <w:t>25,962</w:t>
      </w:r>
    </w:p>
    <w:tbl>
      <w:tblPr>
        <w:tblW w:w="5000" w:type="pct"/>
        <w:tblCellMar>
          <w:left w:w="10" w:type="dxa"/>
          <w:right w:w="10" w:type="dxa"/>
        </w:tblCellMar>
        <w:tblLook w:val="04A0" w:firstRow="1" w:lastRow="0" w:firstColumn="1" w:lastColumn="0" w:noHBand="0" w:noVBand="1"/>
      </w:tblPr>
      <w:tblGrid>
        <w:gridCol w:w="2830"/>
        <w:gridCol w:w="5325"/>
        <w:gridCol w:w="1331"/>
      </w:tblGrid>
      <w:tr w:rsidR="00E66558" w14:paraId="2A7D5528" w14:textId="77777777" w:rsidTr="00DA2721">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32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3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rsidRPr="00DA2721">
              <w:rPr>
                <w:sz w:val="20"/>
                <w:szCs w:val="20"/>
              </w:rPr>
              <w:t>Challenge number(s) addressed</w:t>
            </w:r>
          </w:p>
        </w:tc>
      </w:tr>
      <w:tr w:rsidR="00DA2721" w14:paraId="2A7D552C" w14:textId="77777777" w:rsidTr="00DA2721">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0F399658" w:rsidR="00DA2721" w:rsidRDefault="00DA2721" w:rsidP="00DA2721">
            <w:pPr>
              <w:pStyle w:val="TableRow"/>
            </w:pPr>
            <w:r>
              <w:t>Classroom based Teaching Assistant providing targeted interventions on a 1:1 or small group basis within afternoon sessions to support the development of improved writing levels and skills; including interventions within mathematics and phonics.</w:t>
            </w:r>
          </w:p>
        </w:tc>
        <w:tc>
          <w:tcPr>
            <w:tcW w:w="5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96857" w14:textId="77777777" w:rsidR="00DA2721" w:rsidRPr="00D91FED" w:rsidRDefault="00DA2721" w:rsidP="00DA2721">
            <w:pPr>
              <w:pStyle w:val="TableRowCentered"/>
              <w:jc w:val="left"/>
              <w:rPr>
                <w:color w:val="4F81BD" w:themeColor="accent1"/>
              </w:rPr>
            </w:pPr>
            <w:hyperlink r:id="rId13" w:history="1">
              <w:r w:rsidRPr="00D91FED">
                <w:rPr>
                  <w:rStyle w:val="Hyperlink"/>
                  <w:color w:val="4F81BD" w:themeColor="accent1"/>
                </w:rPr>
                <w:t>EEF-Improving-literacy-in-key-stage-2-report-Second-edition.pdf (d2tic4wvo1iusb.cloudfront.net)</w:t>
              </w:r>
            </w:hyperlink>
          </w:p>
          <w:p w14:paraId="2E349830" w14:textId="77777777" w:rsidR="00DA2721" w:rsidRDefault="00DA2721" w:rsidP="00DA2721">
            <w:pPr>
              <w:pStyle w:val="TableRowCentered"/>
              <w:jc w:val="left"/>
            </w:pPr>
            <w:r>
              <w:t>states that structured interventions delivered by teaching assistants can also have a large positive impact on learner outcomes, equating to four additional months’ progress on average.</w:t>
            </w:r>
          </w:p>
          <w:p w14:paraId="32BF4753" w14:textId="77777777" w:rsidR="00DA2721" w:rsidRDefault="00DA2721" w:rsidP="00DA2721">
            <w:pPr>
              <w:pStyle w:val="TableRowCentered"/>
              <w:jc w:val="left"/>
            </w:pPr>
            <w:r>
              <w:t>This report continues that it does not matter when the teaching assistant delivers the intervention but how they are doing so.  Regular monitoring of progress and impact upon the pupil’s abilities with regards to other subjects and social interactions is essential.</w:t>
            </w:r>
          </w:p>
          <w:p w14:paraId="2A7D552A" w14:textId="77777777" w:rsidR="00DA2721" w:rsidRDefault="00DA2721" w:rsidP="00DA2721">
            <w:pPr>
              <w:pStyle w:val="TableRowCentered"/>
              <w:jc w:val="left"/>
              <w:rPr>
                <w:sz w:val="22"/>
              </w:rPr>
            </w:pP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6F20057B" w:rsidR="00DA2721" w:rsidRDefault="00DA2721" w:rsidP="00DA2721">
            <w:pPr>
              <w:pStyle w:val="TableRowCentered"/>
              <w:jc w:val="left"/>
              <w:rPr>
                <w:sz w:val="22"/>
              </w:rPr>
            </w:pPr>
            <w:r>
              <w:rPr>
                <w:sz w:val="22"/>
              </w:rPr>
              <w:t>1,2,3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04C206ED" w:rsidR="00E66558" w:rsidRDefault="009D71E8">
      <w:pPr>
        <w:spacing w:before="240" w:after="120"/>
      </w:pPr>
      <w:r>
        <w:t>Budgeted cost: £</w:t>
      </w:r>
      <w:r w:rsidR="00C26C02">
        <w:t>25,962</w:t>
      </w:r>
      <w:r w:rsidR="00B36A0B">
        <w:t xml:space="preserve"> </w:t>
      </w:r>
    </w:p>
    <w:tbl>
      <w:tblPr>
        <w:tblW w:w="5000" w:type="pct"/>
        <w:tblLayout w:type="fixed"/>
        <w:tblCellMar>
          <w:left w:w="10" w:type="dxa"/>
          <w:right w:w="10" w:type="dxa"/>
        </w:tblCellMar>
        <w:tblLook w:val="04A0" w:firstRow="1" w:lastRow="0" w:firstColumn="1" w:lastColumn="0" w:noHBand="0" w:noVBand="1"/>
      </w:tblPr>
      <w:tblGrid>
        <w:gridCol w:w="3114"/>
        <w:gridCol w:w="5386"/>
        <w:gridCol w:w="986"/>
      </w:tblGrid>
      <w:tr w:rsidR="00E66558" w14:paraId="2A7D5537" w14:textId="77777777" w:rsidTr="00270D6A">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538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98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DA2721" w:rsidRDefault="009D71E8">
            <w:pPr>
              <w:pStyle w:val="TableHeader"/>
              <w:jc w:val="left"/>
              <w:rPr>
                <w:sz w:val="16"/>
                <w:szCs w:val="16"/>
              </w:rPr>
            </w:pPr>
            <w:r w:rsidRPr="00DA2721">
              <w:rPr>
                <w:sz w:val="12"/>
                <w:szCs w:val="12"/>
              </w:rPr>
              <w:t>Challenge number(s) addressed</w:t>
            </w:r>
          </w:p>
        </w:tc>
      </w:tr>
      <w:tr w:rsidR="00CF1521" w14:paraId="2A7D553B" w14:textId="77777777" w:rsidTr="00270D6A">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38" w14:textId="1719B6AB" w:rsidR="00CF1521" w:rsidRPr="00D91FED" w:rsidRDefault="00CF1521" w:rsidP="00CF1521">
            <w:pPr>
              <w:pStyle w:val="TableRow"/>
              <w:rPr>
                <w:rFonts w:cs="Arial"/>
                <w:color w:val="auto"/>
              </w:rPr>
            </w:pPr>
            <w:r w:rsidRPr="00D91FED">
              <w:rPr>
                <w:rFonts w:cs="Arial"/>
                <w:color w:val="auto"/>
              </w:rPr>
              <w:t xml:space="preserve">Increase Attendance and Parental Engagement: Family Support Worker and Attendance Officer work closely together to provide parent workshops </w:t>
            </w:r>
            <w:r w:rsidRPr="00D91FED">
              <w:rPr>
                <w:rFonts w:cs="Arial"/>
                <w:color w:val="auto"/>
              </w:rPr>
              <w:lastRenderedPageBreak/>
              <w:t>and targeted attendance support.</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39" w14:textId="4A821088" w:rsidR="00CF1521" w:rsidRPr="00D91FED" w:rsidRDefault="00CF1521" w:rsidP="00CF1521">
            <w:pPr>
              <w:pStyle w:val="TableRowCentered"/>
              <w:jc w:val="left"/>
              <w:rPr>
                <w:rFonts w:cs="Arial"/>
                <w:color w:val="auto"/>
                <w:sz w:val="22"/>
              </w:rPr>
            </w:pPr>
            <w:r w:rsidRPr="00D91FED">
              <w:rPr>
                <w:rFonts w:cs="Arial"/>
                <w:color w:val="auto"/>
                <w:szCs w:val="24"/>
              </w:rPr>
              <w:lastRenderedPageBreak/>
              <w:t xml:space="preserve">The EEF attendance evidence review indicates that interventions supporting parental engagement and tailored for families can improve attendance. </w:t>
            </w:r>
            <w:hyperlink r:id="rId14" w:tgtFrame="_new" w:history="1">
              <w:r w:rsidRPr="00D91FED">
                <w:rPr>
                  <w:rFonts w:cs="Arial"/>
                  <w:color w:val="548DD4" w:themeColor="text2" w:themeTint="99"/>
                  <w:szCs w:val="24"/>
                  <w:u w:val="single"/>
                </w:rPr>
                <w:t>EEF – Attendance interventions summary</w:t>
              </w:r>
            </w:hyperlink>
            <w:r w:rsidRPr="00D91FED">
              <w:rPr>
                <w:rFonts w:cs="Arial"/>
                <w:color w:val="548DD4" w:themeColor="text2" w:themeTint="99"/>
                <w:szCs w:val="24"/>
              </w:rPr>
              <w:t xml:space="preserve"> </w:t>
            </w:r>
            <w:hyperlink r:id="rId15" w:tgtFrame="_blank" w:history="1">
              <w:r w:rsidRPr="00D91FED">
                <w:rPr>
                  <w:rFonts w:cs="Arial"/>
                  <w:color w:val="548DD4" w:themeColor="text2" w:themeTint="99"/>
                  <w:szCs w:val="24"/>
                  <w:u w:val="single"/>
                </w:rPr>
                <w:t>EEF+1</w:t>
              </w:r>
            </w:hyperlink>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3A" w14:textId="20434006" w:rsidR="00CF1521" w:rsidRPr="00D91FED" w:rsidRDefault="00CF1521" w:rsidP="00CF1521">
            <w:pPr>
              <w:pStyle w:val="TableRowCentered"/>
              <w:jc w:val="left"/>
              <w:rPr>
                <w:rFonts w:cs="Arial"/>
                <w:color w:val="auto"/>
                <w:sz w:val="22"/>
              </w:rPr>
            </w:pPr>
            <w:r w:rsidRPr="00D91FED">
              <w:rPr>
                <w:rFonts w:cs="Arial"/>
                <w:color w:val="auto"/>
                <w:szCs w:val="24"/>
              </w:rPr>
              <w:t>1</w:t>
            </w:r>
          </w:p>
        </w:tc>
      </w:tr>
      <w:tr w:rsidR="00CF1521" w14:paraId="2A7D553F" w14:textId="77777777" w:rsidTr="00270D6A">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3C" w14:textId="10923EE0" w:rsidR="00CF1521" w:rsidRPr="00D91FED" w:rsidRDefault="00CF1521" w:rsidP="00CF1521">
            <w:pPr>
              <w:pStyle w:val="TableRow"/>
              <w:rPr>
                <w:rFonts w:cs="Arial"/>
                <w:iCs/>
                <w:color w:val="auto"/>
                <w:sz w:val="22"/>
              </w:rPr>
            </w:pPr>
            <w:r w:rsidRPr="00D91FED">
              <w:rPr>
                <w:rFonts w:cs="Arial"/>
                <w:color w:val="auto"/>
              </w:rPr>
              <w:t>Targeted Mental Health &amp; Well</w:t>
            </w:r>
            <w:r w:rsidRPr="00D91FED">
              <w:rPr>
                <w:rFonts w:cs="Arial"/>
                <w:color w:val="auto"/>
              </w:rPr>
              <w:noBreakHyphen/>
              <w:t>Being Support: Provide and subsidise access to Thrive, ELSA and WEST interventions for pupils with emotional and social needs.</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3D" w14:textId="04038029" w:rsidR="00CF1521" w:rsidRPr="00D91FED" w:rsidRDefault="00CF1521" w:rsidP="00CF1521">
            <w:pPr>
              <w:pStyle w:val="TableRowCentered"/>
              <w:jc w:val="left"/>
              <w:rPr>
                <w:rFonts w:cs="Arial"/>
                <w:color w:val="auto"/>
                <w:sz w:val="22"/>
              </w:rPr>
            </w:pPr>
            <w:r w:rsidRPr="00D91FED">
              <w:rPr>
                <w:rFonts w:cs="Arial"/>
                <w:color w:val="auto"/>
                <w:szCs w:val="24"/>
              </w:rPr>
              <w:t>The EEF Teaching &amp; Learning Toolkit reports that social and emotional learning (SEL) approaches show measurable impact (+4 months) on attitudes to learning and social relationships. EEF – Social &amp; Emotional Learning</w:t>
            </w:r>
            <w:r w:rsidR="00D91FED">
              <w:rPr>
                <w:rFonts w:cs="Arial"/>
                <w:color w:val="auto"/>
                <w:szCs w:val="24"/>
              </w:rPr>
              <w:t xml:space="preserve">. </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3E" w14:textId="4EFBFC92" w:rsidR="00CF1521" w:rsidRPr="00D91FED" w:rsidRDefault="00CF1521" w:rsidP="00CF1521">
            <w:pPr>
              <w:pStyle w:val="TableRowCentered"/>
              <w:jc w:val="left"/>
              <w:rPr>
                <w:rFonts w:cs="Arial"/>
                <w:color w:val="auto"/>
                <w:sz w:val="22"/>
              </w:rPr>
            </w:pPr>
            <w:r w:rsidRPr="00D91FED">
              <w:rPr>
                <w:rFonts w:cs="Arial"/>
                <w:color w:val="auto"/>
                <w:szCs w:val="24"/>
              </w:rPr>
              <w:t>4</w:t>
            </w:r>
          </w:p>
        </w:tc>
      </w:tr>
      <w:tr w:rsidR="00CF1521" w14:paraId="573FD520" w14:textId="77777777" w:rsidTr="00270D6A">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5507F" w14:textId="41AD44EC" w:rsidR="00CF1521" w:rsidRPr="00D91FED" w:rsidRDefault="00CF1521" w:rsidP="00CF1521">
            <w:pPr>
              <w:pStyle w:val="TableRow"/>
              <w:ind w:left="0"/>
              <w:rPr>
                <w:rFonts w:cs="Arial"/>
                <w:color w:val="auto"/>
              </w:rPr>
            </w:pPr>
            <w:r w:rsidRPr="00D91FED">
              <w:rPr>
                <w:rFonts w:cs="Arial"/>
                <w:color w:val="auto"/>
              </w:rPr>
              <w:t>Sustained Well</w:t>
            </w:r>
            <w:r w:rsidRPr="00D91FED">
              <w:rPr>
                <w:rFonts w:cs="Arial"/>
                <w:color w:val="auto"/>
              </w:rPr>
              <w:noBreakHyphen/>
              <w:t>Being and Enrichment Participation: Subsidise extracurricular activities, provide support for school uniforms and essential resources, and enhance pupil voice and belonging to ensure all pupils can fully participate and thrive at school.</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E0323" w14:textId="26F8A510" w:rsidR="00CF1521" w:rsidRPr="00D91FED" w:rsidRDefault="00CF1521" w:rsidP="00CF1521">
            <w:pPr>
              <w:pStyle w:val="TableRowCentered"/>
              <w:jc w:val="left"/>
              <w:rPr>
                <w:rFonts w:cs="Arial"/>
                <w:color w:val="auto"/>
              </w:rPr>
            </w:pPr>
            <w:r w:rsidRPr="00D91FED">
              <w:rPr>
                <w:rFonts w:cs="Arial"/>
                <w:color w:val="auto"/>
                <w:szCs w:val="24"/>
              </w:rPr>
              <w:t>The EEF guidance on a tiered approach to Pupil Premium highlights that enrichment and broader participation can improve attendance, attainment and social outcomes for disadvantaged pupils. EEF – A Tiered Approach to Pupil Premium</w:t>
            </w:r>
            <w:r w:rsidR="00D91FED">
              <w:rPr>
                <w:rFonts w:cs="Arial"/>
                <w:color w:val="auto"/>
                <w:szCs w:val="24"/>
              </w:rPr>
              <w:t>.</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B17E0" w14:textId="34155770" w:rsidR="00CF1521" w:rsidRPr="00D91FED" w:rsidRDefault="00CF1521" w:rsidP="00CF1521">
            <w:pPr>
              <w:pStyle w:val="TableRowCentered"/>
              <w:jc w:val="left"/>
              <w:rPr>
                <w:rFonts w:cs="Arial"/>
                <w:color w:val="auto"/>
                <w:sz w:val="22"/>
              </w:rPr>
            </w:pPr>
            <w:r w:rsidRPr="00D91FED">
              <w:rPr>
                <w:rFonts w:cs="Arial"/>
                <w:color w:val="auto"/>
                <w:szCs w:val="24"/>
              </w:rPr>
              <w:t>1, 4</w:t>
            </w:r>
          </w:p>
        </w:tc>
      </w:tr>
    </w:tbl>
    <w:p w14:paraId="2A7D5540" w14:textId="77777777" w:rsidR="00E66558" w:rsidRDefault="00E66558">
      <w:pPr>
        <w:spacing w:before="240" w:after="0"/>
        <w:rPr>
          <w:b/>
          <w:bCs/>
          <w:color w:val="104F75"/>
          <w:sz w:val="28"/>
          <w:szCs w:val="28"/>
        </w:rPr>
      </w:pPr>
    </w:p>
    <w:p w14:paraId="2A7D5541" w14:textId="053D1AED" w:rsidR="00E66558" w:rsidRDefault="009D71E8" w:rsidP="00120AB1">
      <w:r>
        <w:rPr>
          <w:b/>
          <w:bCs/>
          <w:color w:val="104F75"/>
          <w:sz w:val="28"/>
          <w:szCs w:val="28"/>
        </w:rPr>
        <w:t xml:space="preserve">Total budgeted cost: </w:t>
      </w:r>
      <w:r w:rsidR="00B36A0B">
        <w:rPr>
          <w:b/>
          <w:bCs/>
          <w:color w:val="104F75"/>
          <w:sz w:val="28"/>
          <w:szCs w:val="28"/>
        </w:rPr>
        <w:t>£</w:t>
      </w:r>
      <w:r w:rsidR="00C26C02">
        <w:rPr>
          <w:b/>
          <w:bCs/>
          <w:color w:val="104F75"/>
          <w:sz w:val="28"/>
          <w:szCs w:val="28"/>
        </w:rPr>
        <w:t>86540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526399">
        <w:trPr>
          <w:trHeight w:val="840"/>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FF112" w14:textId="7E95849A" w:rsidR="000B652C" w:rsidRDefault="003F30BB" w:rsidP="00DA2721">
            <w:r w:rsidRPr="00D91FED">
              <w:rPr>
                <w:rStyle w:val="Strong"/>
              </w:rPr>
              <w:t>Early Years Foundation Stage (EYFS)</w:t>
            </w:r>
            <w:r w:rsidRPr="000B652C">
              <w:t xml:space="preserve"> </w:t>
            </w:r>
            <w:r w:rsidRPr="00D91FED">
              <w:rPr>
                <w:b/>
              </w:rPr>
              <w:t>–</w:t>
            </w:r>
            <w:r w:rsidRPr="000B652C">
              <w:t xml:space="preserve"> In comparison with the profile results for 2024/2025, </w:t>
            </w:r>
            <w:r w:rsidRPr="000B652C">
              <w:rPr>
                <w:rStyle w:val="Strong"/>
                <w:b w:val="0"/>
              </w:rPr>
              <w:t>50% of our pupils identified as disadvantaged achieved</w:t>
            </w:r>
            <w:r w:rsidR="000B652C" w:rsidRPr="000B652C">
              <w:rPr>
                <w:rStyle w:val="Strong"/>
                <w:b w:val="0"/>
              </w:rPr>
              <w:t xml:space="preserve"> all 17</w:t>
            </w:r>
            <w:r w:rsidRPr="000B652C">
              <w:rPr>
                <w:rStyle w:val="Strong"/>
                <w:b w:val="0"/>
              </w:rPr>
              <w:t xml:space="preserve"> early learning goals at the expected level</w:t>
            </w:r>
            <w:r w:rsidRPr="000B652C">
              <w:rPr>
                <w:b/>
              </w:rPr>
              <w:t>,</w:t>
            </w:r>
            <w:r w:rsidRPr="000B652C">
              <w:t xml:space="preserve"> whereas the national average was </w:t>
            </w:r>
            <w:r w:rsidRPr="000B652C">
              <w:rPr>
                <w:rStyle w:val="Strong"/>
                <w:b w:val="0"/>
              </w:rPr>
              <w:t>14.1 goals</w:t>
            </w:r>
            <w:r w:rsidRPr="000B652C">
              <w:rPr>
                <w:b/>
              </w:rPr>
              <w:t>.</w:t>
            </w:r>
            <w:r w:rsidRPr="000B652C">
              <w:t xml:space="preserve"> The proportion of pupils achieving a </w:t>
            </w:r>
            <w:r w:rsidRPr="000B652C">
              <w:rPr>
                <w:rStyle w:val="Strong"/>
                <w:b w:val="0"/>
              </w:rPr>
              <w:t>Good Level of Development (GLD)</w:t>
            </w:r>
            <w:r w:rsidRPr="000B652C">
              <w:t xml:space="preserve"> in our setting was </w:t>
            </w:r>
            <w:r w:rsidRPr="000B652C">
              <w:rPr>
                <w:rStyle w:val="Strong"/>
                <w:b w:val="0"/>
              </w:rPr>
              <w:t>59%</w:t>
            </w:r>
            <w:r w:rsidRPr="000B652C">
              <w:rPr>
                <w:b/>
              </w:rPr>
              <w:t>,</w:t>
            </w:r>
            <w:r w:rsidRPr="000B652C">
              <w:t xml:space="preserve"> compared to the national figure of </w:t>
            </w:r>
            <w:r w:rsidRPr="000B652C">
              <w:rPr>
                <w:rStyle w:val="Strong"/>
                <w:b w:val="0"/>
              </w:rPr>
              <w:t>67.7%</w:t>
            </w:r>
            <w:r w:rsidRPr="000B652C">
              <w:t xml:space="preserve"> for all pupils in 2024/2025</w:t>
            </w:r>
          </w:p>
          <w:p w14:paraId="32AB2BA1" w14:textId="74361EE4" w:rsidR="009D35F6" w:rsidRDefault="000B652C" w:rsidP="00DA2721">
            <w:r w:rsidRPr="00D91FED">
              <w:rPr>
                <w:rStyle w:val="Strong"/>
              </w:rPr>
              <w:t>Year 1 Phonics Screening</w:t>
            </w:r>
            <w:r>
              <w:t xml:space="preserve"> </w:t>
            </w:r>
            <w:r w:rsidRPr="00D91FED">
              <w:rPr>
                <w:b/>
              </w:rPr>
              <w:t>–</w:t>
            </w:r>
            <w:r>
              <w:t xml:space="preserve"> In 2024/2025,</w:t>
            </w:r>
            <w:r w:rsidRPr="000B652C">
              <w:rPr>
                <w:b/>
              </w:rPr>
              <w:t xml:space="preserve"> </w:t>
            </w:r>
            <w:r w:rsidRPr="000B652C">
              <w:rPr>
                <w:rStyle w:val="Strong"/>
                <w:b w:val="0"/>
              </w:rPr>
              <w:t>72% of pupils passed the phonics screening check in Year 1</w:t>
            </w:r>
            <w:r w:rsidRPr="000B652C">
              <w:rPr>
                <w:b/>
              </w:rPr>
              <w:t xml:space="preserve">, </w:t>
            </w:r>
            <w:r>
              <w:t xml:space="preserve">compared to the </w:t>
            </w:r>
            <w:r w:rsidRPr="000B652C">
              <w:rPr>
                <w:rStyle w:val="Strong"/>
                <w:b w:val="0"/>
              </w:rPr>
              <w:t>national average of 80%</w:t>
            </w:r>
            <w:r w:rsidRPr="000B652C">
              <w:rPr>
                <w:b/>
              </w:rPr>
              <w:t>.</w:t>
            </w:r>
            <w:r>
              <w:t xml:space="preserve"> Among pupils eligible for Pupil Premium funding, </w:t>
            </w:r>
            <w:r w:rsidRPr="000B652C">
              <w:rPr>
                <w:rStyle w:val="Strong"/>
                <w:b w:val="0"/>
              </w:rPr>
              <w:t>45% passed in Year 1</w:t>
            </w:r>
            <w:r w:rsidRPr="000B652C">
              <w:rPr>
                <w:b/>
              </w:rPr>
              <w:t>,</w:t>
            </w:r>
            <w:r>
              <w:t xml:space="preserve"> compared to the </w:t>
            </w:r>
            <w:r w:rsidRPr="000B652C">
              <w:rPr>
                <w:rStyle w:val="Strong"/>
                <w:b w:val="0"/>
              </w:rPr>
              <w:t>national disadvantaged average of 68%</w:t>
            </w:r>
            <w:r w:rsidRPr="000B652C">
              <w:rPr>
                <w:b/>
              </w:rPr>
              <w:t xml:space="preserve">. </w:t>
            </w:r>
            <w:r>
              <w:t xml:space="preserve">For those disadvantaged pupils who completed the phonics retake in Year 2, </w:t>
            </w:r>
            <w:r w:rsidRPr="000B652C">
              <w:rPr>
                <w:rStyle w:val="Strong"/>
                <w:b w:val="0"/>
              </w:rPr>
              <w:t>66% achieved the expected standard</w:t>
            </w:r>
            <w:r w:rsidRPr="000B652C">
              <w:rPr>
                <w:b/>
              </w:rPr>
              <w:t>.</w:t>
            </w:r>
            <w:r>
              <w:t xml:space="preserve"> All pupils considered disadvantaged completed their phonics screening checks and by the end of Year 2, </w:t>
            </w:r>
            <w:r w:rsidRPr="000B652C">
              <w:rPr>
                <w:rStyle w:val="Strong"/>
                <w:b w:val="0"/>
              </w:rPr>
              <w:t>87% of all pupils had passed</w:t>
            </w:r>
            <w:r w:rsidRPr="000B652C">
              <w:rPr>
                <w:b/>
              </w:rPr>
              <w:t>,</w:t>
            </w:r>
            <w:r>
              <w:t xml:space="preserve"> which is </w:t>
            </w:r>
            <w:r w:rsidRPr="000B652C">
              <w:rPr>
                <w:rStyle w:val="Strong"/>
                <w:b w:val="0"/>
              </w:rPr>
              <w:t>slightly below the national average of 89%</w:t>
            </w:r>
            <w:r>
              <w:t xml:space="preserve"> for 2024/2025.</w:t>
            </w:r>
          </w:p>
          <w:p w14:paraId="1329A954" w14:textId="2881B04C" w:rsidR="000B652C" w:rsidRDefault="000B652C" w:rsidP="00DA2721">
            <w:r w:rsidRPr="00D91FED">
              <w:rPr>
                <w:b/>
                <w:bCs/>
              </w:rPr>
              <w:t>End of Year 2</w:t>
            </w:r>
            <w:r w:rsidRPr="000B652C">
              <w:t xml:space="preserve"> </w:t>
            </w:r>
            <w:r w:rsidRPr="00D91FED">
              <w:rPr>
                <w:b/>
              </w:rPr>
              <w:t>–</w:t>
            </w:r>
            <w:r w:rsidRPr="000B652C">
              <w:t xml:space="preserve"> By the end of the academic year, </w:t>
            </w:r>
            <w:r w:rsidRPr="000B652C">
              <w:rPr>
                <w:bCs/>
              </w:rPr>
              <w:t>71% of disadvantaged pupils achieved age-related expectations (ARE) across reading, writing, and mathematics</w:t>
            </w:r>
            <w:r w:rsidRPr="000B652C">
              <w:t xml:space="preserve">. Additionally, </w:t>
            </w:r>
            <w:r w:rsidRPr="000B652C">
              <w:rPr>
                <w:bCs/>
              </w:rPr>
              <w:t>28% of these pupils reached greater depth in reading</w:t>
            </w:r>
            <w:r w:rsidRPr="000B652C">
              <w:t>, demonstrating strong attainment for a significant proportion of learners</w:t>
            </w:r>
            <w:r w:rsidR="00EE6805">
              <w:t xml:space="preserve">. </w:t>
            </w:r>
          </w:p>
          <w:p w14:paraId="170F6AD4" w14:textId="1A9C6F8D" w:rsidR="000B652C" w:rsidRDefault="00EE6805" w:rsidP="00DA2721">
            <w:pPr>
              <w:numPr>
                <w:ilvl w:val="0"/>
                <w:numId w:val="1"/>
              </w:numPr>
            </w:pPr>
            <w:r w:rsidRPr="00D91FED">
              <w:rPr>
                <w:b/>
                <w:bCs/>
              </w:rPr>
              <w:t>End of Year 6 SATs</w:t>
            </w:r>
            <w:r w:rsidRPr="00D91FED">
              <w:rPr>
                <w:b/>
              </w:rPr>
              <w:t xml:space="preserve"> –</w:t>
            </w:r>
            <w:r w:rsidRPr="00EE6805">
              <w:t xml:space="preserve"> At the end of Key Stage 2 in 2024/2025, </w:t>
            </w:r>
            <w:r w:rsidRPr="00EE6805">
              <w:rPr>
                <w:bCs/>
              </w:rPr>
              <w:t>78% of pupils achieved the expected standard in reading, 75% in writing and 75% in mathematics</w:t>
            </w:r>
            <w:r w:rsidRPr="00EE6805">
              <w:t xml:space="preserve">, giving a </w:t>
            </w:r>
            <w:r w:rsidRPr="00EE6805">
              <w:rPr>
                <w:bCs/>
              </w:rPr>
              <w:t>combined average of 76% across the three subjects</w:t>
            </w:r>
            <w:r w:rsidRPr="00EE6805">
              <w:t xml:space="preserve">. Overall, </w:t>
            </w:r>
            <w:r w:rsidRPr="00EE6805">
              <w:rPr>
                <w:bCs/>
              </w:rPr>
              <w:t>88% of pupils identified as disadvantaged passed their SATs</w:t>
            </w:r>
            <w:r w:rsidRPr="00EE6805">
              <w:t xml:space="preserve">, representing a significant improvement </w:t>
            </w:r>
            <w:r>
              <w:t>in</w:t>
            </w:r>
            <w:r w:rsidRPr="00EE6805">
              <w:t xml:space="preserve"> attainment</w:t>
            </w:r>
            <w:r>
              <w:t xml:space="preserve"> from p</w:t>
            </w:r>
            <w:r w:rsidRPr="00EE6805">
              <w:t xml:space="preserve">revious years. Nationally, </w:t>
            </w:r>
            <w:r w:rsidRPr="00EE6805">
              <w:rPr>
                <w:bCs/>
              </w:rPr>
              <w:t>75% of pupils met the expected standard in reading, 72% in writing, and 74% in mathematics</w:t>
            </w:r>
            <w:r w:rsidRPr="00EE6805">
              <w:t xml:space="preserve">, with </w:t>
            </w:r>
            <w:r w:rsidRPr="00EE6805">
              <w:rPr>
                <w:bCs/>
              </w:rPr>
              <w:t>62% achieving the combined expected standard in reading, writing, and maths</w:t>
            </w:r>
            <w:r w:rsidRPr="00EE6805">
              <w:t xml:space="preserve">. For disadvantaged pupils nationally, </w:t>
            </w:r>
            <w:r w:rsidRPr="00EE6805">
              <w:rPr>
                <w:bCs/>
              </w:rPr>
              <w:t>47% met the combined expected standard</w:t>
            </w:r>
            <w:r w:rsidRPr="00EE6805">
              <w:t>,</w:t>
            </w:r>
            <w:r>
              <w:t xml:space="preserve"> </w:t>
            </w:r>
            <w:r w:rsidRPr="00EE6805">
              <w:t>highlighting that our disadvantaged cohort performed well above the national average for this group.</w:t>
            </w:r>
          </w:p>
          <w:p w14:paraId="5E68A071" w14:textId="0C81F5ED" w:rsidR="00EE6805" w:rsidRPr="00EE6805" w:rsidRDefault="00EE6805" w:rsidP="00EE6805">
            <w:pPr>
              <w:numPr>
                <w:ilvl w:val="0"/>
                <w:numId w:val="1"/>
              </w:numPr>
            </w:pPr>
            <w:r w:rsidRPr="00D91FED">
              <w:rPr>
                <w:b/>
                <w:bCs/>
              </w:rPr>
              <w:t>Emotional and Wellbeing Support</w:t>
            </w:r>
            <w:r w:rsidRPr="00D91FED">
              <w:rPr>
                <w:b/>
              </w:rPr>
              <w:t xml:space="preserve"> –</w:t>
            </w:r>
            <w:r w:rsidRPr="00EE6805">
              <w:t xml:space="preserve"> Approximately </w:t>
            </w:r>
            <w:r w:rsidRPr="00EE6805">
              <w:rPr>
                <w:bCs/>
              </w:rPr>
              <w:t>60% of disadvantaged pupils accessed a period of Thrive support</w:t>
            </w:r>
            <w:r w:rsidRPr="00EE6805">
              <w:t xml:space="preserve">, with ongoing access provided as needed to promote emotional resilience and social development. In addition, around </w:t>
            </w:r>
            <w:r w:rsidRPr="00EE6805">
              <w:rPr>
                <w:bCs/>
              </w:rPr>
              <w:t>10% of disadvantaged pupils received targeted intervention through WEST</w:t>
            </w:r>
            <w:r w:rsidRPr="00EE6805">
              <w:t>, an external agency delivering specialist emotional and wellbeing support, or participated in a short, focused series of sessions delivered by our</w:t>
            </w:r>
            <w:r>
              <w:t xml:space="preserve"> newly</w:t>
            </w:r>
            <w:r w:rsidRPr="00EE6805">
              <w:t xml:space="preserve"> trained </w:t>
            </w:r>
            <w:r w:rsidRPr="00EE6805">
              <w:rPr>
                <w:bCs/>
              </w:rPr>
              <w:t>ELSA practitioner</w:t>
            </w:r>
            <w:r w:rsidRPr="00EE6805">
              <w:t>.</w:t>
            </w:r>
          </w:p>
          <w:p w14:paraId="5D134C11" w14:textId="77777777" w:rsidR="00EE6805" w:rsidRDefault="00EE6805" w:rsidP="00EE6805">
            <w:pPr>
              <w:spacing w:before="60"/>
            </w:pPr>
            <w:r w:rsidRPr="00D91FED">
              <w:rPr>
                <w:b/>
              </w:rPr>
              <w:t>Family and Financial Support –</w:t>
            </w:r>
            <w:r>
              <w:t xml:space="preserve"> Around 10% of disadvantaged families requested assistance with costs for school uniforms and trips. To ensure equitable access, the school provided up to 50% discounts on trips, fully funded places where possible, and </w:t>
            </w:r>
            <w:r>
              <w:lastRenderedPageBreak/>
              <w:t xml:space="preserve">additional support through school uniform vouchers and food vouchers to help alleviate financial pressures. The Pupil Premium Mentor works closely with the Family Support Worker to advise on available support and signpost families seeking financial assistance. At the start of the academic year, letters were sent to all eligible families outlining Pupil Premium entitlement and clear guidance on how to access support. Further engagement with the mentor is planned to strengthen communication and increase uptake of available resources. These measures have helped reduce financial barriers, ensuring that disadvantaged pupils can participate fully in school life. This has contributed to improved engagement, inclusion and access to enrichment opportunities, supporting both academic progress and personal development. </w:t>
            </w:r>
          </w:p>
          <w:p w14:paraId="5023926C" w14:textId="485A1D97" w:rsidR="0064167B" w:rsidRPr="00DA2721" w:rsidRDefault="00EE6805" w:rsidP="00EE6805">
            <w:pPr>
              <w:spacing w:before="60"/>
            </w:pPr>
            <w:r w:rsidRPr="00D91FED">
              <w:rPr>
                <w:b/>
              </w:rPr>
              <w:t>Confidence and Team-Building Opportunities –</w:t>
            </w:r>
            <w:r>
              <w:t xml:space="preserve"> Targeted trips focused on confidence building and teamwork were arranged for disadvantaged pupils, accompanied by a small group of peers. These experiences aimed to enhance group cohesion, promote independence and boost self-esteem. Feedback indicated that all pupils who attended benefited significantly, and future opportunities for similar activities are under consideration.</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pPr>
              <w:pStyle w:val="TableRowCentered"/>
              <w:jc w:val="left"/>
            </w:pPr>
          </w:p>
        </w:tc>
      </w:tr>
    </w:tbl>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92AC079"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E46C" w14:textId="77777777" w:rsidR="005B0549" w:rsidRDefault="005B0549">
      <w:pPr>
        <w:spacing w:after="0" w:line="240" w:lineRule="auto"/>
      </w:pPr>
      <w:r>
        <w:separator/>
      </w:r>
    </w:p>
  </w:endnote>
  <w:endnote w:type="continuationSeparator" w:id="0">
    <w:p w14:paraId="3A8B9770" w14:textId="77777777" w:rsidR="005B0549" w:rsidRDefault="005B0549">
      <w:pPr>
        <w:spacing w:after="0" w:line="240" w:lineRule="auto"/>
      </w:pPr>
      <w:r>
        <w:continuationSeparator/>
      </w:r>
    </w:p>
  </w:endnote>
  <w:endnote w:type="continuationNotice" w:id="1">
    <w:p w14:paraId="0A3C1343" w14:textId="77777777" w:rsidR="005B0549" w:rsidRDefault="005B0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1B899218" w:rsidR="00C373EA" w:rsidRDefault="009D71E8">
    <w:pPr>
      <w:pStyle w:val="Footer"/>
      <w:ind w:firstLine="4513"/>
    </w:pPr>
    <w:r>
      <w:fldChar w:fldCharType="begin"/>
    </w:r>
    <w:r>
      <w:instrText xml:space="preserve"> PAGE </w:instrText>
    </w:r>
    <w:r>
      <w:fldChar w:fldCharType="separate"/>
    </w:r>
    <w:r w:rsidR="00D03F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F76F" w14:textId="77777777" w:rsidR="005B0549" w:rsidRDefault="005B0549">
      <w:pPr>
        <w:spacing w:after="0" w:line="240" w:lineRule="auto"/>
      </w:pPr>
      <w:r>
        <w:separator/>
      </w:r>
    </w:p>
  </w:footnote>
  <w:footnote w:type="continuationSeparator" w:id="0">
    <w:p w14:paraId="3858469A" w14:textId="77777777" w:rsidR="005B0549" w:rsidRDefault="005B0549">
      <w:pPr>
        <w:spacing w:after="0" w:line="240" w:lineRule="auto"/>
      </w:pPr>
      <w:r>
        <w:continuationSeparator/>
      </w:r>
    </w:p>
  </w:footnote>
  <w:footnote w:type="continuationNotice" w:id="1">
    <w:p w14:paraId="6D0D1A97" w14:textId="77777777" w:rsidR="005B0549" w:rsidRDefault="005B05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035160"/>
    <w:multiLevelType w:val="hybridMultilevel"/>
    <w:tmpl w:val="2DE4FB96"/>
    <w:lvl w:ilvl="0" w:tplc="528AC91E">
      <w:start w:val="1"/>
      <w:numFmt w:val="bullet"/>
      <w:lvlText w:val=""/>
      <w:lvlJc w:val="left"/>
      <w:pPr>
        <w:ind w:left="454" w:hanging="284"/>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E692501"/>
    <w:multiLevelType w:val="hybridMultilevel"/>
    <w:tmpl w:val="BBE6E680"/>
    <w:lvl w:ilvl="0" w:tplc="528AC91E">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3562EB7"/>
    <w:multiLevelType w:val="hybridMultilevel"/>
    <w:tmpl w:val="D4B0219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61063"/>
    <w:multiLevelType w:val="hybridMultilevel"/>
    <w:tmpl w:val="B016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88A14CC"/>
    <w:multiLevelType w:val="hybridMultilevel"/>
    <w:tmpl w:val="00CCE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266079">
    <w:abstractNumId w:val="4"/>
  </w:num>
  <w:num w:numId="2" w16cid:durableId="1366366756">
    <w:abstractNumId w:val="2"/>
  </w:num>
  <w:num w:numId="3" w16cid:durableId="1454639945">
    <w:abstractNumId w:val="5"/>
  </w:num>
  <w:num w:numId="4" w16cid:durableId="618219315">
    <w:abstractNumId w:val="7"/>
  </w:num>
  <w:num w:numId="5" w16cid:durableId="2115245611">
    <w:abstractNumId w:val="0"/>
  </w:num>
  <w:num w:numId="6" w16cid:durableId="1441802885">
    <w:abstractNumId w:val="9"/>
  </w:num>
  <w:num w:numId="7" w16cid:durableId="314602215">
    <w:abstractNumId w:val="13"/>
  </w:num>
  <w:num w:numId="8" w16cid:durableId="766077288">
    <w:abstractNumId w:val="17"/>
  </w:num>
  <w:num w:numId="9" w16cid:durableId="2124808443">
    <w:abstractNumId w:val="15"/>
  </w:num>
  <w:num w:numId="10" w16cid:durableId="315450406">
    <w:abstractNumId w:val="14"/>
  </w:num>
  <w:num w:numId="11" w16cid:durableId="449591189">
    <w:abstractNumId w:val="3"/>
  </w:num>
  <w:num w:numId="12" w16cid:durableId="892469991">
    <w:abstractNumId w:val="16"/>
  </w:num>
  <w:num w:numId="13" w16cid:durableId="1743523766">
    <w:abstractNumId w:val="12"/>
  </w:num>
  <w:num w:numId="14" w16cid:durableId="1857843991">
    <w:abstractNumId w:val="10"/>
  </w:num>
  <w:num w:numId="15" w16cid:durableId="800656257">
    <w:abstractNumId w:val="18"/>
  </w:num>
  <w:num w:numId="16" w16cid:durableId="440997367">
    <w:abstractNumId w:val="11"/>
  </w:num>
  <w:num w:numId="17" w16cid:durableId="1293710226">
    <w:abstractNumId w:val="8"/>
  </w:num>
  <w:num w:numId="18" w16cid:durableId="1721634789">
    <w:abstractNumId w:val="1"/>
  </w:num>
  <w:num w:numId="19" w16cid:durableId="508908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3B48"/>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18FE"/>
    <w:rsid w:val="000A5C58"/>
    <w:rsid w:val="000A6379"/>
    <w:rsid w:val="000B0D49"/>
    <w:rsid w:val="000B203E"/>
    <w:rsid w:val="000B652C"/>
    <w:rsid w:val="000D22B0"/>
    <w:rsid w:val="000D35C9"/>
    <w:rsid w:val="000D520C"/>
    <w:rsid w:val="000D6596"/>
    <w:rsid w:val="000D6779"/>
    <w:rsid w:val="000D7682"/>
    <w:rsid w:val="000E6DF0"/>
    <w:rsid w:val="001037CB"/>
    <w:rsid w:val="0010629E"/>
    <w:rsid w:val="00113EB0"/>
    <w:rsid w:val="00114288"/>
    <w:rsid w:val="00115538"/>
    <w:rsid w:val="00116FA8"/>
    <w:rsid w:val="00120AB1"/>
    <w:rsid w:val="00123A7F"/>
    <w:rsid w:val="001278D0"/>
    <w:rsid w:val="00127F72"/>
    <w:rsid w:val="00135FEA"/>
    <w:rsid w:val="00140646"/>
    <w:rsid w:val="00147A4B"/>
    <w:rsid w:val="00151621"/>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4741"/>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6938"/>
    <w:rsid w:val="001E7739"/>
    <w:rsid w:val="001F3DB4"/>
    <w:rsid w:val="001F7564"/>
    <w:rsid w:val="00203DB9"/>
    <w:rsid w:val="00204F40"/>
    <w:rsid w:val="00205DEF"/>
    <w:rsid w:val="002112C3"/>
    <w:rsid w:val="002131E5"/>
    <w:rsid w:val="00216C8A"/>
    <w:rsid w:val="00222BAB"/>
    <w:rsid w:val="00226317"/>
    <w:rsid w:val="00231539"/>
    <w:rsid w:val="00242093"/>
    <w:rsid w:val="00243F22"/>
    <w:rsid w:val="002523E3"/>
    <w:rsid w:val="00252AD6"/>
    <w:rsid w:val="002542CE"/>
    <w:rsid w:val="00257A4E"/>
    <w:rsid w:val="00266FA5"/>
    <w:rsid w:val="00270D6A"/>
    <w:rsid w:val="00276FBA"/>
    <w:rsid w:val="00277665"/>
    <w:rsid w:val="002837AE"/>
    <w:rsid w:val="002920F4"/>
    <w:rsid w:val="002940F3"/>
    <w:rsid w:val="00295842"/>
    <w:rsid w:val="00297A43"/>
    <w:rsid w:val="002A5E0D"/>
    <w:rsid w:val="002B3574"/>
    <w:rsid w:val="002B6B74"/>
    <w:rsid w:val="002C6AE7"/>
    <w:rsid w:val="002D2D4B"/>
    <w:rsid w:val="002D3805"/>
    <w:rsid w:val="002D4529"/>
    <w:rsid w:val="002E66AE"/>
    <w:rsid w:val="002E7763"/>
    <w:rsid w:val="002F4C6F"/>
    <w:rsid w:val="002F5011"/>
    <w:rsid w:val="002F5842"/>
    <w:rsid w:val="002F7847"/>
    <w:rsid w:val="00306CB7"/>
    <w:rsid w:val="003111F5"/>
    <w:rsid w:val="00317664"/>
    <w:rsid w:val="00336200"/>
    <w:rsid w:val="00337418"/>
    <w:rsid w:val="00347FC7"/>
    <w:rsid w:val="00351D83"/>
    <w:rsid w:val="00352197"/>
    <w:rsid w:val="00353E46"/>
    <w:rsid w:val="003576C4"/>
    <w:rsid w:val="0036277A"/>
    <w:rsid w:val="00366AB0"/>
    <w:rsid w:val="003700E8"/>
    <w:rsid w:val="0037206B"/>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3F30BB"/>
    <w:rsid w:val="004044AA"/>
    <w:rsid w:val="004044C8"/>
    <w:rsid w:val="00404F3F"/>
    <w:rsid w:val="00410B5D"/>
    <w:rsid w:val="00413BEC"/>
    <w:rsid w:val="0042265E"/>
    <w:rsid w:val="00424ED7"/>
    <w:rsid w:val="00425258"/>
    <w:rsid w:val="00426217"/>
    <w:rsid w:val="00431A80"/>
    <w:rsid w:val="00435A89"/>
    <w:rsid w:val="00452267"/>
    <w:rsid w:val="00453307"/>
    <w:rsid w:val="004544E7"/>
    <w:rsid w:val="00455A02"/>
    <w:rsid w:val="00457E36"/>
    <w:rsid w:val="00460BD3"/>
    <w:rsid w:val="00462F8F"/>
    <w:rsid w:val="004708F2"/>
    <w:rsid w:val="004724DE"/>
    <w:rsid w:val="004770FE"/>
    <w:rsid w:val="0047744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17EDB"/>
    <w:rsid w:val="00520A0C"/>
    <w:rsid w:val="00526399"/>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77F"/>
    <w:rsid w:val="005A3C6B"/>
    <w:rsid w:val="005B0549"/>
    <w:rsid w:val="005B1EA5"/>
    <w:rsid w:val="005B6EB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67ABB"/>
    <w:rsid w:val="007815CE"/>
    <w:rsid w:val="00781713"/>
    <w:rsid w:val="00785285"/>
    <w:rsid w:val="0078529D"/>
    <w:rsid w:val="00785E77"/>
    <w:rsid w:val="00787DC1"/>
    <w:rsid w:val="00794070"/>
    <w:rsid w:val="007A63CA"/>
    <w:rsid w:val="007A713B"/>
    <w:rsid w:val="007A7DA0"/>
    <w:rsid w:val="007B64E5"/>
    <w:rsid w:val="007C2F04"/>
    <w:rsid w:val="007D35FC"/>
    <w:rsid w:val="007D7A75"/>
    <w:rsid w:val="007F06E5"/>
    <w:rsid w:val="007F5B8B"/>
    <w:rsid w:val="00817E9A"/>
    <w:rsid w:val="00827786"/>
    <w:rsid w:val="00827BDA"/>
    <w:rsid w:val="00830D57"/>
    <w:rsid w:val="00831F00"/>
    <w:rsid w:val="00850CA0"/>
    <w:rsid w:val="00852A2F"/>
    <w:rsid w:val="008608EE"/>
    <w:rsid w:val="00860B07"/>
    <w:rsid w:val="008616F6"/>
    <w:rsid w:val="0086259C"/>
    <w:rsid w:val="008649DF"/>
    <w:rsid w:val="008674ED"/>
    <w:rsid w:val="0087074C"/>
    <w:rsid w:val="00883F24"/>
    <w:rsid w:val="00897E1F"/>
    <w:rsid w:val="008A3C76"/>
    <w:rsid w:val="008A3E8E"/>
    <w:rsid w:val="008B2CB4"/>
    <w:rsid w:val="008B3D82"/>
    <w:rsid w:val="008B5503"/>
    <w:rsid w:val="008B6404"/>
    <w:rsid w:val="008C2C21"/>
    <w:rsid w:val="008C7DD3"/>
    <w:rsid w:val="008E000B"/>
    <w:rsid w:val="008E2926"/>
    <w:rsid w:val="008E35C6"/>
    <w:rsid w:val="008E38E6"/>
    <w:rsid w:val="008E3F49"/>
    <w:rsid w:val="008E7FBC"/>
    <w:rsid w:val="008F243B"/>
    <w:rsid w:val="008F2563"/>
    <w:rsid w:val="008F4675"/>
    <w:rsid w:val="008F50FE"/>
    <w:rsid w:val="008F69CD"/>
    <w:rsid w:val="00901E60"/>
    <w:rsid w:val="00904A66"/>
    <w:rsid w:val="00905029"/>
    <w:rsid w:val="00921A3A"/>
    <w:rsid w:val="0092287F"/>
    <w:rsid w:val="0092495B"/>
    <w:rsid w:val="0092660E"/>
    <w:rsid w:val="00933E78"/>
    <w:rsid w:val="00936519"/>
    <w:rsid w:val="00941DA3"/>
    <w:rsid w:val="00942C0C"/>
    <w:rsid w:val="00951711"/>
    <w:rsid w:val="009539E3"/>
    <w:rsid w:val="00954A5E"/>
    <w:rsid w:val="009551B2"/>
    <w:rsid w:val="0096022C"/>
    <w:rsid w:val="00964625"/>
    <w:rsid w:val="00966136"/>
    <w:rsid w:val="00980937"/>
    <w:rsid w:val="00981C1D"/>
    <w:rsid w:val="0099109C"/>
    <w:rsid w:val="009936DB"/>
    <w:rsid w:val="00993CFC"/>
    <w:rsid w:val="009A1DC2"/>
    <w:rsid w:val="009A5EEA"/>
    <w:rsid w:val="009B0906"/>
    <w:rsid w:val="009B38F2"/>
    <w:rsid w:val="009B7433"/>
    <w:rsid w:val="009C0914"/>
    <w:rsid w:val="009C27E5"/>
    <w:rsid w:val="009D24A1"/>
    <w:rsid w:val="009D35F6"/>
    <w:rsid w:val="009D3891"/>
    <w:rsid w:val="009D71E8"/>
    <w:rsid w:val="009E104B"/>
    <w:rsid w:val="009E7DE4"/>
    <w:rsid w:val="009F1DA5"/>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262CB"/>
    <w:rsid w:val="00B2700B"/>
    <w:rsid w:val="00B331E1"/>
    <w:rsid w:val="00B36A0B"/>
    <w:rsid w:val="00B572C4"/>
    <w:rsid w:val="00B60858"/>
    <w:rsid w:val="00B74D4E"/>
    <w:rsid w:val="00B75CC3"/>
    <w:rsid w:val="00B80219"/>
    <w:rsid w:val="00B87184"/>
    <w:rsid w:val="00B879CC"/>
    <w:rsid w:val="00B91453"/>
    <w:rsid w:val="00BA19A5"/>
    <w:rsid w:val="00BC078B"/>
    <w:rsid w:val="00BC3A7D"/>
    <w:rsid w:val="00BC67F6"/>
    <w:rsid w:val="00BD2004"/>
    <w:rsid w:val="00BD4B12"/>
    <w:rsid w:val="00BD700D"/>
    <w:rsid w:val="00BE2F92"/>
    <w:rsid w:val="00BE44AC"/>
    <w:rsid w:val="00BE6A7A"/>
    <w:rsid w:val="00BF0D5F"/>
    <w:rsid w:val="00BF59B3"/>
    <w:rsid w:val="00BF6F95"/>
    <w:rsid w:val="00C108E2"/>
    <w:rsid w:val="00C10BCF"/>
    <w:rsid w:val="00C11EB4"/>
    <w:rsid w:val="00C12746"/>
    <w:rsid w:val="00C23C11"/>
    <w:rsid w:val="00C25827"/>
    <w:rsid w:val="00C26C02"/>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83D5A"/>
    <w:rsid w:val="00C90F1B"/>
    <w:rsid w:val="00C97A7F"/>
    <w:rsid w:val="00CA4421"/>
    <w:rsid w:val="00CA5363"/>
    <w:rsid w:val="00CA6ACD"/>
    <w:rsid w:val="00CA7D07"/>
    <w:rsid w:val="00CB24A4"/>
    <w:rsid w:val="00CB5B17"/>
    <w:rsid w:val="00CC4443"/>
    <w:rsid w:val="00CC5CAF"/>
    <w:rsid w:val="00CC7CC5"/>
    <w:rsid w:val="00CF1521"/>
    <w:rsid w:val="00D03FEA"/>
    <w:rsid w:val="00D06874"/>
    <w:rsid w:val="00D07530"/>
    <w:rsid w:val="00D173F7"/>
    <w:rsid w:val="00D20203"/>
    <w:rsid w:val="00D204E0"/>
    <w:rsid w:val="00D21354"/>
    <w:rsid w:val="00D22400"/>
    <w:rsid w:val="00D23F4A"/>
    <w:rsid w:val="00D264E2"/>
    <w:rsid w:val="00D278BA"/>
    <w:rsid w:val="00D33FE5"/>
    <w:rsid w:val="00D348C0"/>
    <w:rsid w:val="00D3578A"/>
    <w:rsid w:val="00D4034D"/>
    <w:rsid w:val="00D43A15"/>
    <w:rsid w:val="00D4463C"/>
    <w:rsid w:val="00D501EE"/>
    <w:rsid w:val="00D517DC"/>
    <w:rsid w:val="00D528C1"/>
    <w:rsid w:val="00D5360D"/>
    <w:rsid w:val="00D5590D"/>
    <w:rsid w:val="00D618E4"/>
    <w:rsid w:val="00D61DA5"/>
    <w:rsid w:val="00D642A3"/>
    <w:rsid w:val="00D71B8A"/>
    <w:rsid w:val="00D72C08"/>
    <w:rsid w:val="00D81325"/>
    <w:rsid w:val="00D875ED"/>
    <w:rsid w:val="00D877D0"/>
    <w:rsid w:val="00D90013"/>
    <w:rsid w:val="00D91B9C"/>
    <w:rsid w:val="00D91FED"/>
    <w:rsid w:val="00D92C1B"/>
    <w:rsid w:val="00D94CC7"/>
    <w:rsid w:val="00DA1AF4"/>
    <w:rsid w:val="00DA2721"/>
    <w:rsid w:val="00DA78CA"/>
    <w:rsid w:val="00DB0C60"/>
    <w:rsid w:val="00DC641A"/>
    <w:rsid w:val="00DD072A"/>
    <w:rsid w:val="00DD1120"/>
    <w:rsid w:val="00DD21A1"/>
    <w:rsid w:val="00DD6B7D"/>
    <w:rsid w:val="00DD6E14"/>
    <w:rsid w:val="00DE15AC"/>
    <w:rsid w:val="00DF2015"/>
    <w:rsid w:val="00E061EC"/>
    <w:rsid w:val="00E10E81"/>
    <w:rsid w:val="00E13E51"/>
    <w:rsid w:val="00E21F56"/>
    <w:rsid w:val="00E3014F"/>
    <w:rsid w:val="00E4286E"/>
    <w:rsid w:val="00E43EAD"/>
    <w:rsid w:val="00E44C7C"/>
    <w:rsid w:val="00E519F1"/>
    <w:rsid w:val="00E62DCB"/>
    <w:rsid w:val="00E651DD"/>
    <w:rsid w:val="00E66558"/>
    <w:rsid w:val="00E705BE"/>
    <w:rsid w:val="00E70D81"/>
    <w:rsid w:val="00E726A6"/>
    <w:rsid w:val="00E73418"/>
    <w:rsid w:val="00E8109E"/>
    <w:rsid w:val="00E86F05"/>
    <w:rsid w:val="00E95421"/>
    <w:rsid w:val="00EA3A2A"/>
    <w:rsid w:val="00EB4556"/>
    <w:rsid w:val="00EB5964"/>
    <w:rsid w:val="00EB64C8"/>
    <w:rsid w:val="00ED4136"/>
    <w:rsid w:val="00ED5108"/>
    <w:rsid w:val="00ED6AE8"/>
    <w:rsid w:val="00EE2CB2"/>
    <w:rsid w:val="00EE6805"/>
    <w:rsid w:val="00F012CA"/>
    <w:rsid w:val="00F01752"/>
    <w:rsid w:val="00F017D2"/>
    <w:rsid w:val="00F0355A"/>
    <w:rsid w:val="00F05C44"/>
    <w:rsid w:val="00F15753"/>
    <w:rsid w:val="00F21F92"/>
    <w:rsid w:val="00F24A7E"/>
    <w:rsid w:val="00F30C40"/>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Strong">
    <w:name w:val="Strong"/>
    <w:basedOn w:val="DefaultParagraphFont"/>
    <w:uiPriority w:val="22"/>
    <w:qFormat/>
    <w:rsid w:val="00CF1521"/>
    <w:rPr>
      <w:b/>
      <w:bCs/>
    </w:rPr>
  </w:style>
  <w:style w:type="paragraph" w:styleId="NormalWeb">
    <w:name w:val="Normal (Web)"/>
    <w:basedOn w:val="Normal"/>
    <w:uiPriority w:val="99"/>
    <w:semiHidden/>
    <w:unhideWhenUsed/>
    <w:rsid w:val="00135FEA"/>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73621173">
      <w:bodyDiv w:val="1"/>
      <w:marLeft w:val="0"/>
      <w:marRight w:val="0"/>
      <w:marTop w:val="0"/>
      <w:marBottom w:val="0"/>
      <w:divBdr>
        <w:top w:val="none" w:sz="0" w:space="0" w:color="auto"/>
        <w:left w:val="none" w:sz="0" w:space="0" w:color="auto"/>
        <w:bottom w:val="none" w:sz="0" w:space="0" w:color="auto"/>
        <w:right w:val="none" w:sz="0" w:space="0" w:color="auto"/>
      </w:divBdr>
    </w:div>
    <w:div w:id="574049742">
      <w:bodyDiv w:val="1"/>
      <w:marLeft w:val="0"/>
      <w:marRight w:val="0"/>
      <w:marTop w:val="0"/>
      <w:marBottom w:val="0"/>
      <w:divBdr>
        <w:top w:val="none" w:sz="0" w:space="0" w:color="auto"/>
        <w:left w:val="none" w:sz="0" w:space="0" w:color="auto"/>
        <w:bottom w:val="none" w:sz="0" w:space="0" w:color="auto"/>
        <w:right w:val="none" w:sz="0" w:space="0" w:color="auto"/>
      </w:divBdr>
    </w:div>
    <w:div w:id="1280793100">
      <w:bodyDiv w:val="1"/>
      <w:marLeft w:val="0"/>
      <w:marRight w:val="0"/>
      <w:marTop w:val="0"/>
      <w:marBottom w:val="0"/>
      <w:divBdr>
        <w:top w:val="none" w:sz="0" w:space="0" w:color="auto"/>
        <w:left w:val="none" w:sz="0" w:space="0" w:color="auto"/>
        <w:bottom w:val="none" w:sz="0" w:space="0" w:color="auto"/>
        <w:right w:val="none" w:sz="0" w:space="0" w:color="auto"/>
      </w:divBdr>
    </w:div>
    <w:div w:id="212699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phonics?utm_source=chatgpt.com" TargetMode="External"/><Relationship Id="rId13" Type="http://schemas.openxmlformats.org/officeDocument/2006/relationships/hyperlink" Target="https://d2tic4wvo1iusb.cloudfront.net/production/eef-guidance-reports/literacy-ks2/EEF-Improving-literacy-in-key-stage-2-report-Second-edition.pdf?v=169140491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teaching-learning-toolkit/phonics?utm_source=chatgpt.com" TargetMode="External"/><Relationship Id="rId12" Type="http://schemas.openxmlformats.org/officeDocument/2006/relationships/hyperlink" Target="https://educationendowmentfoundation.org.uk/news/what-does-the-evidence-base-tell-us-about-effective-oral-language-practice?utm_source=chatgp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news/what-does-the-evidence-base-tell-us-about-effective-oral-language-practice?utm_source=chatgpt.com"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leadership-and-planning/supporting-attendance/summary-of-evidence?utm_source=chatgpt.com" TargetMode="External"/><Relationship Id="rId10" Type="http://schemas.openxmlformats.org/officeDocument/2006/relationships/hyperlink" Target="https://educationendowmentfoundation.org.uk/education-evidence/teaching-learning-toolkit/oral-language-interventions?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ral-language-interventions?utm_source=chatgpt.com" TargetMode="External"/><Relationship Id="rId14" Type="http://schemas.openxmlformats.org/officeDocument/2006/relationships/hyperlink" Target="https://educationendowmentfoundation.org.uk/education-evidence/leadership-and-planning/supporting-attendance/summary-of-evidenc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3073</Words>
  <Characters>15830</Characters>
  <Application>Microsoft Office Word</Application>
  <DocSecurity>0</DocSecurity>
  <Lines>386</Lines>
  <Paragraphs>194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Charlie Jones</cp:lastModifiedBy>
  <cp:revision>2</cp:revision>
  <cp:lastPrinted>2014-09-18T05:26:00Z</cp:lastPrinted>
  <dcterms:created xsi:type="dcterms:W3CDTF">2025-12-17T11:30:00Z</dcterms:created>
  <dcterms:modified xsi:type="dcterms:W3CDTF">2025-12-17T11:30:00Z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GrammarlyDocumentId">
    <vt:lpwstr>871534bf-41a3-4d77-b875-0701b239e435</vt:lpwstr>
  </property>
</Properties>
</file>