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5CC2" w14:textId="509AB94E" w:rsidR="005E18CB" w:rsidRDefault="009D71E8" w:rsidP="00202B62">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5A1C3D">
        <w:t>St Peter’ CE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7B1AABC" w:rsidR="002940F3" w:rsidRDefault="0021648F">
            <w:pPr>
              <w:pStyle w:val="TableRow"/>
            </w:pPr>
            <w:r>
              <w:t>131</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D0ED87D" w:rsidR="002940F3" w:rsidRDefault="0021648F">
            <w:pPr>
              <w:pStyle w:val="TableRow"/>
            </w:pPr>
            <w:r>
              <w:t>52</w:t>
            </w:r>
            <w:r w:rsidR="005A1C3D">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67EAB68" w:rsidR="002940F3" w:rsidRDefault="005A1C3D">
            <w:pPr>
              <w:pStyle w:val="TableRow"/>
            </w:pPr>
            <w:r>
              <w:t>2024/25</w:t>
            </w:r>
            <w:r w:rsidR="0021648F">
              <w:t>, 25/26, 26/27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1103996" w:rsidR="002940F3" w:rsidRDefault="0021648F">
            <w:pPr>
              <w:pStyle w:val="TableRow"/>
            </w:pPr>
            <w:r>
              <w:t>December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8C6A020" w:rsidR="002940F3" w:rsidRDefault="0021648F" w:rsidP="005A1C3D">
            <w:pPr>
              <w:pStyle w:val="TableRow"/>
              <w:ind w:left="0"/>
            </w:pPr>
            <w:r>
              <w:t>July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D22F6" w14:textId="77777777" w:rsidR="002940F3" w:rsidRDefault="005A1C3D">
            <w:pPr>
              <w:pStyle w:val="TableRow"/>
            </w:pPr>
            <w:r>
              <w:t xml:space="preserve">Emma Moss, Headteacher </w:t>
            </w:r>
          </w:p>
          <w:p w14:paraId="2A7D54C8" w14:textId="0AD7C069" w:rsidR="005A1C3D" w:rsidRDefault="005A1C3D">
            <w:pPr>
              <w:pStyle w:val="TableRow"/>
            </w:pP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2943A9" w14:textId="77777777" w:rsidR="005A1C3D" w:rsidRDefault="005A1C3D" w:rsidP="005A1C3D">
            <w:pPr>
              <w:pStyle w:val="TableRow"/>
            </w:pPr>
            <w:r>
              <w:t xml:space="preserve">Emma Moss, Headteacher </w:t>
            </w:r>
          </w:p>
          <w:p w14:paraId="2A7D54CB" w14:textId="77777777" w:rsidR="002940F3" w:rsidRDefault="002940F3">
            <w:pPr>
              <w:pStyle w:val="TableRow"/>
            </w:pP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BA1E4A2" w:rsidR="002940F3" w:rsidRDefault="005A1C3D">
            <w:pPr>
              <w:pStyle w:val="TableRow"/>
            </w:pPr>
            <w:r>
              <w:t>Hannah Rigby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448D67A" w:rsidR="00E66558" w:rsidRDefault="009D71E8">
            <w:pPr>
              <w:pStyle w:val="TableRow"/>
            </w:pPr>
            <w:r>
              <w:t>£</w:t>
            </w:r>
            <w:r w:rsidR="00FF2F3E">
              <w:t xml:space="preserve">    </w:t>
            </w:r>
            <w:r w:rsidR="0021648F">
              <w:t>103 600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8ABBDC3" w:rsidR="00E66558" w:rsidRDefault="009D71E8">
            <w:pPr>
              <w:pStyle w:val="TableRow"/>
            </w:pPr>
            <w:r>
              <w:t>£</w:t>
            </w:r>
            <w:r w:rsidR="00FF2F3E">
              <w:t xml:space="preserve">   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AEE3473" w:rsidR="00E66558" w:rsidRDefault="009D71E8">
            <w:pPr>
              <w:pStyle w:val="TableRow"/>
            </w:pPr>
            <w:r>
              <w:t>£</w:t>
            </w:r>
            <w:r w:rsidR="0021648F">
              <w:t xml:space="preserve"> 103 600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67947F96" w:rsidR="00E66558" w:rsidRPr="00532993" w:rsidRDefault="00532993" w:rsidP="00532993">
            <w:pPr>
              <w:ind w:left="720" w:hanging="360"/>
              <w:rPr>
                <w:i/>
                <w:iCs/>
              </w:rPr>
            </w:pPr>
            <w:r>
              <w:t xml:space="preserve">      </w:t>
            </w:r>
            <w:r w:rsidRPr="00532993">
              <w:t>Our belief is - and research evidence shows (e.g. from The Sutton Trust, EEF, John Hattie, Ofsted, DfE Reports, Michael Barber) - that quality of teaching and learning is the most important factor in the achievement of all pupils. This is particularly true for pupils from areas with a high deprivation indicator. Children attending  St Peter’s CE Primary School come from the highest quintile of deprivation. The development of a high quality, wide and progressive curriculum, with opportunities for personal development, is central to the School Improvement Plan. This provision will have the biggest positive effect on our most disadvantaged pupils; ensuring the gap closes between the most disadvantaged and the most advantaged pupils in our school community. Our focus on providing high quality continuous profession development  ensures that  all staff members are supported in developing the skillsets needed to enable our children to make rapid progress from low starting points and secure levels of high attainment, across all year groups and at the end of each Key Stage. The d</w:t>
            </w:r>
            <w:r w:rsidR="00821DC3">
              <w:t>rive for continuous improvement</w:t>
            </w:r>
            <w:r w:rsidRPr="00532993">
              <w:t xml:space="preserve"> ensures that  children access a high quality education.     While we know that enriching classroom experiences are paramount in the Early Years, we also know that providing enhancements and enrichments to the curriculum are just as important. Experiencing the broader world is a crucial factor before joining it. In addition, some children will need more time and/or support to ensure they are able to fulfil their potential. In these cases, additional targeted intervention and support strategies are provided and the impact of these is reviewed regularly.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875D" w14:textId="77777777" w:rsidR="0011185C" w:rsidRDefault="009F057B" w:rsidP="009F057B">
            <w:pPr>
              <w:pStyle w:val="TableRowCentered"/>
              <w:ind w:left="0"/>
              <w:jc w:val="left"/>
            </w:pPr>
            <w:r>
              <w:t xml:space="preserve">On entry assessments to our Reception class in the last three years show that the vast majority of our disadvantaged pupils start school with well below age related expectations.  The gap narrows but remains </w:t>
            </w:r>
            <w:r w:rsidR="0011185C">
              <w:t xml:space="preserve">significant in each of the core subjects to the end of Key Stage 2.  </w:t>
            </w:r>
          </w:p>
          <w:p w14:paraId="2A7D54F1" w14:textId="4CA2CE70" w:rsidR="00E66558" w:rsidRDefault="00E66558" w:rsidP="009F057B">
            <w:pPr>
              <w:pStyle w:val="TableRowCentered"/>
              <w:ind w:left="0"/>
              <w:jc w:val="left"/>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46B23" w14:textId="77777777" w:rsidR="00E66558" w:rsidRPr="005065EB" w:rsidRDefault="0011185C" w:rsidP="00132B56">
            <w:pPr>
              <w:pStyle w:val="TableRowCentered"/>
              <w:jc w:val="left"/>
              <w:rPr>
                <w:szCs w:val="24"/>
              </w:rPr>
            </w:pPr>
            <w:r>
              <w:rPr>
                <w:sz w:val="22"/>
                <w:szCs w:val="22"/>
              </w:rPr>
              <w:t>33</w:t>
            </w:r>
            <w:r w:rsidRPr="005065EB">
              <w:rPr>
                <w:szCs w:val="24"/>
              </w:rPr>
              <w:t xml:space="preserve">% of children in receipt of the Pupil Premium grant have Special Educational Needs.  </w:t>
            </w:r>
            <w:r w:rsidR="000734BE" w:rsidRPr="005065EB">
              <w:rPr>
                <w:szCs w:val="24"/>
              </w:rPr>
              <w:t xml:space="preserve">A further 35% have emotional or attendance needs.  </w:t>
            </w:r>
            <w:r w:rsidR="00132B56" w:rsidRPr="005065EB">
              <w:rPr>
                <w:szCs w:val="24"/>
              </w:rPr>
              <w:t>Assessments show that, on averag</w:t>
            </w:r>
            <w:r w:rsidR="00EE0D10" w:rsidRPr="005065EB">
              <w:rPr>
                <w:szCs w:val="24"/>
              </w:rPr>
              <w:t>e</w:t>
            </w:r>
            <w:r w:rsidR="00132B56" w:rsidRPr="005065EB">
              <w:rPr>
                <w:szCs w:val="24"/>
              </w:rPr>
              <w:t xml:space="preserve">  Pupil Premium children </w:t>
            </w:r>
            <w:r w:rsidR="00132B56" w:rsidRPr="005065EB">
              <w:rPr>
                <w:szCs w:val="24"/>
              </w:rPr>
              <w:lastRenderedPageBreak/>
              <w:t>with no identified special needs</w:t>
            </w:r>
            <w:r w:rsidR="00132B56">
              <w:rPr>
                <w:sz w:val="22"/>
                <w:szCs w:val="22"/>
              </w:rPr>
              <w:t xml:space="preserve"> </w:t>
            </w:r>
            <w:r w:rsidR="00132B56" w:rsidRPr="005065EB">
              <w:rPr>
                <w:szCs w:val="24"/>
              </w:rPr>
              <w:t xml:space="preserve">are achieving in line with national averages across the core subjects in reading and maths but not in writing.  </w:t>
            </w:r>
          </w:p>
          <w:p w14:paraId="2A7D54F4" w14:textId="1ABE501F" w:rsidR="003626F1" w:rsidRDefault="003626F1" w:rsidP="00132B56">
            <w:pPr>
              <w:pStyle w:val="TableRowCentered"/>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50360" w14:textId="77777777" w:rsidR="00132B56" w:rsidRDefault="00132B56">
            <w:pPr>
              <w:pStyle w:val="TableRowCentered"/>
              <w:jc w:val="left"/>
              <w:rPr>
                <w:sz w:val="22"/>
                <w:szCs w:val="22"/>
              </w:rPr>
            </w:pPr>
            <w:r>
              <w:rPr>
                <w:sz w:val="22"/>
                <w:szCs w:val="22"/>
              </w:rPr>
              <w:t xml:space="preserve">Assessments, observations and discussions indicate underdeveloped oral language and vocabulary gaps among many disadvantaged children.  This is evident across the school and impacting on reading, writing and maths with attainment in writing being the most greatly affected.  </w:t>
            </w:r>
          </w:p>
          <w:p w14:paraId="2A7D54F7" w14:textId="7A2AAA52" w:rsidR="00E66558" w:rsidRDefault="00E66558">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EE16" w14:textId="0418B745" w:rsidR="00B85E4A" w:rsidRDefault="00B85E4A">
            <w:pPr>
              <w:pStyle w:val="TableRowCentered"/>
              <w:jc w:val="left"/>
              <w:rPr>
                <w:iCs/>
                <w:sz w:val="22"/>
              </w:rPr>
            </w:pPr>
            <w:r>
              <w:rPr>
                <w:iCs/>
                <w:sz w:val="22"/>
              </w:rPr>
              <w:t xml:space="preserve">Internal and external assessments show that reading, writing and </w:t>
            </w:r>
            <w:r w:rsidR="00EE0D10">
              <w:rPr>
                <w:iCs/>
                <w:sz w:val="22"/>
              </w:rPr>
              <w:t>maths attainment</w:t>
            </w:r>
            <w:r>
              <w:rPr>
                <w:iCs/>
                <w:sz w:val="22"/>
              </w:rPr>
              <w:t xml:space="preserve"> amongst disadvantaged pupils with SEND is significantly lower than that of no disadvantaged pupils and there are fewer achieving </w:t>
            </w:r>
            <w:r w:rsidR="00EE0D10">
              <w:rPr>
                <w:iCs/>
                <w:sz w:val="22"/>
              </w:rPr>
              <w:t>greater</w:t>
            </w:r>
            <w:r>
              <w:rPr>
                <w:iCs/>
                <w:sz w:val="22"/>
              </w:rPr>
              <w:t xml:space="preserve"> depth. </w:t>
            </w:r>
          </w:p>
          <w:p w14:paraId="2A7D54FA" w14:textId="05053C5A" w:rsidR="00E66558" w:rsidRDefault="00E66558">
            <w:pPr>
              <w:pStyle w:val="TableRowCentered"/>
              <w:jc w:val="left"/>
              <w:rPr>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85AE" w14:textId="32C74D01" w:rsidR="00EE0D10" w:rsidRDefault="00EE0D10">
            <w:pPr>
              <w:pStyle w:val="TableRowCentered"/>
              <w:jc w:val="left"/>
              <w:rPr>
                <w:iCs/>
                <w:sz w:val="22"/>
              </w:rPr>
            </w:pPr>
            <w:r>
              <w:rPr>
                <w:iCs/>
                <w:sz w:val="22"/>
              </w:rPr>
              <w:t>Our attendance data over the last year indicates that attendance rates among disadvantaged children has been 92%</w:t>
            </w:r>
            <w:r w:rsidR="003626F1">
              <w:rPr>
                <w:iCs/>
                <w:sz w:val="22"/>
              </w:rPr>
              <w:t>,</w:t>
            </w:r>
            <w:r>
              <w:rPr>
                <w:iCs/>
                <w:sz w:val="22"/>
              </w:rPr>
              <w:t xml:space="preserve"> which is lower than the school target of 96%.  28% of children receiving the Pupil Premium grant have attendance lower than 90% and are therefore persistent absentees.  </w:t>
            </w:r>
          </w:p>
          <w:p w14:paraId="2A7D54FD" w14:textId="5C4DC42B" w:rsidR="00E66558" w:rsidRDefault="00E66558">
            <w:pPr>
              <w:pStyle w:val="TableRowCentered"/>
              <w:jc w:val="left"/>
              <w:rPr>
                <w:iCs/>
                <w:sz w:val="22"/>
              </w:rPr>
            </w:pPr>
          </w:p>
        </w:tc>
      </w:tr>
      <w:tr w:rsidR="003626F1" w14:paraId="3A5B7BB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CBBA" w14:textId="7778813F" w:rsidR="003626F1" w:rsidRDefault="003626F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CAE23" w14:textId="77777777" w:rsidR="003626F1" w:rsidRDefault="003626F1">
            <w:pPr>
              <w:pStyle w:val="TableRowCentered"/>
              <w:jc w:val="left"/>
              <w:rPr>
                <w:iCs/>
                <w:sz w:val="22"/>
              </w:rPr>
            </w:pPr>
            <w:r>
              <w:rPr>
                <w:iCs/>
                <w:sz w:val="22"/>
              </w:rPr>
              <w:t xml:space="preserve">Our assessments, observations and discussions with families have identified social and emotional issues for many pupils as well as a lack of enrichment opportunities.  These challenges particularly affect disadvantaged pupils.  </w:t>
            </w:r>
          </w:p>
          <w:p w14:paraId="2C1846A9" w14:textId="6C5C274D" w:rsidR="003626F1" w:rsidRDefault="003626F1">
            <w:pPr>
              <w:pStyle w:val="TableRowCentered"/>
              <w:jc w:val="left"/>
              <w:rPr>
                <w:iCs/>
                <w:sz w:val="22"/>
              </w:rPr>
            </w:pP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DA0C" w14:textId="77777777" w:rsidR="005065EB" w:rsidRPr="005065EB" w:rsidRDefault="005065EB" w:rsidP="005065EB">
            <w:pPr>
              <w:pStyle w:val="TableRow"/>
              <w:ind w:left="0"/>
              <w:rPr>
                <w:iCs/>
              </w:rPr>
            </w:pPr>
            <w:r w:rsidRPr="005065EB">
              <w:rPr>
                <w:iCs/>
              </w:rPr>
              <w:t xml:space="preserve">Improved oral language skills and vocabulary among disadvantaged pupils. </w:t>
            </w:r>
          </w:p>
          <w:p w14:paraId="2A7D5504" w14:textId="50EE10F1" w:rsidR="00E66558" w:rsidRPr="005065EB" w:rsidRDefault="00E66558" w:rsidP="005065EB">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B1B2A" w14:textId="77777777" w:rsidR="005065EB" w:rsidRPr="005065EB" w:rsidRDefault="005065EB">
            <w:pPr>
              <w:pStyle w:val="TableRowCentered"/>
              <w:jc w:val="left"/>
              <w:rPr>
                <w:szCs w:val="24"/>
              </w:rPr>
            </w:pPr>
            <w:r w:rsidRPr="005065EB">
              <w:rPr>
                <w:szCs w:val="24"/>
              </w:rPr>
              <w:t xml:space="preserve">Assessments and observations indicate improved oral language and understanding among disadvantaged pupils.  This is evidence when triangulated with other sources of evidence, including lesson observations, book scrutiny and formative assessment. </w:t>
            </w:r>
          </w:p>
          <w:p w14:paraId="2A7D5505" w14:textId="24F26A0C" w:rsidR="00E66558" w:rsidRPr="005065EB" w:rsidRDefault="00E66558">
            <w:pPr>
              <w:pStyle w:val="TableRowCentered"/>
              <w:jc w:val="left"/>
              <w:rPr>
                <w:szCs w:val="24"/>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C836160" w:rsidR="00E66558" w:rsidRPr="005065EB" w:rsidRDefault="005065EB">
            <w:pPr>
              <w:pStyle w:val="TableRow"/>
              <w:rPr>
                <w:sz w:val="22"/>
                <w:szCs w:val="22"/>
              </w:rPr>
            </w:pPr>
            <w:r>
              <w:rPr>
                <w:sz w:val="22"/>
                <w:szCs w:val="22"/>
              </w:rPr>
              <w:t xml:space="preserve">Improved reading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B2802" w14:textId="557F2D5F" w:rsidR="00EB0297" w:rsidRDefault="00220FE9" w:rsidP="00EB0297">
            <w:pPr>
              <w:pStyle w:val="TableRowCentered"/>
              <w:jc w:val="left"/>
              <w:rPr>
                <w:sz w:val="22"/>
                <w:szCs w:val="22"/>
              </w:rPr>
            </w:pPr>
            <w:r>
              <w:rPr>
                <w:sz w:val="22"/>
                <w:szCs w:val="22"/>
              </w:rPr>
              <w:t>KS2 reading outcomes in 2025/26</w:t>
            </w:r>
            <w:r w:rsidR="005065EB">
              <w:rPr>
                <w:sz w:val="22"/>
                <w:szCs w:val="22"/>
              </w:rPr>
              <w:t xml:space="preserve"> show more than </w:t>
            </w:r>
            <w:r w:rsidR="00CD5374">
              <w:rPr>
                <w:sz w:val="22"/>
                <w:szCs w:val="22"/>
              </w:rPr>
              <w:t>70</w:t>
            </w:r>
            <w:r w:rsidR="00376E15">
              <w:rPr>
                <w:sz w:val="22"/>
                <w:szCs w:val="22"/>
              </w:rPr>
              <w:t xml:space="preserve">% of disadvantage pupils met the expected standard with over 14% achieving Greater Depth.  </w:t>
            </w:r>
          </w:p>
          <w:p w14:paraId="2A7D5508" w14:textId="3A900BA2" w:rsidR="00E66558" w:rsidRPr="005065EB" w:rsidRDefault="00E66558" w:rsidP="00EB0297">
            <w:pPr>
              <w:pStyle w:val="TableRowCentered"/>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6947EAD" w:rsidR="00E66558" w:rsidRPr="005065EB" w:rsidRDefault="00376E15">
            <w:pPr>
              <w:pStyle w:val="TableRow"/>
              <w:rPr>
                <w:sz w:val="22"/>
                <w:szCs w:val="22"/>
              </w:rPr>
            </w:pPr>
            <w:r>
              <w:rPr>
                <w:sz w:val="22"/>
                <w:szCs w:val="22"/>
              </w:rPr>
              <w:t>I</w:t>
            </w:r>
            <w:r w:rsidR="00CD5374">
              <w:rPr>
                <w:sz w:val="22"/>
                <w:szCs w:val="22"/>
              </w:rPr>
              <w:t>mproved maths</w:t>
            </w:r>
            <w:r>
              <w:rPr>
                <w:sz w:val="22"/>
                <w:szCs w:val="22"/>
              </w:rPr>
              <w:t xml:space="preserve">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2CA9" w14:textId="1D434F31" w:rsidR="00CD5374" w:rsidRDefault="00CD5374" w:rsidP="00CD5374">
            <w:pPr>
              <w:pStyle w:val="TableRowCentered"/>
              <w:jc w:val="left"/>
              <w:rPr>
                <w:sz w:val="22"/>
                <w:szCs w:val="22"/>
              </w:rPr>
            </w:pPr>
            <w:r>
              <w:rPr>
                <w:sz w:val="22"/>
                <w:szCs w:val="22"/>
              </w:rPr>
              <w:t>KS2 re</w:t>
            </w:r>
            <w:r w:rsidR="00220FE9">
              <w:rPr>
                <w:sz w:val="22"/>
                <w:szCs w:val="22"/>
              </w:rPr>
              <w:t>ading outcomes in 2025/26</w:t>
            </w:r>
            <w:r>
              <w:rPr>
                <w:sz w:val="22"/>
                <w:szCs w:val="22"/>
              </w:rPr>
              <w:t xml:space="preserve"> show more than 70% of disadvantage pupils met </w:t>
            </w:r>
            <w:r>
              <w:rPr>
                <w:sz w:val="22"/>
                <w:szCs w:val="22"/>
              </w:rPr>
              <w:lastRenderedPageBreak/>
              <w:t xml:space="preserve">the expected standard with over 14% achieving Greater Depth.  </w:t>
            </w:r>
          </w:p>
          <w:p w14:paraId="2A7D550B" w14:textId="77777777" w:rsidR="00E66558" w:rsidRPr="005065EB" w:rsidRDefault="00E66558">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058936B" w:rsidR="00E66558" w:rsidRPr="005065EB" w:rsidRDefault="00CD5374">
            <w:pPr>
              <w:pStyle w:val="TableRow"/>
              <w:rPr>
                <w:sz w:val="22"/>
                <w:szCs w:val="22"/>
              </w:rPr>
            </w:pPr>
            <w:r>
              <w:rPr>
                <w:sz w:val="22"/>
                <w:szCs w:val="22"/>
              </w:rPr>
              <w:lastRenderedPageBreak/>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8147D" w14:textId="0389F145" w:rsidR="00CD5374" w:rsidRDefault="00220FE9" w:rsidP="00CD5374">
            <w:pPr>
              <w:pStyle w:val="TableRowCentered"/>
              <w:jc w:val="left"/>
              <w:rPr>
                <w:sz w:val="22"/>
                <w:szCs w:val="22"/>
              </w:rPr>
            </w:pPr>
            <w:r>
              <w:rPr>
                <w:sz w:val="22"/>
                <w:szCs w:val="22"/>
              </w:rPr>
              <w:t>KS2 writing outcomes in 2025/26</w:t>
            </w:r>
            <w:r w:rsidR="00CD5374">
              <w:rPr>
                <w:sz w:val="22"/>
                <w:szCs w:val="22"/>
              </w:rPr>
              <w:t xml:space="preserve"> show more than 70% of disadvantage pupils met the expected standard with over 14% achieving Greater Depth.  </w:t>
            </w:r>
          </w:p>
          <w:p w14:paraId="2A7D550E" w14:textId="77777777" w:rsidR="00E66558" w:rsidRPr="005065EB" w:rsidRDefault="00E66558">
            <w:pPr>
              <w:pStyle w:val="TableRowCentered"/>
              <w:jc w:val="left"/>
              <w:rPr>
                <w:sz w:val="22"/>
                <w:szCs w:val="22"/>
              </w:rPr>
            </w:pPr>
          </w:p>
        </w:tc>
      </w:tr>
      <w:tr w:rsidR="00B063BF" w14:paraId="3B7AB03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1185E" w14:textId="1FC87F75" w:rsidR="00B063BF" w:rsidRDefault="00B063BF">
            <w:pPr>
              <w:pStyle w:val="TableRow"/>
              <w:rPr>
                <w:sz w:val="22"/>
                <w:szCs w:val="22"/>
              </w:rPr>
            </w:pPr>
            <w:r>
              <w:rPr>
                <w:sz w:val="22"/>
                <w:szCs w:val="22"/>
              </w:rPr>
              <w:t xml:space="preserve">To achieve </w:t>
            </w:r>
            <w:r w:rsidR="00EB0297">
              <w:rPr>
                <w:sz w:val="22"/>
                <w:szCs w:val="22"/>
              </w:rPr>
              <w:t>and sustain improved well-</w:t>
            </w:r>
            <w:r>
              <w:rPr>
                <w:sz w:val="22"/>
                <w:szCs w:val="22"/>
              </w:rPr>
              <w:t xml:space="preserve">being for our pupils </w:t>
            </w:r>
            <w:r w:rsidR="00EB0297">
              <w:rPr>
                <w:sz w:val="22"/>
                <w:szCs w:val="22"/>
              </w:rPr>
              <w:t xml:space="preserve">in our school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035C" w14:textId="77777777" w:rsidR="00EB0297" w:rsidRDefault="00EB0297" w:rsidP="00CD5374">
            <w:pPr>
              <w:pStyle w:val="TableRowCentered"/>
              <w:jc w:val="left"/>
              <w:rPr>
                <w:sz w:val="22"/>
                <w:szCs w:val="22"/>
              </w:rPr>
            </w:pPr>
            <w:r>
              <w:rPr>
                <w:sz w:val="22"/>
                <w:szCs w:val="22"/>
              </w:rPr>
              <w:t xml:space="preserve">Sustained high levels of wellbeing by 2024/25 demonstrated by: </w:t>
            </w:r>
          </w:p>
          <w:p w14:paraId="60E46EBC" w14:textId="77777777" w:rsidR="00EB0297" w:rsidRDefault="00EB0297" w:rsidP="00CD5374">
            <w:pPr>
              <w:pStyle w:val="TableRowCentered"/>
              <w:jc w:val="left"/>
              <w:rPr>
                <w:sz w:val="22"/>
                <w:szCs w:val="22"/>
              </w:rPr>
            </w:pPr>
            <w:r>
              <w:rPr>
                <w:sz w:val="22"/>
                <w:szCs w:val="22"/>
              </w:rPr>
              <w:t>Pupil Voice data</w:t>
            </w:r>
          </w:p>
          <w:p w14:paraId="41572796" w14:textId="77777777" w:rsidR="00EB0297" w:rsidRDefault="00EB0297" w:rsidP="00CD5374">
            <w:pPr>
              <w:pStyle w:val="TableRowCentered"/>
              <w:jc w:val="left"/>
              <w:rPr>
                <w:sz w:val="22"/>
                <w:szCs w:val="22"/>
              </w:rPr>
            </w:pPr>
            <w:r>
              <w:rPr>
                <w:sz w:val="22"/>
                <w:szCs w:val="22"/>
              </w:rPr>
              <w:t xml:space="preserve">A reduction in behaviour incidents.  </w:t>
            </w:r>
          </w:p>
          <w:p w14:paraId="7288E271" w14:textId="77777777" w:rsidR="00EB0297" w:rsidRDefault="00EB0297" w:rsidP="00CD5374">
            <w:pPr>
              <w:pStyle w:val="TableRowCentered"/>
              <w:jc w:val="left"/>
              <w:rPr>
                <w:sz w:val="22"/>
                <w:szCs w:val="22"/>
              </w:rPr>
            </w:pPr>
            <w:r>
              <w:rPr>
                <w:sz w:val="22"/>
                <w:szCs w:val="22"/>
              </w:rPr>
              <w:t xml:space="preserve">An increase in participation in enrichment activities, particularly among disadvantaged pupils. </w:t>
            </w:r>
          </w:p>
          <w:p w14:paraId="2590B4F4" w14:textId="22B41B52" w:rsidR="00B063BF" w:rsidRDefault="00B063BF" w:rsidP="00CD5374">
            <w:pPr>
              <w:pStyle w:val="TableRowCentered"/>
              <w:jc w:val="left"/>
              <w:rPr>
                <w:sz w:val="22"/>
                <w:szCs w:val="22"/>
              </w:rPr>
            </w:pPr>
          </w:p>
        </w:tc>
      </w:tr>
      <w:tr w:rsidR="00EB0297" w14:paraId="788DA9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E732" w14:textId="74EFB089" w:rsidR="00EB0297" w:rsidRDefault="00EB0297">
            <w:pPr>
              <w:pStyle w:val="TableRow"/>
              <w:rPr>
                <w:sz w:val="22"/>
                <w:szCs w:val="22"/>
              </w:rPr>
            </w:pPr>
            <w:r>
              <w:rPr>
                <w:sz w:val="22"/>
                <w:szCs w:val="22"/>
              </w:rPr>
              <w:t xml:space="preserve">To achieve and sustain improved attendance for all pupils,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EE18" w14:textId="2F74CEA7" w:rsidR="00EB0297" w:rsidRDefault="00EB0297" w:rsidP="00CD5374">
            <w:pPr>
              <w:pStyle w:val="TableRowCentered"/>
              <w:jc w:val="left"/>
              <w:rPr>
                <w:sz w:val="22"/>
                <w:szCs w:val="22"/>
              </w:rPr>
            </w:pPr>
            <w:r>
              <w:rPr>
                <w:sz w:val="22"/>
                <w:szCs w:val="22"/>
              </w:rPr>
              <w:t>S</w:t>
            </w:r>
            <w:r w:rsidR="00874E29">
              <w:rPr>
                <w:sz w:val="22"/>
                <w:szCs w:val="22"/>
              </w:rPr>
              <w:t>ustained high attendance by 2025/26</w:t>
            </w:r>
            <w:bookmarkStart w:id="17" w:name="_GoBack"/>
            <w:bookmarkEnd w:id="17"/>
            <w:r>
              <w:rPr>
                <w:sz w:val="22"/>
                <w:szCs w:val="22"/>
              </w:rPr>
              <w:t xml:space="preserve"> demonstrated by: </w:t>
            </w:r>
          </w:p>
          <w:p w14:paraId="6F8FD4B3" w14:textId="77777777" w:rsidR="00EB0297" w:rsidRDefault="00EB0297" w:rsidP="00CD5374">
            <w:pPr>
              <w:pStyle w:val="TableRowCentered"/>
              <w:jc w:val="left"/>
              <w:rPr>
                <w:sz w:val="22"/>
                <w:szCs w:val="22"/>
              </w:rPr>
            </w:pPr>
            <w:r>
              <w:rPr>
                <w:sz w:val="22"/>
                <w:szCs w:val="22"/>
              </w:rPr>
              <w:t xml:space="preserve">The overall absence rate for all pupils being no more than 6%. </w:t>
            </w:r>
          </w:p>
          <w:p w14:paraId="1B696B48" w14:textId="07423CA6" w:rsidR="00EB0297" w:rsidRDefault="00EB0297" w:rsidP="00CD5374">
            <w:pPr>
              <w:pStyle w:val="TableRowCentered"/>
              <w:jc w:val="left"/>
              <w:rPr>
                <w:sz w:val="22"/>
                <w:szCs w:val="22"/>
              </w:rPr>
            </w:pPr>
            <w:r>
              <w:rPr>
                <w:sz w:val="22"/>
                <w:szCs w:val="22"/>
              </w:rPr>
              <w:t>Th</w:t>
            </w:r>
            <w:r w:rsidR="00540D24">
              <w:rPr>
                <w:sz w:val="22"/>
                <w:szCs w:val="22"/>
              </w:rPr>
              <w:t>e PA rate to be no more than 8%</w:t>
            </w:r>
            <w:r>
              <w:rPr>
                <w:sz w:val="22"/>
                <w:szCs w:val="22"/>
              </w:rPr>
              <w:t xml:space="preserve">.  The rate of absenteeism is lower for PP children than non PP children.  </w:t>
            </w:r>
          </w:p>
          <w:p w14:paraId="7AF733DD" w14:textId="2FE265D5" w:rsidR="00EB0297" w:rsidRDefault="00EB0297" w:rsidP="00EB0297">
            <w:pPr>
              <w:pStyle w:val="TableRowCentered"/>
              <w:ind w:left="0"/>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53CFC6A" w:rsidR="00E66558" w:rsidRDefault="00216984">
      <w:r>
        <w:t>Budgeted cost: £35,613</w:t>
      </w:r>
    </w:p>
    <w:tbl>
      <w:tblPr>
        <w:tblW w:w="5000" w:type="pct"/>
        <w:tblCellMar>
          <w:left w:w="10" w:type="dxa"/>
          <w:right w:w="10" w:type="dxa"/>
        </w:tblCellMar>
        <w:tblLook w:val="04A0" w:firstRow="1" w:lastRow="0" w:firstColumn="1" w:lastColumn="0" w:noHBand="0" w:noVBand="1"/>
      </w:tblPr>
      <w:tblGrid>
        <w:gridCol w:w="1929"/>
        <w:gridCol w:w="6058"/>
        <w:gridCol w:w="1499"/>
      </w:tblGrid>
      <w:tr w:rsidR="00E66558" w14:paraId="2A7D5519" w14:textId="77777777" w:rsidTr="00C96FBF">
        <w:tc>
          <w:tcPr>
            <w:tcW w:w="192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605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9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C96FBF">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4700" w14:textId="77777777" w:rsidR="00047B7A" w:rsidRDefault="00162402">
            <w:pPr>
              <w:pStyle w:val="TableRow"/>
            </w:pPr>
            <w:r>
              <w:t xml:space="preserve">Implementation of new guided reading schemes to improve </w:t>
            </w:r>
            <w:r>
              <w:lastRenderedPageBreak/>
              <w:t xml:space="preserve">reading </w:t>
            </w:r>
            <w:r w:rsidRPr="00540D24">
              <w:rPr>
                <w:sz w:val="22"/>
                <w:szCs w:val="22"/>
              </w:rPr>
              <w:t>comprehension at Key Stage 2.</w:t>
            </w:r>
          </w:p>
          <w:p w14:paraId="2A7D551A" w14:textId="674C4418" w:rsidR="00E66558" w:rsidRDefault="00162402">
            <w:pPr>
              <w:pStyle w:val="TableRow"/>
            </w:pPr>
            <w:r>
              <w:t xml:space="preserve">   </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E8DF" w14:textId="77777777" w:rsidR="00F46EFD" w:rsidRDefault="00162402" w:rsidP="00F46EFD">
            <w:pPr>
              <w:pStyle w:val="TableRowCentered"/>
              <w:ind w:left="0"/>
              <w:jc w:val="left"/>
              <w:rPr>
                <w:sz w:val="22"/>
              </w:rPr>
            </w:pPr>
            <w:r>
              <w:rPr>
                <w:sz w:val="22"/>
              </w:rPr>
              <w:lastRenderedPageBreak/>
              <w:t>Reading comprehension strategies are high impact alongside phonics it is a crucial component o</w:t>
            </w:r>
            <w:r w:rsidR="00F46EFD">
              <w:rPr>
                <w:sz w:val="22"/>
              </w:rPr>
              <w:t xml:space="preserve">f early reading instruction.  </w:t>
            </w:r>
          </w:p>
          <w:p w14:paraId="6429B544" w14:textId="090A324A" w:rsidR="00F46EFD" w:rsidRDefault="00874E29" w:rsidP="00F46EFD">
            <w:pPr>
              <w:pStyle w:val="TableRowCentered"/>
              <w:ind w:left="0"/>
              <w:jc w:val="left"/>
              <w:rPr>
                <w:sz w:val="22"/>
              </w:rPr>
            </w:pPr>
            <w:hyperlink r:id="rId11" w:history="1">
              <w:r w:rsidR="00F46EFD" w:rsidRPr="003C2B77">
                <w:rPr>
                  <w:rStyle w:val="Hyperlink"/>
                  <w:sz w:val="22"/>
                </w:rPr>
                <w:t>https://educationendowmentfoundation.org.uk/education-evidence/teaching-learning-toolkit/reading-comprehension-strategies</w:t>
              </w:r>
            </w:hyperlink>
          </w:p>
          <w:p w14:paraId="2A7D551B" w14:textId="6F0D169F" w:rsidR="00E66558" w:rsidRDefault="00E66558" w:rsidP="00F46EFD">
            <w:pPr>
              <w:pStyle w:val="TableRowCentered"/>
              <w:ind w:left="0"/>
              <w:jc w:val="left"/>
              <w:rPr>
                <w:sz w:val="22"/>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6519FD0" w:rsidR="00E66558" w:rsidRDefault="00F46EFD">
            <w:pPr>
              <w:pStyle w:val="TableRowCentered"/>
              <w:jc w:val="left"/>
              <w:rPr>
                <w:sz w:val="22"/>
              </w:rPr>
            </w:pPr>
            <w:r>
              <w:rPr>
                <w:sz w:val="22"/>
              </w:rPr>
              <w:lastRenderedPageBreak/>
              <w:t xml:space="preserve">3, 4 </w:t>
            </w:r>
          </w:p>
        </w:tc>
      </w:tr>
      <w:tr w:rsidR="00E66558" w14:paraId="2A7D5521" w14:textId="77777777" w:rsidTr="00C96FBF">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808B3" w14:textId="77777777" w:rsidR="00E66558" w:rsidRDefault="00047B7A" w:rsidP="00047B7A">
            <w:pPr>
              <w:pStyle w:val="TableRow"/>
              <w:jc w:val="both"/>
              <w:rPr>
                <w:sz w:val="22"/>
              </w:rPr>
            </w:pPr>
            <w:r>
              <w:rPr>
                <w:sz w:val="22"/>
              </w:rPr>
              <w:t xml:space="preserve">Additional staffing and resources to deliver a DFE validated phonics programme to secure phonics teaching for all pupils.  </w:t>
            </w:r>
          </w:p>
          <w:p w14:paraId="2A7D551E" w14:textId="70262360" w:rsidR="007D132F" w:rsidRPr="00047B7A" w:rsidRDefault="007D132F" w:rsidP="00047B7A">
            <w:pPr>
              <w:pStyle w:val="TableRow"/>
              <w:jc w:val="both"/>
              <w:rPr>
                <w:sz w:val="22"/>
              </w:rPr>
            </w:pP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35FD" w14:textId="77777777" w:rsidR="007B1C29" w:rsidRDefault="00047B7A">
            <w:pPr>
              <w:pStyle w:val="TableRowCentered"/>
              <w:jc w:val="left"/>
              <w:rPr>
                <w:sz w:val="22"/>
              </w:rPr>
            </w:pPr>
            <w:r>
              <w:rPr>
                <w:sz w:val="22"/>
              </w:rPr>
              <w:t xml:space="preserve">Phonics approaches have a strong evidence base that indicates a positive impact on the accuracy of word reading, particularly for disadvantaged pupils.  </w:t>
            </w:r>
          </w:p>
          <w:p w14:paraId="265F343A" w14:textId="53FD0BDF" w:rsidR="007B1C29" w:rsidRDefault="00874E29">
            <w:pPr>
              <w:pStyle w:val="TableRowCentered"/>
              <w:jc w:val="left"/>
              <w:rPr>
                <w:sz w:val="22"/>
              </w:rPr>
            </w:pPr>
            <w:hyperlink r:id="rId12" w:history="1">
              <w:r w:rsidR="007B1C29" w:rsidRPr="00C47A97">
                <w:rPr>
                  <w:rStyle w:val="Hyperlink"/>
                  <w:sz w:val="22"/>
                </w:rPr>
                <w:t>https://educationendowmentfoundation.org.uk/education-evidence/teaching-learning-toolkit/phonics</w:t>
              </w:r>
            </w:hyperlink>
          </w:p>
          <w:p w14:paraId="2A7D551F" w14:textId="783863F2" w:rsidR="00E66558" w:rsidRDefault="00E66558">
            <w:pPr>
              <w:pStyle w:val="TableRowCentered"/>
              <w:jc w:val="left"/>
              <w:rPr>
                <w:sz w:val="22"/>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C2D6CD3" w:rsidR="00E66558" w:rsidRDefault="007B1C29">
            <w:pPr>
              <w:pStyle w:val="TableRowCentered"/>
              <w:jc w:val="left"/>
              <w:rPr>
                <w:sz w:val="22"/>
              </w:rPr>
            </w:pPr>
            <w:r>
              <w:rPr>
                <w:sz w:val="22"/>
              </w:rPr>
              <w:t>2,4</w:t>
            </w:r>
          </w:p>
        </w:tc>
      </w:tr>
      <w:tr w:rsidR="007D132F" w14:paraId="089FAAA1" w14:textId="77777777" w:rsidTr="00C96FBF">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7B300" w14:textId="40761E6A" w:rsidR="00540D24" w:rsidRDefault="00540D24" w:rsidP="00047B7A">
            <w:pPr>
              <w:pStyle w:val="TableRow"/>
              <w:jc w:val="both"/>
              <w:rPr>
                <w:sz w:val="22"/>
              </w:rPr>
            </w:pPr>
            <w:r>
              <w:rPr>
                <w:sz w:val="22"/>
              </w:rPr>
              <w:t>Enhancement of our maths teaching and curriculum planning in line with DFE and EEF guidance</w:t>
            </w:r>
            <w:r w:rsidR="00992769">
              <w:rPr>
                <w:sz w:val="22"/>
              </w:rPr>
              <w:t xml:space="preserve">, implementing number fluency into all year groups.  </w:t>
            </w:r>
            <w:r>
              <w:rPr>
                <w:sz w:val="22"/>
              </w:rPr>
              <w:t xml:space="preserve"> </w:t>
            </w:r>
          </w:p>
          <w:p w14:paraId="40CE63B4" w14:textId="77777777" w:rsidR="00540D24" w:rsidRDefault="00540D24" w:rsidP="00047B7A">
            <w:pPr>
              <w:pStyle w:val="TableRow"/>
              <w:jc w:val="both"/>
              <w:rPr>
                <w:sz w:val="22"/>
              </w:rPr>
            </w:pPr>
          </w:p>
          <w:p w14:paraId="50D0243A" w14:textId="774C2FB0" w:rsidR="007D132F" w:rsidRDefault="00540D24" w:rsidP="00047B7A">
            <w:pPr>
              <w:pStyle w:val="TableRow"/>
              <w:jc w:val="both"/>
              <w:rPr>
                <w:sz w:val="22"/>
              </w:rPr>
            </w:pPr>
            <w:r>
              <w:rPr>
                <w:sz w:val="22"/>
              </w:rPr>
              <w:t xml:space="preserve"> </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8BB49" w14:textId="47A71480" w:rsidR="007D132F" w:rsidRDefault="00992769">
            <w:pPr>
              <w:pStyle w:val="TableRowCentered"/>
              <w:jc w:val="left"/>
              <w:rPr>
                <w:sz w:val="22"/>
              </w:rPr>
            </w:pPr>
            <w:r>
              <w:rPr>
                <w:sz w:val="22"/>
              </w:rPr>
              <w:t xml:space="preserve">The DFE </w:t>
            </w:r>
            <w:r w:rsidR="007C7E6E">
              <w:rPr>
                <w:sz w:val="22"/>
              </w:rPr>
              <w:t>non-</w:t>
            </w:r>
            <w:r>
              <w:rPr>
                <w:sz w:val="22"/>
              </w:rPr>
              <w:t xml:space="preserve">statutory guidance has been produced in conjunction with the National Centre for Excellence in teaching maths.  </w:t>
            </w:r>
          </w:p>
          <w:p w14:paraId="72CC54E0" w14:textId="77777777" w:rsidR="00992769" w:rsidRDefault="00992769">
            <w:pPr>
              <w:pStyle w:val="TableRowCentered"/>
              <w:jc w:val="left"/>
              <w:rPr>
                <w:sz w:val="22"/>
              </w:rPr>
            </w:pPr>
          </w:p>
          <w:p w14:paraId="40B7BE27" w14:textId="4C64AF8E" w:rsidR="00992769" w:rsidRDefault="00874E29">
            <w:pPr>
              <w:pStyle w:val="TableRowCentered"/>
              <w:jc w:val="left"/>
              <w:rPr>
                <w:sz w:val="22"/>
              </w:rPr>
            </w:pPr>
            <w:hyperlink r:id="rId13" w:history="1">
              <w:r w:rsidR="00992769" w:rsidRPr="00C47A97">
                <w:rPr>
                  <w:rStyle w:val="Hyperlink"/>
                  <w:sz w:val="22"/>
                </w:rPr>
                <w:t>https://educationendowmentfoundation.org.uk/education-evidence/guidance-reports/early-maths</w:t>
              </w:r>
            </w:hyperlink>
          </w:p>
          <w:p w14:paraId="4D26AADD" w14:textId="77777777" w:rsidR="00992769" w:rsidRDefault="00992769">
            <w:pPr>
              <w:pStyle w:val="TableRowCentered"/>
              <w:jc w:val="left"/>
              <w:rPr>
                <w:sz w:val="22"/>
              </w:rPr>
            </w:pPr>
          </w:p>
          <w:p w14:paraId="36126399" w14:textId="2DAE0B22" w:rsidR="00992769" w:rsidRDefault="00874E29">
            <w:pPr>
              <w:pStyle w:val="TableRowCentered"/>
              <w:jc w:val="left"/>
              <w:rPr>
                <w:sz w:val="22"/>
              </w:rPr>
            </w:pPr>
            <w:hyperlink r:id="rId14" w:history="1">
              <w:r w:rsidR="00992769" w:rsidRPr="00C47A97">
                <w:rPr>
                  <w:rStyle w:val="Hyperlink"/>
                  <w:sz w:val="22"/>
                </w:rPr>
                <w:t>https://educationendowmentfoundation.org.uk/education-evidence/guidance-reports/maths-ks-2-3</w:t>
              </w:r>
            </w:hyperlink>
          </w:p>
          <w:p w14:paraId="5C0A96D1" w14:textId="750E063E" w:rsidR="00992769" w:rsidRDefault="00992769">
            <w:pPr>
              <w:pStyle w:val="TableRowCentered"/>
              <w:jc w:val="left"/>
              <w:rPr>
                <w:sz w:val="22"/>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8B049" w14:textId="34CB47BC" w:rsidR="007D132F" w:rsidRDefault="00992769">
            <w:pPr>
              <w:pStyle w:val="TableRowCentered"/>
              <w:jc w:val="left"/>
              <w:rPr>
                <w:sz w:val="22"/>
              </w:rPr>
            </w:pPr>
            <w:r>
              <w:rPr>
                <w:sz w:val="22"/>
              </w:rPr>
              <w:t>4</w:t>
            </w:r>
          </w:p>
        </w:tc>
      </w:tr>
      <w:tr w:rsidR="00DE0C97" w14:paraId="2014D0AC" w14:textId="77777777" w:rsidTr="00C96FBF">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9F72E" w14:textId="76A8BBDF" w:rsidR="00DE0C97" w:rsidRDefault="002953F9" w:rsidP="00047B7A">
            <w:pPr>
              <w:pStyle w:val="TableRow"/>
              <w:jc w:val="both"/>
              <w:rPr>
                <w:sz w:val="22"/>
              </w:rPr>
            </w:pPr>
            <w:r>
              <w:rPr>
                <w:sz w:val="22"/>
              </w:rPr>
              <w:t xml:space="preserve">Develop teaching of pupil’s transcription  and sentence construction skills through extensive practice.  </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4439" w14:textId="2746FAA2" w:rsidR="002953F9" w:rsidRDefault="002953F9" w:rsidP="002953F9">
            <w:pPr>
              <w:pStyle w:val="TableRowCentered"/>
              <w:jc w:val="left"/>
              <w:rPr>
                <w:sz w:val="22"/>
              </w:rPr>
            </w:pPr>
            <w:r w:rsidRPr="002953F9">
              <w:rPr>
                <w:sz w:val="22"/>
              </w:rPr>
              <w:t>Writing is a complex task because it requires pupils to coordinate a number of different processes at on</w:t>
            </w:r>
            <w:r>
              <w:rPr>
                <w:sz w:val="22"/>
              </w:rPr>
              <w:t>ce. The Simple View of Writing</w:t>
            </w:r>
            <w:r w:rsidRPr="002953F9">
              <w:rPr>
                <w:sz w:val="22"/>
              </w:rPr>
              <w:t xml:space="preserve"> highlights three overarching processe</w:t>
            </w:r>
            <w:r>
              <w:rPr>
                <w:sz w:val="22"/>
              </w:rPr>
              <w:t xml:space="preserve">s that are essential to writing.  </w:t>
            </w:r>
          </w:p>
          <w:p w14:paraId="2B2C657C" w14:textId="77777777" w:rsidR="002953F9" w:rsidRDefault="002953F9" w:rsidP="002953F9">
            <w:pPr>
              <w:pStyle w:val="TableRowCentered"/>
              <w:jc w:val="left"/>
              <w:rPr>
                <w:sz w:val="22"/>
              </w:rPr>
            </w:pPr>
          </w:p>
          <w:p w14:paraId="57D11CD5" w14:textId="5F45CD5E" w:rsidR="002953F9" w:rsidRDefault="00874E29" w:rsidP="002953F9">
            <w:pPr>
              <w:pStyle w:val="TableRowCentered"/>
              <w:jc w:val="left"/>
              <w:rPr>
                <w:sz w:val="22"/>
              </w:rPr>
            </w:pPr>
            <w:hyperlink r:id="rId15" w:history="1">
              <w:r w:rsidR="002953F9" w:rsidRPr="00C47A97">
                <w:rPr>
                  <w:rStyle w:val="Hyperlink"/>
                  <w:sz w:val="22"/>
                </w:rPr>
                <w:t>https://educationendowmentfoundation.org.uk/education-evidence/guidance-reports/literacy-ks2</w:t>
              </w:r>
            </w:hyperlink>
          </w:p>
          <w:p w14:paraId="13E483E4" w14:textId="68034A1B" w:rsidR="002953F9" w:rsidRDefault="002953F9" w:rsidP="002953F9">
            <w:pPr>
              <w:pStyle w:val="TableRowCentered"/>
              <w:jc w:val="left"/>
              <w:rPr>
                <w:sz w:val="22"/>
              </w:rPr>
            </w:pPr>
          </w:p>
          <w:p w14:paraId="613EDDE6" w14:textId="5FA0A5D8" w:rsidR="002953F9" w:rsidRDefault="00874E29" w:rsidP="002953F9">
            <w:pPr>
              <w:pStyle w:val="TableRowCentered"/>
              <w:jc w:val="left"/>
              <w:rPr>
                <w:sz w:val="22"/>
              </w:rPr>
            </w:pPr>
            <w:hyperlink r:id="rId16" w:history="1">
              <w:r w:rsidR="002953F9" w:rsidRPr="00C47A97">
                <w:rPr>
                  <w:rStyle w:val="Hyperlink"/>
                  <w:sz w:val="22"/>
                </w:rPr>
                <w:t>https://educationendowmentfoundation.org.uk/education-evidence/guidance-reports/literacy-ks-1</w:t>
              </w:r>
            </w:hyperlink>
          </w:p>
          <w:p w14:paraId="25211EA4" w14:textId="77777777" w:rsidR="002953F9" w:rsidRDefault="002953F9" w:rsidP="002953F9">
            <w:pPr>
              <w:pStyle w:val="TableRowCentered"/>
              <w:jc w:val="left"/>
              <w:rPr>
                <w:sz w:val="22"/>
              </w:rPr>
            </w:pPr>
          </w:p>
          <w:p w14:paraId="07FC9F3E" w14:textId="0214175E" w:rsidR="00DE0C97" w:rsidRDefault="00DE0C97" w:rsidP="002953F9">
            <w:pPr>
              <w:pStyle w:val="TableRowCentered"/>
              <w:jc w:val="left"/>
              <w:rPr>
                <w:sz w:val="22"/>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5D263" w14:textId="6D8EA7FF" w:rsidR="00DE0C97" w:rsidRDefault="002953F9">
            <w:pPr>
              <w:pStyle w:val="TableRowCentered"/>
              <w:jc w:val="left"/>
              <w:rPr>
                <w:sz w:val="22"/>
              </w:rPr>
            </w:pPr>
            <w:r>
              <w:rPr>
                <w:sz w:val="22"/>
              </w:rPr>
              <w:t>4</w:t>
            </w:r>
          </w:p>
        </w:tc>
      </w:tr>
      <w:tr w:rsidR="00EB19EB" w14:paraId="20EB592A" w14:textId="77777777" w:rsidTr="00C96FBF">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48295" w14:textId="378AEE5B" w:rsidR="00EB19EB" w:rsidRDefault="00F5567D" w:rsidP="00047B7A">
            <w:pPr>
              <w:pStyle w:val="TableRow"/>
              <w:jc w:val="both"/>
              <w:rPr>
                <w:sz w:val="22"/>
              </w:rPr>
            </w:pPr>
            <w:r>
              <w:rPr>
                <w:sz w:val="22"/>
              </w:rPr>
              <w:t>Embedding oracy across the curriculum. Pu</w:t>
            </w:r>
            <w:r w:rsidR="00FF21B4">
              <w:rPr>
                <w:sz w:val="22"/>
              </w:rPr>
              <w:t>rchase resources</w:t>
            </w:r>
            <w:r>
              <w:rPr>
                <w:sz w:val="22"/>
              </w:rPr>
              <w:t>, fund s</w:t>
            </w:r>
            <w:r w:rsidR="00A26738">
              <w:rPr>
                <w:sz w:val="22"/>
              </w:rPr>
              <w:t xml:space="preserve">taff training and release time for Talk programmes.  </w:t>
            </w:r>
            <w:r>
              <w:rPr>
                <w:sz w:val="22"/>
              </w:rPr>
              <w:t xml:space="preserve"> </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EEB08" w14:textId="77777777" w:rsidR="00EB19EB" w:rsidRDefault="00F5567D" w:rsidP="002953F9">
            <w:pPr>
              <w:pStyle w:val="TableRowCentered"/>
              <w:jc w:val="left"/>
              <w:rPr>
                <w:sz w:val="22"/>
              </w:rPr>
            </w:pPr>
            <w:r>
              <w:rPr>
                <w:sz w:val="22"/>
              </w:rPr>
              <w:t xml:space="preserve">There is a strong evidence base that suggests oral language interventions and high quality classroom discussion are inexpensive to implement with high impacts on literacy.  </w:t>
            </w:r>
          </w:p>
          <w:p w14:paraId="291DD583" w14:textId="77777777" w:rsidR="00F5567D" w:rsidRDefault="00F5567D" w:rsidP="002953F9">
            <w:pPr>
              <w:pStyle w:val="TableRowCentered"/>
              <w:jc w:val="left"/>
              <w:rPr>
                <w:sz w:val="22"/>
              </w:rPr>
            </w:pPr>
          </w:p>
          <w:p w14:paraId="1D625E90" w14:textId="5CCCCDFB" w:rsidR="00F5567D" w:rsidRDefault="00874E29" w:rsidP="002953F9">
            <w:pPr>
              <w:pStyle w:val="TableRowCentered"/>
              <w:jc w:val="left"/>
              <w:rPr>
                <w:sz w:val="22"/>
              </w:rPr>
            </w:pPr>
            <w:hyperlink r:id="rId17" w:history="1">
              <w:r w:rsidR="00F5567D" w:rsidRPr="00C47A97">
                <w:rPr>
                  <w:rStyle w:val="Hyperlink"/>
                  <w:sz w:val="22"/>
                </w:rPr>
                <w:t>https://educationendowmentfoundation.org.uk/education-evidence/teaching-learning-toolkit/oral-language-interventions</w:t>
              </w:r>
            </w:hyperlink>
          </w:p>
          <w:p w14:paraId="168276A8" w14:textId="355BCA08" w:rsidR="00F5567D" w:rsidRPr="002953F9" w:rsidRDefault="00F5567D" w:rsidP="002953F9">
            <w:pPr>
              <w:pStyle w:val="TableRowCentered"/>
              <w:jc w:val="left"/>
              <w:rPr>
                <w:sz w:val="22"/>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ECD6B" w14:textId="1D815CE3" w:rsidR="00EB19EB" w:rsidRDefault="0006153C">
            <w:pPr>
              <w:pStyle w:val="TableRowCentered"/>
              <w:jc w:val="left"/>
              <w:rPr>
                <w:sz w:val="22"/>
              </w:rPr>
            </w:pPr>
            <w:r>
              <w:rPr>
                <w:sz w:val="22"/>
              </w:rPr>
              <w:t>1, 3, 4</w:t>
            </w:r>
          </w:p>
        </w:tc>
      </w:tr>
      <w:tr w:rsidR="00C54E38" w14:paraId="1AE8AA3E" w14:textId="77777777" w:rsidTr="00C96FBF">
        <w:trPr>
          <w:trHeight w:val="1266"/>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21DC" w14:textId="61B2C7B3" w:rsidR="00C54E38" w:rsidRDefault="00C54E38" w:rsidP="00047B7A">
            <w:pPr>
              <w:pStyle w:val="TableRow"/>
              <w:jc w:val="both"/>
              <w:rPr>
                <w:sz w:val="22"/>
              </w:rPr>
            </w:pPr>
            <w:r w:rsidRPr="00C54E38">
              <w:rPr>
                <w:rFonts w:asciiTheme="minorHAnsi" w:hAnsiTheme="minorHAnsi" w:cstheme="minorHAnsi"/>
                <w:color w:val="263238"/>
                <w:sz w:val="22"/>
                <w:szCs w:val="22"/>
                <w:shd w:val="clear" w:color="auto" w:fill="FFFFFF"/>
              </w:rPr>
              <w:lastRenderedPageBreak/>
              <w:t>Provide opportunity for all pupils</w:t>
            </w:r>
            <w:r>
              <w:rPr>
                <w:rFonts w:ascii="Roboto" w:hAnsi="Roboto"/>
                <w:color w:val="263238"/>
                <w:sz w:val="30"/>
                <w:szCs w:val="30"/>
                <w:shd w:val="clear" w:color="auto" w:fill="FFFFFF"/>
              </w:rPr>
              <w:t xml:space="preserve"> </w:t>
            </w:r>
            <w:r w:rsidRPr="00C54E38">
              <w:rPr>
                <w:rFonts w:asciiTheme="minorHAnsi" w:hAnsiTheme="minorHAnsi" w:cstheme="minorHAnsi"/>
                <w:color w:val="263238"/>
                <w:shd w:val="clear" w:color="auto" w:fill="FFFFFF"/>
              </w:rPr>
              <w:t>to experience success by</w:t>
            </w:r>
            <w:r>
              <w:rPr>
                <w:rFonts w:asciiTheme="minorHAnsi" w:hAnsiTheme="minorHAnsi" w:cstheme="minorHAnsi"/>
                <w:color w:val="263238"/>
                <w:shd w:val="clear" w:color="auto" w:fill="FFFFFF"/>
              </w:rPr>
              <w:t xml:space="preserve"> adapting teaching.  </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8965" w14:textId="163AFE55" w:rsidR="0066537C" w:rsidRPr="0066537C" w:rsidRDefault="0066537C" w:rsidP="002953F9">
            <w:pPr>
              <w:pStyle w:val="TableRowCentered"/>
              <w:jc w:val="left"/>
              <w:rPr>
                <w:rFonts w:cs="Arial"/>
                <w:sz w:val="22"/>
                <w:szCs w:val="22"/>
              </w:rPr>
            </w:pPr>
            <w:r>
              <w:rPr>
                <w:sz w:val="22"/>
              </w:rPr>
              <w:t>It is recognised that differentiation can limit a child’s success</w:t>
            </w:r>
            <w:r w:rsidRPr="0066537C">
              <w:rPr>
                <w:rFonts w:cs="Arial"/>
                <w:sz w:val="22"/>
                <w:szCs w:val="22"/>
              </w:rPr>
              <w:t xml:space="preserve">.  </w:t>
            </w:r>
            <w:r w:rsidRPr="0066537C">
              <w:rPr>
                <w:rFonts w:cs="Arial"/>
                <w:color w:val="263238"/>
                <w:sz w:val="22"/>
                <w:szCs w:val="22"/>
                <w:shd w:val="clear" w:color="auto" w:fill="FFFFFF"/>
              </w:rPr>
              <w:t>The document entitled, ​</w:t>
            </w:r>
            <w:r w:rsidRPr="0066537C">
              <w:rPr>
                <w:rStyle w:val="pull-single"/>
                <w:rFonts w:cs="Arial"/>
                <w:color w:val="263238"/>
                <w:sz w:val="22"/>
                <w:szCs w:val="22"/>
                <w:bdr w:val="single" w:sz="2" w:space="0" w:color="EEEEEE" w:frame="1"/>
                <w:shd w:val="clear" w:color="auto" w:fill="FFFFFF"/>
              </w:rPr>
              <w:t>‘</w:t>
            </w:r>
            <w:hyperlink r:id="rId18" w:history="1">
              <w:r w:rsidRPr="0066537C">
                <w:rPr>
                  <w:rStyle w:val="Hyperlink"/>
                  <w:rFonts w:cs="Arial"/>
                  <w:sz w:val="22"/>
                  <w:szCs w:val="22"/>
                  <w:bdr w:val="single" w:sz="2" w:space="0" w:color="EEEEEE" w:frame="1"/>
                  <w:shd w:val="clear" w:color="auto" w:fill="FFFFFF"/>
                </w:rPr>
                <w:t>Differentiation – Why and How?</w:t>
              </w:r>
            </w:hyperlink>
            <w:r w:rsidRPr="0066537C">
              <w:rPr>
                <w:rFonts w:cs="Arial"/>
                <w:color w:val="263238"/>
                <w:sz w:val="22"/>
                <w:szCs w:val="22"/>
                <w:shd w:val="clear" w:color="auto" w:fill="FFFFFF"/>
              </w:rPr>
              <w:t xml:space="preserve">’, NASEN capture some of the problems and recommend a move to adaptive teaching.  </w:t>
            </w:r>
          </w:p>
          <w:p w14:paraId="61EADE4F" w14:textId="77777777" w:rsidR="0066537C" w:rsidRDefault="0066537C" w:rsidP="002953F9">
            <w:pPr>
              <w:pStyle w:val="TableRowCentered"/>
              <w:jc w:val="left"/>
              <w:rPr>
                <w:sz w:val="22"/>
              </w:rPr>
            </w:pPr>
          </w:p>
          <w:p w14:paraId="7C3CC920" w14:textId="3F45556C" w:rsidR="00C54E38" w:rsidRDefault="00874E29" w:rsidP="002953F9">
            <w:pPr>
              <w:pStyle w:val="TableRowCentered"/>
              <w:jc w:val="left"/>
              <w:rPr>
                <w:sz w:val="22"/>
              </w:rPr>
            </w:pPr>
            <w:hyperlink r:id="rId19" w:history="1">
              <w:r w:rsidR="0066537C" w:rsidRPr="00C47A97">
                <w:rPr>
                  <w:rStyle w:val="Hyperlink"/>
                  <w:sz w:val="22"/>
                </w:rPr>
                <w:t>https://educationendowmentfoundation.org.uk/news/moving-from-differentiation-to-adaptive-teaching</w:t>
              </w:r>
            </w:hyperlink>
          </w:p>
          <w:p w14:paraId="74CBA626" w14:textId="544BD525" w:rsidR="0066537C" w:rsidRDefault="0066537C" w:rsidP="002953F9">
            <w:pPr>
              <w:pStyle w:val="TableRowCentered"/>
              <w:jc w:val="left"/>
              <w:rPr>
                <w:sz w:val="22"/>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1E69B" w14:textId="63006E46" w:rsidR="00C54E38" w:rsidRDefault="0066537C">
            <w:pPr>
              <w:pStyle w:val="TableRowCentered"/>
              <w:jc w:val="left"/>
              <w:rPr>
                <w:sz w:val="22"/>
              </w:rPr>
            </w:pPr>
            <w:r>
              <w:rPr>
                <w:sz w:val="22"/>
              </w:rPr>
              <w:t>3,4,5</w:t>
            </w:r>
          </w:p>
        </w:tc>
      </w:tr>
      <w:tr w:rsidR="00C96FBF" w14:paraId="13BC78BE" w14:textId="77777777" w:rsidTr="00C96FBF">
        <w:trPr>
          <w:trHeight w:val="1266"/>
        </w:trPr>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2E531" w14:textId="77777777" w:rsidR="00C96FBF" w:rsidRPr="00C96FBF" w:rsidRDefault="00C96FBF" w:rsidP="00C96FBF">
            <w:pPr>
              <w:pStyle w:val="TableRow"/>
              <w:jc w:val="both"/>
              <w:rPr>
                <w:rFonts w:asciiTheme="minorHAnsi" w:hAnsiTheme="minorHAnsi" w:cstheme="minorHAnsi"/>
                <w:color w:val="263238"/>
                <w:sz w:val="22"/>
                <w:szCs w:val="22"/>
                <w:shd w:val="clear" w:color="auto" w:fill="FFFFFF"/>
              </w:rPr>
            </w:pPr>
            <w:r w:rsidRPr="00C96FBF">
              <w:rPr>
                <w:rFonts w:asciiTheme="minorHAnsi" w:hAnsiTheme="minorHAnsi" w:cstheme="minorHAnsi"/>
                <w:color w:val="263238"/>
                <w:sz w:val="22"/>
                <w:szCs w:val="22"/>
                <w:shd w:val="clear" w:color="auto" w:fill="FFFFFF"/>
              </w:rPr>
              <w:t xml:space="preserve">Create a positive and  supportive environment for  all pupils.  </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D2B41" w14:textId="77777777" w:rsidR="00C96FBF" w:rsidRDefault="00C96FBF" w:rsidP="00F84FF3">
            <w:pPr>
              <w:pStyle w:val="TableRowCentered"/>
              <w:jc w:val="left"/>
              <w:rPr>
                <w:sz w:val="22"/>
              </w:rPr>
            </w:pPr>
            <w:r w:rsidRPr="00C96FBF">
              <w:rPr>
                <w:sz w:val="22"/>
              </w:rPr>
              <w:t>An inclusive school removes barriers to learning and participation, provides an education that is appropriate to pupils’ needs, and promotes high standards and the fulfilment of potential for all pupils.</w:t>
            </w:r>
          </w:p>
          <w:p w14:paraId="2E7095BA" w14:textId="77777777" w:rsidR="00C96FBF" w:rsidRDefault="00C96FBF" w:rsidP="00F84FF3">
            <w:pPr>
              <w:pStyle w:val="TableRowCentered"/>
              <w:jc w:val="left"/>
              <w:rPr>
                <w:sz w:val="22"/>
              </w:rPr>
            </w:pPr>
          </w:p>
          <w:p w14:paraId="60EE5F53" w14:textId="2AB6AA0D" w:rsidR="00C96FBF" w:rsidRDefault="00874E29" w:rsidP="00F84FF3">
            <w:pPr>
              <w:pStyle w:val="TableRowCentered"/>
              <w:jc w:val="left"/>
              <w:rPr>
                <w:sz w:val="22"/>
              </w:rPr>
            </w:pPr>
            <w:hyperlink r:id="rId20" w:history="1">
              <w:r w:rsidR="00C96FBF" w:rsidRPr="00723CC9">
                <w:rPr>
                  <w:rStyle w:val="Hyperlink"/>
                  <w:sz w:val="22"/>
                </w:rPr>
                <w:t>https://educationendowmentfoundation.org.uk/education-evidence/guidance-reports/send</w:t>
              </w:r>
            </w:hyperlink>
          </w:p>
          <w:p w14:paraId="3EFF8C60" w14:textId="343E9BDE" w:rsidR="00C96FBF" w:rsidRDefault="00C96FBF" w:rsidP="00F84FF3">
            <w:pPr>
              <w:pStyle w:val="TableRowCentered"/>
              <w:jc w:val="left"/>
              <w:rPr>
                <w:sz w:val="22"/>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1737" w14:textId="387F545F" w:rsidR="00C96FBF" w:rsidRDefault="00C96FBF" w:rsidP="00F84FF3">
            <w:pPr>
              <w:pStyle w:val="TableRowCentered"/>
              <w:jc w:val="left"/>
              <w:rPr>
                <w:sz w:val="22"/>
              </w:rPr>
            </w:pPr>
            <w:r>
              <w:rPr>
                <w:sz w:val="22"/>
              </w:rPr>
              <w:t>1,2,3,4,5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3956352D" w14:textId="696940A5" w:rsidR="00216984" w:rsidRPr="00216984" w:rsidRDefault="009D71E8">
      <w:pPr>
        <w:rPr>
          <w:i/>
          <w:iCs/>
        </w:rPr>
      </w:pPr>
      <w:r>
        <w:t xml:space="preserve">Budgeted cost: £ </w:t>
      </w:r>
      <w:r w:rsidR="00216984">
        <w:rPr>
          <w:i/>
          <w:iCs/>
        </w:rPr>
        <w:t>52,320</w:t>
      </w:r>
    </w:p>
    <w:tbl>
      <w:tblPr>
        <w:tblW w:w="5000" w:type="pct"/>
        <w:tblCellMar>
          <w:left w:w="10" w:type="dxa"/>
          <w:right w:w="10" w:type="dxa"/>
        </w:tblCellMar>
        <w:tblLook w:val="04A0" w:firstRow="1" w:lastRow="0" w:firstColumn="1" w:lastColumn="0" w:noHBand="0" w:noVBand="1"/>
      </w:tblPr>
      <w:tblGrid>
        <w:gridCol w:w="1916"/>
        <w:gridCol w:w="5871"/>
        <w:gridCol w:w="1699"/>
      </w:tblGrid>
      <w:tr w:rsidR="00E66558" w14:paraId="2A7D5528" w14:textId="77777777" w:rsidTr="00B60144">
        <w:tc>
          <w:tcPr>
            <w:tcW w:w="19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B60144">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463" w14:textId="77777777" w:rsidR="00E66558" w:rsidRDefault="00AD4CEF">
            <w:pPr>
              <w:pStyle w:val="TableRow"/>
            </w:pPr>
            <w:r>
              <w:t xml:space="preserve">Engagement with the National Tutoring Programme to provide a blend of tuition, mentoring and school –led tutoring for pupils for identified children.  </w:t>
            </w:r>
          </w:p>
          <w:p w14:paraId="2A7D5529" w14:textId="655B7EF8" w:rsidR="00A26738" w:rsidRDefault="00A26738">
            <w:pPr>
              <w:pStyle w:val="TableRow"/>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6B8FC" w14:textId="77777777" w:rsidR="00AD4CEF" w:rsidRDefault="00AD4CEF">
            <w:pPr>
              <w:pStyle w:val="TableRowCentered"/>
              <w:jc w:val="left"/>
              <w:rPr>
                <w:sz w:val="22"/>
              </w:rPr>
            </w:pPr>
            <w:r>
              <w:rPr>
                <w:sz w:val="22"/>
              </w:rPr>
              <w:t xml:space="preserve">Tuition targeted at specific needs and knowledge gaps can be an effective method to support low attainment pupils or those falling behind.  </w:t>
            </w:r>
          </w:p>
          <w:p w14:paraId="3914ABBD" w14:textId="2F948856" w:rsidR="00AD4CEF" w:rsidRDefault="00874E29">
            <w:pPr>
              <w:pStyle w:val="TableRowCentered"/>
              <w:jc w:val="left"/>
              <w:rPr>
                <w:sz w:val="22"/>
              </w:rPr>
            </w:pPr>
            <w:hyperlink r:id="rId21" w:history="1">
              <w:r w:rsidR="00AD4CEF" w:rsidRPr="004D229F">
                <w:rPr>
                  <w:rStyle w:val="Hyperlink"/>
                  <w:sz w:val="22"/>
                </w:rPr>
                <w:t>https://educationendowmentfoundation.org.uk/education-evidence/teaching-learning-toolkit/small-group-tuition</w:t>
              </w:r>
            </w:hyperlink>
          </w:p>
          <w:p w14:paraId="2A7D552A" w14:textId="7E2DAB61" w:rsidR="00E66558" w:rsidRDefault="00E66558">
            <w:pPr>
              <w:pStyle w:val="TableRowCentered"/>
              <w:jc w:val="left"/>
              <w:rPr>
                <w:sz w:val="22"/>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FCA8B52" w:rsidR="00E66558" w:rsidRDefault="00F46EFD">
            <w:pPr>
              <w:pStyle w:val="TableRowCentered"/>
              <w:jc w:val="left"/>
              <w:rPr>
                <w:sz w:val="22"/>
              </w:rPr>
            </w:pPr>
            <w:r>
              <w:rPr>
                <w:sz w:val="22"/>
              </w:rPr>
              <w:t>2,3,4</w:t>
            </w:r>
          </w:p>
        </w:tc>
      </w:tr>
      <w:tr w:rsidR="00E66558" w14:paraId="2A7D5530" w14:textId="77777777" w:rsidTr="00B60144">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810DA" w14:textId="77777777" w:rsidR="00A17269" w:rsidRDefault="00A26738">
            <w:pPr>
              <w:pStyle w:val="TableRow"/>
              <w:rPr>
                <w:sz w:val="22"/>
              </w:rPr>
            </w:pPr>
            <w:r>
              <w:rPr>
                <w:sz w:val="22"/>
              </w:rPr>
              <w:t xml:space="preserve">Additional  phonics sessions targeted at disadvantaged pupils who require further phonics support.  </w:t>
            </w:r>
          </w:p>
          <w:p w14:paraId="2A7D552D" w14:textId="78E2A6DB" w:rsidR="00E66558" w:rsidRPr="00A26738" w:rsidRDefault="00E66558">
            <w:pPr>
              <w:pStyle w:val="TableRow"/>
              <w:rPr>
                <w:sz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DFED" w14:textId="6CE758EB" w:rsidR="00A26738" w:rsidRDefault="00A26738">
            <w:pPr>
              <w:pStyle w:val="TableRowCentered"/>
              <w:jc w:val="left"/>
              <w:rPr>
                <w:sz w:val="22"/>
              </w:rPr>
            </w:pPr>
            <w:r>
              <w:rPr>
                <w:sz w:val="22"/>
              </w:rPr>
              <w:lastRenderedPageBreak/>
              <w:t xml:space="preserve">Phonics approaches have a strong evidence base indicating a positive impact on pupils, particularly  from disadvantaged background.  Targeted phonics interventions have been shown to be more effective when delivered as regular sessions.  </w:t>
            </w:r>
            <w:hyperlink r:id="rId22" w:history="1">
              <w:r w:rsidRPr="00723CC9">
                <w:rPr>
                  <w:rStyle w:val="Hyperlink"/>
                  <w:sz w:val="22"/>
                </w:rPr>
                <w:t>https://educationendowmentfoundation.org.uk/education-evidence/teaching-learning-toolkit/phonics</w:t>
              </w:r>
            </w:hyperlink>
          </w:p>
          <w:p w14:paraId="2A7D552E" w14:textId="06229EE8" w:rsidR="00E66558" w:rsidRDefault="00E66558">
            <w:pPr>
              <w:pStyle w:val="TableRowCentered"/>
              <w:jc w:val="left"/>
              <w:rPr>
                <w:sz w:val="22"/>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CEFE2F0" w:rsidR="00E66558" w:rsidRDefault="00A17269">
            <w:pPr>
              <w:pStyle w:val="TableRowCentered"/>
              <w:jc w:val="left"/>
              <w:rPr>
                <w:sz w:val="22"/>
              </w:rPr>
            </w:pPr>
            <w:r>
              <w:rPr>
                <w:sz w:val="22"/>
              </w:rPr>
              <w:t>1,2,4</w:t>
            </w:r>
          </w:p>
        </w:tc>
      </w:tr>
      <w:tr w:rsidR="00B60144" w14:paraId="64074E6F" w14:textId="77777777" w:rsidTr="00B60144">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D9DF2" w14:textId="366548C7" w:rsidR="00B60144" w:rsidRDefault="00B60144" w:rsidP="00B60144">
            <w:pPr>
              <w:pStyle w:val="TableRow"/>
              <w:rPr>
                <w:sz w:val="22"/>
              </w:rPr>
            </w:pPr>
            <w:r>
              <w:rPr>
                <w:sz w:val="22"/>
              </w:rPr>
              <w:t xml:space="preserve">Additional  reading fluency sessions targeted at disadvantaged pupils who require further reading fluency support.  </w:t>
            </w:r>
          </w:p>
          <w:p w14:paraId="3FCCBA25" w14:textId="075FCB84" w:rsidR="00B60144" w:rsidRDefault="00B60144" w:rsidP="00B60144">
            <w:pPr>
              <w:pStyle w:val="TableRow"/>
              <w:rPr>
                <w:sz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41708" w14:textId="77777777" w:rsidR="00B60144" w:rsidRDefault="00B60144" w:rsidP="00B60144">
            <w:pPr>
              <w:pStyle w:val="TableRowCentered"/>
              <w:jc w:val="left"/>
              <w:rPr>
                <w:sz w:val="22"/>
              </w:rPr>
            </w:pPr>
            <w:r w:rsidRPr="00B60144">
              <w:rPr>
                <w:sz w:val="22"/>
              </w:rPr>
              <w:t>Reading fluency can be defined as reading with accuracy, automaticity and prosody. When pupils read fluently, their cognitive resources can be redirected from focusing on decoding and onto comprehending  a text. For this reason, fluency is sometimes described as a bridge from word recognition to comprehension.</w:t>
            </w:r>
          </w:p>
          <w:p w14:paraId="639EE826" w14:textId="6235BE6C" w:rsidR="00B60144" w:rsidRDefault="00874E29" w:rsidP="00B60144">
            <w:pPr>
              <w:pStyle w:val="TableRowCentered"/>
              <w:jc w:val="left"/>
              <w:rPr>
                <w:sz w:val="22"/>
              </w:rPr>
            </w:pPr>
            <w:hyperlink r:id="rId23" w:history="1">
              <w:r w:rsidR="00B60144" w:rsidRPr="00723CC9">
                <w:rPr>
                  <w:rStyle w:val="Hyperlink"/>
                  <w:sz w:val="22"/>
                </w:rPr>
                <w:t>https://educationendowmentfoundation.org.uk/reading-house/fluency</w:t>
              </w:r>
            </w:hyperlink>
          </w:p>
          <w:p w14:paraId="2C0DF8A1" w14:textId="50CD00A7" w:rsidR="00B60144" w:rsidRDefault="00B60144" w:rsidP="00B60144">
            <w:pPr>
              <w:pStyle w:val="TableRowCentered"/>
              <w:jc w:val="left"/>
              <w:rPr>
                <w:sz w:val="22"/>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1480" w14:textId="32F00FCF" w:rsidR="00B60144" w:rsidRDefault="00B60144" w:rsidP="00B60144">
            <w:pPr>
              <w:pStyle w:val="TableRowCentered"/>
              <w:jc w:val="left"/>
              <w:rPr>
                <w:sz w:val="22"/>
              </w:rPr>
            </w:pPr>
            <w:r>
              <w:rPr>
                <w:sz w:val="22"/>
              </w:rPr>
              <w:t>1,2,4</w:t>
            </w:r>
          </w:p>
        </w:tc>
      </w:tr>
      <w:tr w:rsidR="00B60144" w14:paraId="63EC00CE" w14:textId="77777777" w:rsidTr="00B60144">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F260" w14:textId="4EF1A3D4" w:rsidR="00B60144" w:rsidRDefault="00B60144" w:rsidP="00B60144">
            <w:pPr>
              <w:pStyle w:val="TableRow"/>
              <w:rPr>
                <w:sz w:val="22"/>
              </w:rPr>
            </w:pPr>
            <w:r w:rsidRPr="009A4B74">
              <w:rPr>
                <w:sz w:val="22"/>
              </w:rPr>
              <w:t>Complement high quality teaching with carefully selected small-group and one-to-one interventions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D5B8E" w14:textId="77777777" w:rsidR="00B60144" w:rsidRDefault="00B60144" w:rsidP="00B60144">
            <w:pPr>
              <w:pStyle w:val="TableRowCentered"/>
              <w:jc w:val="left"/>
              <w:rPr>
                <w:sz w:val="22"/>
              </w:rPr>
            </w:pPr>
            <w:r w:rsidRPr="009A4B74">
              <w:rPr>
                <w:sz w:val="22"/>
              </w:rPr>
              <w:t>High quality teaching should reduce the need for extra support, but it is likely that some pupils will require high quality, structured, targeted interventions to  make progress.</w:t>
            </w:r>
          </w:p>
          <w:p w14:paraId="1636EE3A" w14:textId="77777777" w:rsidR="00B60144" w:rsidRDefault="00B60144" w:rsidP="00B60144">
            <w:pPr>
              <w:pStyle w:val="TableRowCentered"/>
              <w:jc w:val="left"/>
              <w:rPr>
                <w:sz w:val="22"/>
              </w:rPr>
            </w:pPr>
          </w:p>
          <w:p w14:paraId="0FCB40E0" w14:textId="04EDD712" w:rsidR="00B60144" w:rsidRDefault="00874E29" w:rsidP="00B60144">
            <w:pPr>
              <w:pStyle w:val="TableRowCentered"/>
              <w:jc w:val="left"/>
              <w:rPr>
                <w:sz w:val="22"/>
              </w:rPr>
            </w:pPr>
            <w:hyperlink r:id="rId24" w:history="1">
              <w:r w:rsidR="00B60144" w:rsidRPr="00723CC9">
                <w:rPr>
                  <w:rStyle w:val="Hyperlink"/>
                  <w:sz w:val="22"/>
                </w:rPr>
                <w:t>https://eef.li/implementation/</w:t>
              </w:r>
            </w:hyperlink>
          </w:p>
          <w:p w14:paraId="71A02E21" w14:textId="570FAF77" w:rsidR="00B60144" w:rsidRDefault="00B60144" w:rsidP="00B60144">
            <w:pPr>
              <w:pStyle w:val="TableRowCentered"/>
              <w:jc w:val="left"/>
              <w:rPr>
                <w:sz w:val="22"/>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69F5A" w14:textId="3F77B576" w:rsidR="00B60144" w:rsidRDefault="00B60144" w:rsidP="00B60144">
            <w:pPr>
              <w:pStyle w:val="TableRowCentered"/>
              <w:jc w:val="left"/>
              <w:rPr>
                <w:sz w:val="22"/>
              </w:rPr>
            </w:pPr>
            <w:r>
              <w:rPr>
                <w:sz w:val="22"/>
              </w:rPr>
              <w:t>2.4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D669F68" w:rsidR="00E66558" w:rsidRDefault="009D71E8">
      <w:pPr>
        <w:spacing w:before="240" w:after="120"/>
      </w:pPr>
      <w:r>
        <w:t xml:space="preserve">Budgeted cost: £ </w:t>
      </w:r>
      <w:r w:rsidR="00216984">
        <w:rPr>
          <w:i/>
          <w:iCs/>
        </w:rPr>
        <w:t>18,744</w:t>
      </w:r>
    </w:p>
    <w:tbl>
      <w:tblPr>
        <w:tblW w:w="5000" w:type="pct"/>
        <w:tblCellMar>
          <w:left w:w="10" w:type="dxa"/>
          <w:right w:w="10" w:type="dxa"/>
        </w:tblCellMar>
        <w:tblLook w:val="04A0" w:firstRow="1" w:lastRow="0" w:firstColumn="1" w:lastColumn="0" w:noHBand="0" w:noVBand="1"/>
      </w:tblPr>
      <w:tblGrid>
        <w:gridCol w:w="1856"/>
        <w:gridCol w:w="5871"/>
        <w:gridCol w:w="1759"/>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62C08DB" w:rsidR="00E66558" w:rsidRDefault="00B31F37" w:rsidP="00B31F37">
            <w:pPr>
              <w:pStyle w:val="TableRow"/>
              <w:ind w:left="0"/>
            </w:pPr>
            <w:r>
              <w:rPr>
                <w:sz w:val="22"/>
                <w:szCs w:val="22"/>
              </w:rPr>
              <w:t xml:space="preserve">Integrate Outdoor Play and Learning into the school day to promote positive mental wellbeing.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58C2" w14:textId="77777777" w:rsidR="00B31F37" w:rsidRDefault="00B31F37" w:rsidP="00CD5374">
            <w:pPr>
              <w:pStyle w:val="TableRowCentered"/>
              <w:jc w:val="left"/>
              <w:rPr>
                <w:rFonts w:cs="Arial"/>
                <w:color w:val="374151"/>
                <w:sz w:val="22"/>
                <w:szCs w:val="22"/>
                <w:shd w:val="clear" w:color="auto" w:fill="FAFAFA"/>
              </w:rPr>
            </w:pPr>
            <w:r>
              <w:rPr>
                <w:rFonts w:cs="Arial"/>
                <w:color w:val="374151"/>
                <w:sz w:val="22"/>
                <w:szCs w:val="22"/>
                <w:shd w:val="clear" w:color="auto" w:fill="FAFAFA"/>
              </w:rPr>
              <w:t>Outdoor Adventure Learning can</w:t>
            </w:r>
            <w:r w:rsidRPr="00B31F37">
              <w:rPr>
                <w:rFonts w:cs="Arial"/>
                <w:color w:val="374151"/>
                <w:sz w:val="22"/>
                <w:szCs w:val="22"/>
                <w:shd w:val="clear" w:color="auto" w:fill="FAFAFA"/>
              </w:rPr>
              <w:t xml:space="preserve">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w:t>
            </w:r>
          </w:p>
          <w:p w14:paraId="5F1B9372" w14:textId="585083A1" w:rsidR="00E66558" w:rsidRDefault="00874E29" w:rsidP="00CD5374">
            <w:pPr>
              <w:pStyle w:val="TableRowCentered"/>
              <w:jc w:val="left"/>
              <w:rPr>
                <w:rFonts w:cs="Arial"/>
                <w:sz w:val="22"/>
                <w:szCs w:val="22"/>
              </w:rPr>
            </w:pPr>
            <w:hyperlink r:id="rId25" w:history="1">
              <w:r w:rsidR="0057046F" w:rsidRPr="00723CC9">
                <w:rPr>
                  <w:rStyle w:val="Hyperlink"/>
                  <w:rFonts w:cs="Arial"/>
                  <w:sz w:val="22"/>
                  <w:szCs w:val="22"/>
                </w:rPr>
                <w:t>https://educationendowmentfoundation.org.uk/education-evidence/teaching-learning-toolkit/outdoor-adventure-learning</w:t>
              </w:r>
            </w:hyperlink>
          </w:p>
          <w:p w14:paraId="5CC83AF2" w14:textId="77777777" w:rsidR="0057046F" w:rsidRPr="0057046F" w:rsidRDefault="0057046F" w:rsidP="0057046F">
            <w:pPr>
              <w:pStyle w:val="TableRowCentered"/>
              <w:ind w:left="0"/>
              <w:jc w:val="left"/>
              <w:rPr>
                <w:rFonts w:cs="Arial"/>
                <w:color w:val="333333"/>
                <w:sz w:val="22"/>
                <w:szCs w:val="22"/>
                <w:shd w:val="clear" w:color="auto" w:fill="FFFFFF"/>
              </w:rPr>
            </w:pPr>
            <w:r w:rsidRPr="0057046F">
              <w:rPr>
                <w:rFonts w:cs="Arial"/>
                <w:color w:val="333333"/>
                <w:sz w:val="22"/>
                <w:szCs w:val="22"/>
                <w:shd w:val="clear" w:color="auto" w:fill="FFFFFF"/>
              </w:rPr>
              <w:t>Research shows that children's mental and physical health is getting worse and that great play can make it better. </w:t>
            </w:r>
          </w:p>
          <w:p w14:paraId="3FFAB405" w14:textId="7F6FC76D" w:rsidR="0057046F" w:rsidRDefault="00874E29" w:rsidP="0057046F">
            <w:pPr>
              <w:pStyle w:val="TableRowCentered"/>
              <w:ind w:left="0"/>
              <w:jc w:val="left"/>
              <w:rPr>
                <w:rFonts w:cs="Arial"/>
                <w:sz w:val="22"/>
                <w:szCs w:val="22"/>
              </w:rPr>
            </w:pPr>
            <w:hyperlink r:id="rId26" w:history="1">
              <w:r w:rsidR="0057046F" w:rsidRPr="00723CC9">
                <w:rPr>
                  <w:rStyle w:val="Hyperlink"/>
                  <w:rFonts w:cs="Arial"/>
                  <w:sz w:val="22"/>
                  <w:szCs w:val="22"/>
                </w:rPr>
                <w:t>https://outdoorplayandlearning.org.uk/</w:t>
              </w:r>
            </w:hyperlink>
          </w:p>
          <w:p w14:paraId="2A7D5539" w14:textId="0923DDA5" w:rsidR="0057046F" w:rsidRPr="00B31F37" w:rsidRDefault="0057046F" w:rsidP="0057046F">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6E21004" w:rsidR="00E66558" w:rsidRDefault="0057046F">
            <w:pPr>
              <w:pStyle w:val="TableRowCentered"/>
              <w:jc w:val="left"/>
              <w:rPr>
                <w:sz w:val="22"/>
              </w:rPr>
            </w:pPr>
            <w:r>
              <w:rPr>
                <w:sz w:val="22"/>
              </w:rPr>
              <w:t xml:space="preserve">2,4,6 </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FD5A94A" w:rsidR="00E66558" w:rsidRPr="0057046F" w:rsidRDefault="0057046F">
            <w:pPr>
              <w:pStyle w:val="TableRow"/>
              <w:rPr>
                <w:sz w:val="22"/>
              </w:rPr>
            </w:pPr>
            <w:r>
              <w:rPr>
                <w:sz w:val="22"/>
              </w:rPr>
              <w:t xml:space="preserve">Whole staff training on behaviour management and anti – Bullying approaches with the aim of </w:t>
            </w:r>
            <w:r>
              <w:rPr>
                <w:sz w:val="22"/>
              </w:rPr>
              <w:lastRenderedPageBreak/>
              <w:t xml:space="preserve">developing our school ethos and sustaining good behaviour across the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40C7" w14:textId="77777777" w:rsidR="0057046F" w:rsidRDefault="0057046F">
            <w:pPr>
              <w:pStyle w:val="TableRowCentered"/>
              <w:jc w:val="left"/>
              <w:rPr>
                <w:sz w:val="22"/>
              </w:rPr>
            </w:pPr>
            <w:r>
              <w:rPr>
                <w:sz w:val="22"/>
              </w:rPr>
              <w:lastRenderedPageBreak/>
              <w:t xml:space="preserve">Both targeted interventions and universal approaches can have positive overall effects.  </w:t>
            </w:r>
          </w:p>
          <w:p w14:paraId="3D283F8B" w14:textId="2EF1FC4C" w:rsidR="0057046F" w:rsidRDefault="00874E29">
            <w:pPr>
              <w:pStyle w:val="TableRowCentered"/>
              <w:jc w:val="left"/>
              <w:rPr>
                <w:sz w:val="22"/>
              </w:rPr>
            </w:pPr>
            <w:hyperlink r:id="rId27" w:history="1">
              <w:r w:rsidR="0057046F" w:rsidRPr="00723CC9">
                <w:rPr>
                  <w:rStyle w:val="Hyperlink"/>
                  <w:sz w:val="22"/>
                </w:rPr>
                <w:t>https://educationendowmentfoundation.org.uk/education-evidence/teaching-learning-toolkit/behaviour-interventions</w:t>
              </w:r>
            </w:hyperlink>
          </w:p>
          <w:p w14:paraId="6C27A220" w14:textId="77777777" w:rsidR="0057046F" w:rsidRDefault="0057046F">
            <w:pPr>
              <w:pStyle w:val="TableRowCentered"/>
              <w:jc w:val="left"/>
              <w:rPr>
                <w:sz w:val="22"/>
              </w:rPr>
            </w:pPr>
          </w:p>
          <w:p w14:paraId="2A7D553D" w14:textId="79228A80"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676DB1D" w:rsidR="00E66558" w:rsidRDefault="0057046F">
            <w:pPr>
              <w:pStyle w:val="TableRowCentered"/>
              <w:jc w:val="left"/>
              <w:rPr>
                <w:sz w:val="22"/>
              </w:rPr>
            </w:pPr>
            <w:r>
              <w:rPr>
                <w:sz w:val="22"/>
              </w:rPr>
              <w:t>2,4,</w:t>
            </w:r>
            <w:r w:rsidR="000620DA">
              <w:rPr>
                <w:sz w:val="22"/>
              </w:rPr>
              <w:t>5,</w:t>
            </w:r>
            <w:r>
              <w:rPr>
                <w:sz w:val="22"/>
              </w:rPr>
              <w:t>6</w:t>
            </w:r>
          </w:p>
        </w:tc>
      </w:tr>
      <w:tr w:rsidR="000620DA" w14:paraId="5D07879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1C15" w14:textId="77777777" w:rsidR="00090E68" w:rsidRDefault="000620DA">
            <w:pPr>
              <w:pStyle w:val="TableRow"/>
              <w:rPr>
                <w:sz w:val="22"/>
              </w:rPr>
            </w:pPr>
            <w:r>
              <w:rPr>
                <w:sz w:val="22"/>
              </w:rPr>
              <w:t xml:space="preserve">Embedding principles of good practice set out in the DFE’s guidance on working together to improve school attendance through the deployment of attendance officers to improve attendance. </w:t>
            </w:r>
          </w:p>
          <w:p w14:paraId="6009B598" w14:textId="2FDE3453" w:rsidR="000620DA" w:rsidRDefault="000620DA">
            <w:pPr>
              <w:pStyle w:val="TableRow"/>
              <w:rPr>
                <w:sz w:val="22"/>
              </w:rPr>
            </w:pP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6A5F" w14:textId="56CE859F" w:rsidR="000620DA" w:rsidRDefault="000620DA">
            <w:pPr>
              <w:pStyle w:val="TableRowCentered"/>
              <w:jc w:val="left"/>
              <w:rPr>
                <w:sz w:val="22"/>
              </w:rPr>
            </w:pPr>
            <w:r>
              <w:rPr>
                <w:sz w:val="22"/>
              </w:rPr>
              <w:t xml:space="preserve">The DfE guidance has been </w:t>
            </w:r>
            <w:r w:rsidR="004C1FDC">
              <w:rPr>
                <w:sz w:val="22"/>
              </w:rPr>
              <w:t xml:space="preserve">informed by engagement with schools that have significantly 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BCC4" w14:textId="52CBA68A" w:rsidR="000620DA" w:rsidRDefault="00926202">
            <w:pPr>
              <w:pStyle w:val="TableRowCentered"/>
              <w:jc w:val="left"/>
              <w:rPr>
                <w:sz w:val="22"/>
              </w:rPr>
            </w:pPr>
            <w:r>
              <w:rPr>
                <w:sz w:val="22"/>
              </w:rPr>
              <w:t>5</w:t>
            </w:r>
          </w:p>
        </w:tc>
      </w:tr>
      <w:tr w:rsidR="00090E68" w14:paraId="09680B7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0B81C" w14:textId="186F0B60" w:rsidR="00090E68" w:rsidRDefault="00090E68">
            <w:pPr>
              <w:pStyle w:val="TableRow"/>
              <w:rPr>
                <w:sz w:val="22"/>
              </w:rPr>
            </w:pPr>
            <w:r>
              <w:rPr>
                <w:sz w:val="22"/>
              </w:rPr>
              <w:t xml:space="preserve">Provision for dealing with acute emotional issues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CD3B" w14:textId="234025DF" w:rsidR="00090E68" w:rsidRDefault="00090E68">
            <w:pPr>
              <w:pStyle w:val="TableRowCentered"/>
              <w:jc w:val="left"/>
              <w:rPr>
                <w:sz w:val="22"/>
              </w:rPr>
            </w:pPr>
            <w:r>
              <w:rPr>
                <w:sz w:val="22"/>
              </w:rPr>
              <w:t xml:space="preserve">Based on our experiences, and those of similar schools, we have identified a need to set a small amount of funding aside to respond quickly to needs as they arise.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54015" w14:textId="4D883095" w:rsidR="00090E68" w:rsidRDefault="00090E68">
            <w:pPr>
              <w:pStyle w:val="TableRowCentered"/>
              <w:jc w:val="left"/>
              <w:rPr>
                <w:sz w:val="22"/>
              </w:rPr>
            </w:pPr>
            <w:r>
              <w:rPr>
                <w:sz w:val="22"/>
              </w:rPr>
              <w:t>2, 5, 6</w:t>
            </w:r>
          </w:p>
        </w:tc>
      </w:tr>
    </w:tbl>
    <w:p w14:paraId="2A7D5540" w14:textId="77777777" w:rsidR="00E66558" w:rsidRDefault="00E66558">
      <w:pPr>
        <w:spacing w:before="240" w:after="0"/>
        <w:rPr>
          <w:b/>
          <w:bCs/>
          <w:color w:val="104F75"/>
          <w:sz w:val="28"/>
          <w:szCs w:val="28"/>
        </w:rPr>
      </w:pPr>
    </w:p>
    <w:p w14:paraId="2A7D5541" w14:textId="74F0E472" w:rsidR="00E66558" w:rsidRDefault="009D71E8" w:rsidP="00120AB1">
      <w:r>
        <w:rPr>
          <w:b/>
          <w:bCs/>
          <w:color w:val="104F75"/>
          <w:sz w:val="28"/>
          <w:szCs w:val="28"/>
        </w:rPr>
        <w:t xml:space="preserve">Total budgeted cost: £ </w:t>
      </w:r>
      <w:r w:rsidR="00216984">
        <w:rPr>
          <w:i/>
          <w:iCs/>
          <w:color w:val="104F75"/>
          <w:sz w:val="28"/>
          <w:szCs w:val="28"/>
        </w:rPr>
        <w:t>106,677</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D1D57" w14:textId="361B7581" w:rsidR="0064167B" w:rsidRDefault="007002F5" w:rsidP="00242093">
            <w:pPr>
              <w:spacing w:before="60"/>
              <w:rPr>
                <w:iCs/>
                <w:lang w:eastAsia="en-US"/>
              </w:rPr>
            </w:pPr>
            <w:r>
              <w:rPr>
                <w:iCs/>
                <w:lang w:eastAsia="en-US"/>
              </w:rPr>
              <w:t>We have analysed the performance of our school’s disadvantaged pupils duri</w:t>
            </w:r>
            <w:r w:rsidR="0086358D">
              <w:rPr>
                <w:iCs/>
                <w:lang w:eastAsia="en-US"/>
              </w:rPr>
              <w:t xml:space="preserve">ng the previous academic year, drawing on national assessment data and our own internal summative and formative assessments.  </w:t>
            </w:r>
          </w:p>
          <w:p w14:paraId="56779D45" w14:textId="73D2F2D1" w:rsidR="00973071" w:rsidRDefault="00973071" w:rsidP="00242093">
            <w:pPr>
              <w:spacing w:before="60"/>
              <w:rPr>
                <w:iCs/>
                <w:lang w:eastAsia="en-US"/>
              </w:rPr>
            </w:pPr>
            <w:r>
              <w:rPr>
                <w:iCs/>
                <w:lang w:eastAsia="en-US"/>
              </w:rPr>
              <w:t xml:space="preserve">To help us </w:t>
            </w:r>
            <w:r w:rsidR="00A41C65">
              <w:rPr>
                <w:iCs/>
                <w:lang w:eastAsia="en-US"/>
              </w:rPr>
              <w:t>gauge</w:t>
            </w:r>
            <w:r>
              <w:rPr>
                <w:iCs/>
                <w:lang w:eastAsia="en-US"/>
              </w:rPr>
              <w:t xml:space="preserve"> the performance of our disadvantaged pupils we compared their results to those for disadvantaged and non- disadvantaged at national and local level and to our results achieved by our non- disadvantaged.  </w:t>
            </w:r>
          </w:p>
          <w:p w14:paraId="35BAE3E2" w14:textId="0472E9DB" w:rsidR="0021648F" w:rsidRPr="00FB593C" w:rsidRDefault="0021648F" w:rsidP="00242093">
            <w:pPr>
              <w:spacing w:before="60"/>
              <w:rPr>
                <w:iCs/>
                <w:lang w:eastAsia="en-US"/>
              </w:rPr>
            </w:pPr>
            <w:r w:rsidRPr="0021648F">
              <w:rPr>
                <w:b/>
                <w:iCs/>
                <w:u w:val="single"/>
                <w:lang w:eastAsia="en-US"/>
              </w:rPr>
              <w:t xml:space="preserve">Phonics </w:t>
            </w:r>
            <w:r w:rsidR="00FB593C">
              <w:rPr>
                <w:iCs/>
                <w:lang w:eastAsia="en-US"/>
              </w:rPr>
              <w:t xml:space="preserve">The data demonstrated that the percentage of disadvantaged children passing the phonics screening check at KS1 is higher than national.  </w:t>
            </w:r>
          </w:p>
          <w:p w14:paraId="7351C10B" w14:textId="48BA3F58" w:rsidR="0021648F" w:rsidRDefault="0021648F" w:rsidP="00242093">
            <w:pPr>
              <w:spacing w:before="60"/>
              <w:rPr>
                <w:b/>
                <w:iCs/>
                <w:u w:val="single"/>
                <w:lang w:eastAsia="en-US"/>
              </w:rPr>
            </w:pPr>
            <w:r>
              <w:rPr>
                <w:b/>
                <w:iCs/>
                <w:u w:val="single"/>
                <w:lang w:eastAsia="en-US"/>
              </w:rPr>
              <w:t xml:space="preserve">Y1 </w:t>
            </w:r>
          </w:p>
          <w:p w14:paraId="2C1CEFCE" w14:textId="67C234A4" w:rsidR="0021648F" w:rsidRDefault="0021648F" w:rsidP="00242093">
            <w:pPr>
              <w:spacing w:before="60"/>
              <w:rPr>
                <w:b/>
                <w:iCs/>
                <w:u w:val="single"/>
                <w:lang w:eastAsia="en-US"/>
              </w:rPr>
            </w:pPr>
            <w:r>
              <w:rPr>
                <w:noProof/>
              </w:rPr>
              <w:drawing>
                <wp:inline distT="0" distB="0" distL="0" distR="0" wp14:anchorId="64B3290A" wp14:editId="483A4DF2">
                  <wp:extent cx="541020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10200" cy="2095500"/>
                          </a:xfrm>
                          <a:prstGeom prst="rect">
                            <a:avLst/>
                          </a:prstGeom>
                        </pic:spPr>
                      </pic:pic>
                    </a:graphicData>
                  </a:graphic>
                </wp:inline>
              </w:drawing>
            </w:r>
          </w:p>
          <w:p w14:paraId="206A5F0E" w14:textId="061F80A3" w:rsidR="0021648F" w:rsidRDefault="0021648F" w:rsidP="00242093">
            <w:pPr>
              <w:spacing w:before="60"/>
              <w:rPr>
                <w:b/>
                <w:iCs/>
                <w:u w:val="single"/>
                <w:lang w:eastAsia="en-US"/>
              </w:rPr>
            </w:pPr>
            <w:r>
              <w:rPr>
                <w:b/>
                <w:iCs/>
                <w:u w:val="single"/>
                <w:lang w:eastAsia="en-US"/>
              </w:rPr>
              <w:t xml:space="preserve">Y2 </w:t>
            </w:r>
          </w:p>
          <w:p w14:paraId="0196A677" w14:textId="6AE97330" w:rsidR="0021648F" w:rsidRPr="0021648F" w:rsidRDefault="0021648F" w:rsidP="00242093">
            <w:pPr>
              <w:spacing w:before="60"/>
              <w:rPr>
                <w:b/>
                <w:iCs/>
                <w:u w:val="single"/>
                <w:lang w:eastAsia="en-US"/>
              </w:rPr>
            </w:pPr>
            <w:r>
              <w:rPr>
                <w:noProof/>
              </w:rPr>
              <w:drawing>
                <wp:inline distT="0" distB="0" distL="0" distR="0" wp14:anchorId="18F4F845" wp14:editId="08E51E0D">
                  <wp:extent cx="5067300" cy="1971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7300" cy="1971675"/>
                          </a:xfrm>
                          <a:prstGeom prst="rect">
                            <a:avLst/>
                          </a:prstGeom>
                        </pic:spPr>
                      </pic:pic>
                    </a:graphicData>
                  </a:graphic>
                </wp:inline>
              </w:drawing>
            </w:r>
          </w:p>
          <w:p w14:paraId="69EAA8D2" w14:textId="597FDFA6" w:rsidR="00FB593C" w:rsidRDefault="00FB593C" w:rsidP="00242093">
            <w:pPr>
              <w:spacing w:before="60"/>
              <w:rPr>
                <w:iCs/>
                <w:lang w:eastAsia="en-US"/>
              </w:rPr>
            </w:pPr>
          </w:p>
          <w:p w14:paraId="66F56E73" w14:textId="77777777" w:rsidR="00FB593C" w:rsidRDefault="00FB593C" w:rsidP="00242093">
            <w:pPr>
              <w:spacing w:before="60"/>
              <w:rPr>
                <w:iCs/>
                <w:lang w:eastAsia="en-US"/>
              </w:rPr>
            </w:pPr>
          </w:p>
          <w:p w14:paraId="6D43F597" w14:textId="4778B382" w:rsidR="0086358D" w:rsidRDefault="00FB593C" w:rsidP="00242093">
            <w:pPr>
              <w:spacing w:before="60"/>
              <w:rPr>
                <w:iCs/>
                <w:lang w:eastAsia="en-US"/>
              </w:rPr>
            </w:pPr>
            <w:r>
              <w:rPr>
                <w:iCs/>
                <w:lang w:eastAsia="en-US"/>
              </w:rPr>
              <w:lastRenderedPageBreak/>
              <w:t xml:space="preserve"> </w:t>
            </w:r>
            <w:r w:rsidR="00F13D12">
              <w:rPr>
                <w:iCs/>
                <w:lang w:eastAsia="en-US"/>
              </w:rPr>
              <w:t>Disadvantaged</w:t>
            </w:r>
            <w:r w:rsidR="002E6BE8">
              <w:rPr>
                <w:iCs/>
                <w:lang w:eastAsia="en-US"/>
              </w:rPr>
              <w:t xml:space="preserve"> children performed better than</w:t>
            </w:r>
            <w:r w:rsidR="00F13D12">
              <w:rPr>
                <w:iCs/>
                <w:lang w:eastAsia="en-US"/>
              </w:rPr>
              <w:t xml:space="preserve"> no</w:t>
            </w:r>
            <w:r w:rsidR="002E6BE8">
              <w:rPr>
                <w:iCs/>
                <w:lang w:eastAsia="en-US"/>
              </w:rPr>
              <w:t>n</w:t>
            </w:r>
            <w:r w:rsidR="00F13D12">
              <w:rPr>
                <w:iCs/>
                <w:lang w:eastAsia="en-US"/>
              </w:rPr>
              <w:t xml:space="preserve"> disadvantaged </w:t>
            </w:r>
            <w:r w:rsidR="002E6BE8">
              <w:rPr>
                <w:iCs/>
                <w:lang w:eastAsia="en-US"/>
              </w:rPr>
              <w:t xml:space="preserve">children in the school and better than disadvantaged children in reading and maths at KS1 but not at KS2.  </w:t>
            </w:r>
          </w:p>
          <w:p w14:paraId="369DB07B" w14:textId="30331EBE" w:rsidR="002E6BE8" w:rsidRDefault="002E6BE8" w:rsidP="00242093">
            <w:pPr>
              <w:spacing w:before="60"/>
              <w:rPr>
                <w:iCs/>
                <w:lang w:eastAsia="en-US"/>
              </w:rPr>
            </w:pPr>
            <w:r>
              <w:rPr>
                <w:iCs/>
                <w:lang w:eastAsia="en-US"/>
              </w:rPr>
              <w:t xml:space="preserve">Disadvantaged children are underperforming in writing. </w:t>
            </w:r>
          </w:p>
          <w:p w14:paraId="44272213" w14:textId="07A93C0D" w:rsidR="00C041BD" w:rsidRDefault="00200054" w:rsidP="00242093">
            <w:pPr>
              <w:spacing w:before="60"/>
              <w:rPr>
                <w:b/>
                <w:iCs/>
                <w:lang w:eastAsia="en-US"/>
              </w:rPr>
            </w:pPr>
            <w:r w:rsidRPr="00200054">
              <w:rPr>
                <w:b/>
                <w:iCs/>
                <w:lang w:eastAsia="en-US"/>
              </w:rPr>
              <w:t>Reading</w:t>
            </w:r>
          </w:p>
          <w:p w14:paraId="60DE36C5" w14:textId="29295327" w:rsidR="00C041BD" w:rsidRDefault="004A4E36" w:rsidP="00242093">
            <w:pPr>
              <w:spacing w:before="60"/>
              <w:rPr>
                <w:b/>
                <w:iCs/>
                <w:lang w:eastAsia="en-US"/>
              </w:rPr>
            </w:pPr>
            <w:r>
              <w:rPr>
                <w:noProof/>
              </w:rPr>
              <w:drawing>
                <wp:anchor distT="0" distB="0" distL="114300" distR="114300" simplePos="0" relativeHeight="251661312" behindDoc="0" locked="0" layoutInCell="1" allowOverlap="1" wp14:anchorId="1C46CAE1" wp14:editId="2D78EC3B">
                  <wp:simplePos x="0" y="0"/>
                  <wp:positionH relativeFrom="column">
                    <wp:posOffset>2970530</wp:posOffset>
                  </wp:positionH>
                  <wp:positionV relativeFrom="paragraph">
                    <wp:posOffset>353695</wp:posOffset>
                  </wp:positionV>
                  <wp:extent cx="2619375" cy="13430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619375" cy="1343025"/>
                          </a:xfrm>
                          <a:prstGeom prst="rect">
                            <a:avLst/>
                          </a:prstGeom>
                        </pic:spPr>
                      </pic:pic>
                    </a:graphicData>
                  </a:graphic>
                </wp:anchor>
              </w:drawing>
            </w:r>
            <w:r w:rsidR="00C041BD">
              <w:rPr>
                <w:b/>
                <w:iCs/>
                <w:lang w:eastAsia="en-US"/>
              </w:rPr>
              <w:t>KS1</w:t>
            </w:r>
            <w:r>
              <w:rPr>
                <w:b/>
                <w:iCs/>
                <w:lang w:eastAsia="en-US"/>
              </w:rPr>
              <w:t xml:space="preserve">                                                                  KS2</w:t>
            </w:r>
          </w:p>
          <w:p w14:paraId="4426B9A5" w14:textId="75A5CBC7" w:rsidR="00200054" w:rsidRDefault="00C041BD" w:rsidP="00242093">
            <w:pPr>
              <w:spacing w:before="60"/>
              <w:rPr>
                <w:b/>
                <w:iCs/>
                <w:lang w:eastAsia="en-US"/>
              </w:rPr>
            </w:pPr>
            <w:r>
              <w:rPr>
                <w:noProof/>
              </w:rPr>
              <w:drawing>
                <wp:inline distT="0" distB="0" distL="0" distR="0" wp14:anchorId="51EB3B1E" wp14:editId="4847DD04">
                  <wp:extent cx="2609850" cy="1314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09850" cy="1314450"/>
                          </a:xfrm>
                          <a:prstGeom prst="rect">
                            <a:avLst/>
                          </a:prstGeom>
                        </pic:spPr>
                      </pic:pic>
                    </a:graphicData>
                  </a:graphic>
                </wp:inline>
              </w:drawing>
            </w:r>
            <w:r w:rsidR="00200054" w:rsidRPr="00200054">
              <w:rPr>
                <w:b/>
                <w:iCs/>
                <w:lang w:eastAsia="en-US"/>
              </w:rPr>
              <w:t xml:space="preserve"> </w:t>
            </w:r>
          </w:p>
          <w:p w14:paraId="4E760EFB" w14:textId="765E9254" w:rsidR="00200054" w:rsidRDefault="00200054" w:rsidP="00242093">
            <w:pPr>
              <w:spacing w:before="60"/>
              <w:rPr>
                <w:b/>
                <w:iCs/>
                <w:lang w:eastAsia="en-US"/>
              </w:rPr>
            </w:pPr>
          </w:p>
          <w:p w14:paraId="21720973" w14:textId="68D81D34" w:rsidR="00200054" w:rsidRDefault="00200054" w:rsidP="00242093">
            <w:pPr>
              <w:spacing w:before="60"/>
              <w:rPr>
                <w:b/>
                <w:iCs/>
                <w:lang w:eastAsia="en-US"/>
              </w:rPr>
            </w:pPr>
            <w:r>
              <w:rPr>
                <w:b/>
                <w:iCs/>
                <w:lang w:eastAsia="en-US"/>
              </w:rPr>
              <w:t xml:space="preserve">Writing </w:t>
            </w:r>
          </w:p>
          <w:p w14:paraId="45E53E70" w14:textId="25E0BCFD" w:rsidR="00C041BD" w:rsidRDefault="004A4E36" w:rsidP="00242093">
            <w:pPr>
              <w:spacing w:before="60"/>
              <w:rPr>
                <w:b/>
                <w:iCs/>
                <w:lang w:eastAsia="en-US"/>
              </w:rPr>
            </w:pPr>
            <w:r>
              <w:rPr>
                <w:noProof/>
              </w:rPr>
              <w:drawing>
                <wp:anchor distT="0" distB="0" distL="114300" distR="114300" simplePos="0" relativeHeight="251662336" behindDoc="0" locked="0" layoutInCell="1" allowOverlap="1" wp14:anchorId="51B8B4E5" wp14:editId="7785DFC8">
                  <wp:simplePos x="0" y="0"/>
                  <wp:positionH relativeFrom="column">
                    <wp:posOffset>3027680</wp:posOffset>
                  </wp:positionH>
                  <wp:positionV relativeFrom="paragraph">
                    <wp:posOffset>369570</wp:posOffset>
                  </wp:positionV>
                  <wp:extent cx="2590800" cy="13144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590800" cy="1314450"/>
                          </a:xfrm>
                          <a:prstGeom prst="rect">
                            <a:avLst/>
                          </a:prstGeom>
                        </pic:spPr>
                      </pic:pic>
                    </a:graphicData>
                  </a:graphic>
                </wp:anchor>
              </w:drawing>
            </w:r>
            <w:r w:rsidR="00C041BD">
              <w:rPr>
                <w:b/>
                <w:iCs/>
                <w:lang w:eastAsia="en-US"/>
              </w:rPr>
              <w:t>KS1</w:t>
            </w:r>
            <w:r>
              <w:rPr>
                <w:b/>
                <w:iCs/>
                <w:lang w:eastAsia="en-US"/>
              </w:rPr>
              <w:t xml:space="preserve">                                                                   </w:t>
            </w:r>
            <w:r>
              <w:rPr>
                <w:b/>
                <w:iCs/>
                <w:lang w:eastAsia="en-US"/>
              </w:rPr>
              <w:t>K</w:t>
            </w:r>
            <w:r>
              <w:rPr>
                <w:b/>
                <w:iCs/>
                <w:lang w:eastAsia="en-US"/>
              </w:rPr>
              <w:t>S2</w:t>
            </w:r>
          </w:p>
          <w:p w14:paraId="08F48507" w14:textId="2236C3A4" w:rsidR="00200054" w:rsidRDefault="00C041BD" w:rsidP="00242093">
            <w:pPr>
              <w:spacing w:before="60"/>
              <w:rPr>
                <w:b/>
                <w:iCs/>
                <w:lang w:eastAsia="en-US"/>
              </w:rPr>
            </w:pPr>
            <w:r>
              <w:rPr>
                <w:noProof/>
              </w:rPr>
              <w:drawing>
                <wp:inline distT="0" distB="0" distL="0" distR="0" wp14:anchorId="280CB0BE" wp14:editId="5C6FF0F4">
                  <wp:extent cx="2581275" cy="1381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81275" cy="1381125"/>
                          </a:xfrm>
                          <a:prstGeom prst="rect">
                            <a:avLst/>
                          </a:prstGeom>
                        </pic:spPr>
                      </pic:pic>
                    </a:graphicData>
                  </a:graphic>
                </wp:inline>
              </w:drawing>
            </w:r>
          </w:p>
          <w:p w14:paraId="59AD7B43" w14:textId="762EAC0C" w:rsidR="00A41C65" w:rsidRDefault="00200054" w:rsidP="00242093">
            <w:pPr>
              <w:spacing w:before="60"/>
              <w:rPr>
                <w:b/>
                <w:iCs/>
                <w:lang w:eastAsia="en-US"/>
              </w:rPr>
            </w:pPr>
            <w:r>
              <w:rPr>
                <w:b/>
                <w:iCs/>
                <w:lang w:eastAsia="en-US"/>
              </w:rPr>
              <w:t xml:space="preserve">Maths </w:t>
            </w:r>
          </w:p>
          <w:p w14:paraId="778B42F0" w14:textId="54545DC5" w:rsidR="00F13D12" w:rsidRPr="00A41C65" w:rsidRDefault="00F13D12" w:rsidP="00242093">
            <w:pPr>
              <w:spacing w:before="60"/>
              <w:rPr>
                <w:b/>
                <w:iCs/>
                <w:lang w:eastAsia="en-US"/>
              </w:rPr>
            </w:pPr>
            <w:r>
              <w:rPr>
                <w:noProof/>
              </w:rPr>
              <w:drawing>
                <wp:anchor distT="0" distB="0" distL="114300" distR="114300" simplePos="0" relativeHeight="251663360" behindDoc="0" locked="0" layoutInCell="1" allowOverlap="1" wp14:anchorId="0E534253" wp14:editId="7E95D457">
                  <wp:simplePos x="0" y="0"/>
                  <wp:positionH relativeFrom="column">
                    <wp:posOffset>3180080</wp:posOffset>
                  </wp:positionH>
                  <wp:positionV relativeFrom="paragraph">
                    <wp:posOffset>310515</wp:posOffset>
                  </wp:positionV>
                  <wp:extent cx="2590800" cy="14097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2590800" cy="1409700"/>
                          </a:xfrm>
                          <a:prstGeom prst="rect">
                            <a:avLst/>
                          </a:prstGeom>
                        </pic:spPr>
                      </pic:pic>
                    </a:graphicData>
                  </a:graphic>
                </wp:anchor>
              </w:drawing>
            </w:r>
            <w:r>
              <w:rPr>
                <w:b/>
                <w:iCs/>
                <w:lang w:eastAsia="en-US"/>
              </w:rPr>
              <w:t>KS1                                                                  KS2</w:t>
            </w:r>
            <w:r>
              <w:rPr>
                <w:noProof/>
              </w:rPr>
              <w:t xml:space="preserve"> </w:t>
            </w:r>
          </w:p>
          <w:p w14:paraId="58A3F3C2" w14:textId="24FA86F7" w:rsidR="00A41C65" w:rsidRDefault="00C041BD" w:rsidP="00242093">
            <w:pPr>
              <w:spacing w:before="60"/>
              <w:rPr>
                <w:noProof/>
              </w:rPr>
            </w:pPr>
            <w:r>
              <w:rPr>
                <w:noProof/>
              </w:rPr>
              <w:drawing>
                <wp:inline distT="0" distB="0" distL="0" distR="0" wp14:anchorId="2EFF3A04" wp14:editId="10617629">
                  <wp:extent cx="2609850" cy="1409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09850" cy="1409700"/>
                          </a:xfrm>
                          <a:prstGeom prst="rect">
                            <a:avLst/>
                          </a:prstGeom>
                        </pic:spPr>
                      </pic:pic>
                    </a:graphicData>
                  </a:graphic>
                </wp:inline>
              </w:drawing>
            </w:r>
          </w:p>
          <w:p w14:paraId="4B2A2F23" w14:textId="7940946B" w:rsidR="00A41C65" w:rsidRDefault="004A4E36" w:rsidP="00242093">
            <w:pPr>
              <w:spacing w:before="60"/>
              <w:rPr>
                <w:b/>
                <w:noProof/>
              </w:rPr>
            </w:pPr>
            <w:r w:rsidRPr="004A4E36">
              <w:rPr>
                <w:b/>
                <w:noProof/>
              </w:rPr>
              <w:t xml:space="preserve">KS2 GPS </w:t>
            </w:r>
          </w:p>
          <w:p w14:paraId="3D8AC4C2" w14:textId="441E1BC2" w:rsidR="004A4E36" w:rsidRPr="004A4E36" w:rsidRDefault="004A4E36" w:rsidP="00242093">
            <w:pPr>
              <w:spacing w:before="60"/>
              <w:rPr>
                <w:b/>
                <w:noProof/>
              </w:rPr>
            </w:pPr>
            <w:r>
              <w:rPr>
                <w:noProof/>
              </w:rPr>
              <w:lastRenderedPageBreak/>
              <w:drawing>
                <wp:inline distT="0" distB="0" distL="0" distR="0" wp14:anchorId="521BCA60" wp14:editId="0F2FAA1B">
                  <wp:extent cx="2590800"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590800" cy="1371600"/>
                          </a:xfrm>
                          <a:prstGeom prst="rect">
                            <a:avLst/>
                          </a:prstGeom>
                        </pic:spPr>
                      </pic:pic>
                    </a:graphicData>
                  </a:graphic>
                </wp:inline>
              </w:drawing>
            </w:r>
          </w:p>
          <w:p w14:paraId="0F89A7AD" w14:textId="2D03DED0" w:rsidR="00454E9C" w:rsidRDefault="00454E9C" w:rsidP="00242093">
            <w:pPr>
              <w:spacing w:before="60"/>
              <w:rPr>
                <w:noProof/>
              </w:rPr>
            </w:pPr>
            <w:r>
              <w:rPr>
                <w:noProof/>
              </w:rPr>
              <w:t xml:space="preserve">Internal data shows that children in receipt of the Pupil preium grant are </w:t>
            </w:r>
            <w:r w:rsidR="00311D6C">
              <w:rPr>
                <w:noProof/>
              </w:rPr>
              <w:t xml:space="preserve">achiving in line with non pupil premium across the school and that the gap is closing.  </w:t>
            </w:r>
            <w:r>
              <w:rPr>
                <w:noProof/>
              </w:rPr>
              <w:t>Pupil premium children with</w:t>
            </w:r>
            <w:r w:rsidR="00311D6C">
              <w:rPr>
                <w:noProof/>
              </w:rPr>
              <w:t xml:space="preserve"> no SEND needs </w:t>
            </w:r>
            <w:r>
              <w:rPr>
                <w:noProof/>
              </w:rPr>
              <w:t xml:space="preserve"> are in line with national average.  There are not enough children in receipt of the Pupil Premium grant achieving greater depth in the core subjects.  </w:t>
            </w:r>
          </w:p>
          <w:p w14:paraId="60A025CB" w14:textId="2206AD76" w:rsidR="003856D0" w:rsidRDefault="003856D0" w:rsidP="003856D0">
            <w:pPr>
              <w:rPr>
                <w:rFonts w:cs="Arial"/>
                <w:color w:val="000000"/>
              </w:rPr>
            </w:pPr>
            <w:r>
              <w:rPr>
                <w:rFonts w:cs="Arial"/>
                <w:color w:val="000000"/>
              </w:rPr>
              <w:t>We have also drawn on school data and observations to assess wider issues impacting disadvantaged pupils' performance, including attendance, behaviour and wellbeing.</w:t>
            </w:r>
          </w:p>
          <w:p w14:paraId="7449748E" w14:textId="7436464D" w:rsidR="00454E9C" w:rsidRDefault="0028507B" w:rsidP="006709C8">
            <w:pPr>
              <w:jc w:val="both"/>
              <w:rPr>
                <w:rFonts w:cs="Arial"/>
                <w:color w:val="000000"/>
              </w:rPr>
            </w:pPr>
            <w:r>
              <w:rPr>
                <w:rFonts w:cs="Arial"/>
                <w:color w:val="000000"/>
              </w:rPr>
              <w:t xml:space="preserve">The attendance of pupils in receipt of the Pupil Premium grant was better than that of other pupils however the overall percentage was still below national average and therefore further improvement is necessary.  </w:t>
            </w:r>
            <w:r w:rsidR="00E74BBF">
              <w:rPr>
                <w:rFonts w:cs="Arial"/>
                <w:color w:val="000000"/>
              </w:rPr>
              <w:t>Observations and behaviour and well-being records show that the behaviour of children in receipt of the Pupil Premium grant has improved significantly.  54% of children in receipt of the grant continue to need emotional</w:t>
            </w:r>
            <w:r w:rsidR="00E963AD">
              <w:rPr>
                <w:rFonts w:cs="Arial"/>
                <w:color w:val="000000"/>
              </w:rPr>
              <w:t>, well-</w:t>
            </w:r>
            <w:r w:rsidR="00E74BBF">
              <w:rPr>
                <w:rFonts w:cs="Arial"/>
                <w:color w:val="000000"/>
              </w:rPr>
              <w:t xml:space="preserve">being or attendance support.  </w:t>
            </w:r>
          </w:p>
          <w:p w14:paraId="42EE1DFB" w14:textId="64658F51" w:rsidR="00454E9C" w:rsidRDefault="00454E9C" w:rsidP="006709C8">
            <w:pPr>
              <w:jc w:val="both"/>
              <w:rPr>
                <w:rFonts w:cs="Arial"/>
                <w:color w:val="000000"/>
              </w:rPr>
            </w:pPr>
            <w:r>
              <w:rPr>
                <w:rFonts w:cs="Arial"/>
                <w:color w:val="000000"/>
              </w:rPr>
              <w:t xml:space="preserve">Based on all the information above, the performance of our disadvantaged pupils </w:t>
            </w:r>
            <w:r w:rsidR="006709C8">
              <w:rPr>
                <w:rFonts w:cs="Arial"/>
                <w:i/>
                <w:iCs/>
                <w:color w:val="000000"/>
              </w:rPr>
              <w:t xml:space="preserve">met </w:t>
            </w:r>
            <w:r>
              <w:rPr>
                <w:rFonts w:cs="Arial"/>
                <w:color w:val="000000"/>
              </w:rPr>
              <w:t xml:space="preserve">expectations, </w:t>
            </w:r>
            <w:r w:rsidR="006709C8">
              <w:rPr>
                <w:rFonts w:cs="Arial"/>
                <w:color w:val="000000"/>
              </w:rPr>
              <w:t xml:space="preserve">but further progress needs to be made in reading, </w:t>
            </w:r>
            <w:r>
              <w:rPr>
                <w:rFonts w:cs="Arial"/>
                <w:color w:val="000000"/>
              </w:rPr>
              <w:t xml:space="preserve">and we are at </w:t>
            </w:r>
            <w:r w:rsidRPr="00454E9C">
              <w:rPr>
                <w:rFonts w:cs="Arial"/>
                <w:color w:val="000000"/>
              </w:rPr>
              <w:t xml:space="preserve">present </w:t>
            </w:r>
            <w:r w:rsidRPr="00454E9C">
              <w:rPr>
                <w:rFonts w:cs="Arial"/>
                <w:iCs/>
                <w:color w:val="000000"/>
              </w:rPr>
              <w:t>on course</w:t>
            </w:r>
            <w:r w:rsidRPr="00454E9C">
              <w:rPr>
                <w:rFonts w:cs="Arial"/>
                <w:color w:val="000000"/>
              </w:rPr>
              <w:t xml:space="preserve"> to achieve</w:t>
            </w:r>
            <w:r>
              <w:rPr>
                <w:rFonts w:cs="Arial"/>
                <w:color w:val="000000"/>
              </w:rPr>
              <w:t xml:space="preserve"> the outcom</w:t>
            </w:r>
            <w:r w:rsidR="00311D6C">
              <w:rPr>
                <w:rFonts w:cs="Arial"/>
                <w:color w:val="000000"/>
              </w:rPr>
              <w:t>es we set out to achieve by 2025/26</w:t>
            </w:r>
            <w:r>
              <w:rPr>
                <w:rFonts w:cs="Arial"/>
                <w:color w:val="000000"/>
              </w:rPr>
              <w:t xml:space="preserve">, as stated in the Intended Outcomes section above. </w:t>
            </w:r>
          </w:p>
          <w:p w14:paraId="4400EC51" w14:textId="7134D9B4" w:rsidR="00454E9C" w:rsidRDefault="00454E9C" w:rsidP="006709C8">
            <w:pPr>
              <w:jc w:val="both"/>
              <w:rPr>
                <w:rFonts w:cs="Arial"/>
                <w:color w:val="000000"/>
              </w:rPr>
            </w:pPr>
            <w:r>
              <w:rPr>
                <w:rFonts w:cs="Arial"/>
                <w:color w:val="000000"/>
              </w:rPr>
              <w:t>Our evaluation of the approaches delivered last academic year indicates that</w:t>
            </w:r>
            <w:r w:rsidR="006709C8">
              <w:rPr>
                <w:rFonts w:cs="Arial"/>
                <w:color w:val="000000"/>
              </w:rPr>
              <w:t xml:space="preserve"> all interventions have been successful. </w:t>
            </w:r>
          </w:p>
          <w:p w14:paraId="1C09559E" w14:textId="7276B9DD" w:rsidR="00454E9C" w:rsidRDefault="00454E9C" w:rsidP="006709C8">
            <w:pPr>
              <w:jc w:val="both"/>
              <w:rPr>
                <w:rFonts w:cs="Arial"/>
                <w:color w:val="000000"/>
              </w:rPr>
            </w:pPr>
            <w:r>
              <w:rPr>
                <w:rFonts w:cs="Arial"/>
                <w:color w:val="000000"/>
              </w:rPr>
              <w:t>We have reviewed our strategy plan and made changes to how we intend to use some of our budget this academic year. The Further Information section below provides more details about our planning, implementation, and evaluation processes.</w:t>
            </w:r>
          </w:p>
          <w:p w14:paraId="6C6CFB6D" w14:textId="77777777" w:rsidR="003856D0" w:rsidRDefault="003856D0" w:rsidP="00242093">
            <w:pPr>
              <w:spacing w:before="60"/>
              <w:rPr>
                <w:noProof/>
              </w:rPr>
            </w:pPr>
          </w:p>
          <w:p w14:paraId="449D50CB" w14:textId="70BF1C56" w:rsidR="00BD7D11" w:rsidRDefault="00BD7D11" w:rsidP="00242093">
            <w:pPr>
              <w:spacing w:before="60"/>
              <w:rPr>
                <w:noProof/>
              </w:rPr>
            </w:pPr>
          </w:p>
          <w:p w14:paraId="1D022BF4" w14:textId="77777777" w:rsidR="00BD7D11" w:rsidRDefault="00BD7D11" w:rsidP="00242093">
            <w:pPr>
              <w:spacing w:before="60"/>
              <w:rPr>
                <w:noProof/>
              </w:rPr>
            </w:pPr>
          </w:p>
          <w:p w14:paraId="18EAA50A" w14:textId="77777777" w:rsidR="00A41C65" w:rsidRDefault="00A41C65" w:rsidP="00242093">
            <w:pPr>
              <w:spacing w:before="60"/>
              <w:rPr>
                <w:noProof/>
              </w:rPr>
            </w:pPr>
          </w:p>
          <w:p w14:paraId="3A135A8B" w14:textId="77777777" w:rsidR="00A41C65" w:rsidRDefault="00A41C65" w:rsidP="00242093">
            <w:pPr>
              <w:spacing w:before="60"/>
              <w:rPr>
                <w:noProof/>
              </w:rPr>
            </w:pPr>
          </w:p>
          <w:p w14:paraId="72E95837" w14:textId="77777777" w:rsidR="00A41C65" w:rsidRDefault="00A41C65" w:rsidP="00242093">
            <w:pPr>
              <w:spacing w:before="60"/>
              <w:rPr>
                <w:noProof/>
              </w:rPr>
            </w:pPr>
          </w:p>
          <w:p w14:paraId="32B2AA46" w14:textId="77777777" w:rsidR="00A41C65" w:rsidRDefault="00A41C65" w:rsidP="00242093">
            <w:pPr>
              <w:spacing w:before="60"/>
              <w:rPr>
                <w:noProof/>
              </w:rPr>
            </w:pPr>
          </w:p>
          <w:p w14:paraId="214EF1FF" w14:textId="77777777" w:rsidR="00A41C65" w:rsidRDefault="00A41C65" w:rsidP="00242093">
            <w:pPr>
              <w:spacing w:before="60"/>
              <w:rPr>
                <w:noProof/>
              </w:rPr>
            </w:pPr>
          </w:p>
          <w:p w14:paraId="5023926C" w14:textId="4514AD49" w:rsidR="00200054" w:rsidRPr="00A41C65" w:rsidRDefault="00200054" w:rsidP="00242093">
            <w:pPr>
              <w:spacing w:before="60"/>
              <w:rPr>
                <w:noProof/>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6232597" w:rsidR="00E66558" w:rsidRDefault="004827EF">
            <w:pPr>
              <w:pStyle w:val="TableRow"/>
            </w:pPr>
            <w:r>
              <w:t xml:space="preserve">N/A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4"/>
    <w:bookmarkEnd w:id="15"/>
    <w:bookmarkEnd w:id="16"/>
    <w:sectPr w:rsidR="00E66558">
      <w:headerReference w:type="default" r:id="rId37"/>
      <w:footerReference w:type="default" r:id="rId3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F49015B" w:rsidR="00C373EA" w:rsidRDefault="009D71E8">
    <w:pPr>
      <w:pStyle w:val="Footer"/>
      <w:ind w:firstLine="4513"/>
    </w:pPr>
    <w:r>
      <w:fldChar w:fldCharType="begin"/>
    </w:r>
    <w:r>
      <w:instrText xml:space="preserve"> PAGE </w:instrText>
    </w:r>
    <w:r>
      <w:fldChar w:fldCharType="separate"/>
    </w:r>
    <w:r w:rsidR="00874E2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2530E"/>
    <w:rsid w:val="0002710D"/>
    <w:rsid w:val="00036678"/>
    <w:rsid w:val="000452EB"/>
    <w:rsid w:val="00045603"/>
    <w:rsid w:val="000463AE"/>
    <w:rsid w:val="00047B7A"/>
    <w:rsid w:val="000507A3"/>
    <w:rsid w:val="00060A62"/>
    <w:rsid w:val="0006153C"/>
    <w:rsid w:val="000620DA"/>
    <w:rsid w:val="00064366"/>
    <w:rsid w:val="00066B73"/>
    <w:rsid w:val="00071481"/>
    <w:rsid w:val="000734BE"/>
    <w:rsid w:val="00075FAE"/>
    <w:rsid w:val="00082F38"/>
    <w:rsid w:val="000837DB"/>
    <w:rsid w:val="0008384B"/>
    <w:rsid w:val="00090E68"/>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185C"/>
    <w:rsid w:val="00114288"/>
    <w:rsid w:val="00115538"/>
    <w:rsid w:val="00116FA8"/>
    <w:rsid w:val="00120AB1"/>
    <w:rsid w:val="00123A7F"/>
    <w:rsid w:val="001278D0"/>
    <w:rsid w:val="00127F72"/>
    <w:rsid w:val="00132B56"/>
    <w:rsid w:val="00140646"/>
    <w:rsid w:val="00147A4B"/>
    <w:rsid w:val="00152554"/>
    <w:rsid w:val="00155944"/>
    <w:rsid w:val="001559D7"/>
    <w:rsid w:val="00162402"/>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0054"/>
    <w:rsid w:val="00202B62"/>
    <w:rsid w:val="00203DB9"/>
    <w:rsid w:val="00204F40"/>
    <w:rsid w:val="00205DEF"/>
    <w:rsid w:val="002112C3"/>
    <w:rsid w:val="002131E5"/>
    <w:rsid w:val="0021648F"/>
    <w:rsid w:val="00216984"/>
    <w:rsid w:val="00216C8A"/>
    <w:rsid w:val="00220FE9"/>
    <w:rsid w:val="00226317"/>
    <w:rsid w:val="00231539"/>
    <w:rsid w:val="00242093"/>
    <w:rsid w:val="00243F22"/>
    <w:rsid w:val="002523E3"/>
    <w:rsid w:val="00252AD6"/>
    <w:rsid w:val="002542CE"/>
    <w:rsid w:val="00257A4E"/>
    <w:rsid w:val="00266FA5"/>
    <w:rsid w:val="00276FBA"/>
    <w:rsid w:val="00277665"/>
    <w:rsid w:val="002837AE"/>
    <w:rsid w:val="0028507B"/>
    <w:rsid w:val="002920F4"/>
    <w:rsid w:val="002940F3"/>
    <w:rsid w:val="002953F9"/>
    <w:rsid w:val="00295842"/>
    <w:rsid w:val="002B3574"/>
    <w:rsid w:val="002B6B74"/>
    <w:rsid w:val="002C6AE7"/>
    <w:rsid w:val="002D2D4B"/>
    <w:rsid w:val="002D3805"/>
    <w:rsid w:val="002E66AE"/>
    <w:rsid w:val="002E6BE8"/>
    <w:rsid w:val="002E7763"/>
    <w:rsid w:val="002F4C6F"/>
    <w:rsid w:val="002F5011"/>
    <w:rsid w:val="002F5842"/>
    <w:rsid w:val="002F7847"/>
    <w:rsid w:val="00306CB7"/>
    <w:rsid w:val="00310654"/>
    <w:rsid w:val="003111F5"/>
    <w:rsid w:val="00311D6C"/>
    <w:rsid w:val="00317664"/>
    <w:rsid w:val="00336200"/>
    <w:rsid w:val="00337418"/>
    <w:rsid w:val="00351D83"/>
    <w:rsid w:val="00352197"/>
    <w:rsid w:val="00353E46"/>
    <w:rsid w:val="003576C4"/>
    <w:rsid w:val="003626F1"/>
    <w:rsid w:val="0036277A"/>
    <w:rsid w:val="00366AB0"/>
    <w:rsid w:val="003700E8"/>
    <w:rsid w:val="0037437C"/>
    <w:rsid w:val="00376E15"/>
    <w:rsid w:val="0038146B"/>
    <w:rsid w:val="0038340F"/>
    <w:rsid w:val="00384457"/>
    <w:rsid w:val="00384F24"/>
    <w:rsid w:val="003856D0"/>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3E5112"/>
    <w:rsid w:val="004044AA"/>
    <w:rsid w:val="004044C8"/>
    <w:rsid w:val="00404F3F"/>
    <w:rsid w:val="00410B5D"/>
    <w:rsid w:val="00413BEC"/>
    <w:rsid w:val="0042265E"/>
    <w:rsid w:val="00424ED7"/>
    <w:rsid w:val="00425258"/>
    <w:rsid w:val="00426217"/>
    <w:rsid w:val="00431A80"/>
    <w:rsid w:val="00435A89"/>
    <w:rsid w:val="00452267"/>
    <w:rsid w:val="00453307"/>
    <w:rsid w:val="00454E9C"/>
    <w:rsid w:val="00455A02"/>
    <w:rsid w:val="00457E36"/>
    <w:rsid w:val="00460BD3"/>
    <w:rsid w:val="00462F8F"/>
    <w:rsid w:val="004708F2"/>
    <w:rsid w:val="004724DE"/>
    <w:rsid w:val="004770FE"/>
    <w:rsid w:val="0048157F"/>
    <w:rsid w:val="00481D56"/>
    <w:rsid w:val="004827EF"/>
    <w:rsid w:val="00490408"/>
    <w:rsid w:val="004A4C45"/>
    <w:rsid w:val="004A4E36"/>
    <w:rsid w:val="004B0485"/>
    <w:rsid w:val="004B428E"/>
    <w:rsid w:val="004B4D0A"/>
    <w:rsid w:val="004B4D37"/>
    <w:rsid w:val="004C1FDC"/>
    <w:rsid w:val="004C42F0"/>
    <w:rsid w:val="004D50C8"/>
    <w:rsid w:val="004D6B72"/>
    <w:rsid w:val="004E1D73"/>
    <w:rsid w:val="004E4346"/>
    <w:rsid w:val="004E72DD"/>
    <w:rsid w:val="005025FB"/>
    <w:rsid w:val="00503462"/>
    <w:rsid w:val="005065EB"/>
    <w:rsid w:val="0051286E"/>
    <w:rsid w:val="00516021"/>
    <w:rsid w:val="00516457"/>
    <w:rsid w:val="00516641"/>
    <w:rsid w:val="0051729F"/>
    <w:rsid w:val="00520A0C"/>
    <w:rsid w:val="00530E37"/>
    <w:rsid w:val="00532993"/>
    <w:rsid w:val="00535946"/>
    <w:rsid w:val="00540D24"/>
    <w:rsid w:val="005452CF"/>
    <w:rsid w:val="005464A1"/>
    <w:rsid w:val="00546F12"/>
    <w:rsid w:val="0055339C"/>
    <w:rsid w:val="005542CC"/>
    <w:rsid w:val="00560424"/>
    <w:rsid w:val="00562B3C"/>
    <w:rsid w:val="00564E40"/>
    <w:rsid w:val="0057046F"/>
    <w:rsid w:val="005750E2"/>
    <w:rsid w:val="0058313F"/>
    <w:rsid w:val="00585859"/>
    <w:rsid w:val="00586FBC"/>
    <w:rsid w:val="005879C9"/>
    <w:rsid w:val="00594CAD"/>
    <w:rsid w:val="005A1C3D"/>
    <w:rsid w:val="005A1D0B"/>
    <w:rsid w:val="005A3C6B"/>
    <w:rsid w:val="005B1EA5"/>
    <w:rsid w:val="005C54A0"/>
    <w:rsid w:val="005D0D15"/>
    <w:rsid w:val="005D7176"/>
    <w:rsid w:val="005E18CB"/>
    <w:rsid w:val="005E1F24"/>
    <w:rsid w:val="005E3667"/>
    <w:rsid w:val="005E54F2"/>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537C"/>
    <w:rsid w:val="006671BF"/>
    <w:rsid w:val="006709C8"/>
    <w:rsid w:val="00672A7D"/>
    <w:rsid w:val="00681416"/>
    <w:rsid w:val="006A06F5"/>
    <w:rsid w:val="006A0ED2"/>
    <w:rsid w:val="006B0A73"/>
    <w:rsid w:val="006B5A6B"/>
    <w:rsid w:val="006C0F82"/>
    <w:rsid w:val="006C25E8"/>
    <w:rsid w:val="006C332E"/>
    <w:rsid w:val="006C4F20"/>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02F5"/>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2E9A"/>
    <w:rsid w:val="00764551"/>
    <w:rsid w:val="007677B8"/>
    <w:rsid w:val="00781713"/>
    <w:rsid w:val="00785285"/>
    <w:rsid w:val="0078529D"/>
    <w:rsid w:val="00785E77"/>
    <w:rsid w:val="00787DC1"/>
    <w:rsid w:val="00794070"/>
    <w:rsid w:val="007A63CA"/>
    <w:rsid w:val="007A713B"/>
    <w:rsid w:val="007A7DA0"/>
    <w:rsid w:val="007B1C29"/>
    <w:rsid w:val="007B3220"/>
    <w:rsid w:val="007B64E5"/>
    <w:rsid w:val="007C2F04"/>
    <w:rsid w:val="007C7E6E"/>
    <w:rsid w:val="007D132F"/>
    <w:rsid w:val="007F06E5"/>
    <w:rsid w:val="007F5B8B"/>
    <w:rsid w:val="00817E9A"/>
    <w:rsid w:val="00821DC3"/>
    <w:rsid w:val="00827786"/>
    <w:rsid w:val="00827BDA"/>
    <w:rsid w:val="00830D57"/>
    <w:rsid w:val="00831F00"/>
    <w:rsid w:val="00850CA0"/>
    <w:rsid w:val="00852A2F"/>
    <w:rsid w:val="008608EE"/>
    <w:rsid w:val="00860B07"/>
    <w:rsid w:val="008616F6"/>
    <w:rsid w:val="0086259C"/>
    <w:rsid w:val="0086358D"/>
    <w:rsid w:val="008674ED"/>
    <w:rsid w:val="0087074C"/>
    <w:rsid w:val="00874E29"/>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202"/>
    <w:rsid w:val="0092660E"/>
    <w:rsid w:val="00936519"/>
    <w:rsid w:val="00941DA3"/>
    <w:rsid w:val="00942C0C"/>
    <w:rsid w:val="00951711"/>
    <w:rsid w:val="00952F62"/>
    <w:rsid w:val="009539E3"/>
    <w:rsid w:val="00954A5E"/>
    <w:rsid w:val="009551B2"/>
    <w:rsid w:val="0096022C"/>
    <w:rsid w:val="00964625"/>
    <w:rsid w:val="00971F13"/>
    <w:rsid w:val="00973071"/>
    <w:rsid w:val="00980937"/>
    <w:rsid w:val="00981C1D"/>
    <w:rsid w:val="0099109C"/>
    <w:rsid w:val="00992769"/>
    <w:rsid w:val="009936DB"/>
    <w:rsid w:val="00993CFC"/>
    <w:rsid w:val="009A1DC2"/>
    <w:rsid w:val="009A4B74"/>
    <w:rsid w:val="009A5EEA"/>
    <w:rsid w:val="009B0906"/>
    <w:rsid w:val="009B38F2"/>
    <w:rsid w:val="009B7433"/>
    <w:rsid w:val="009C0914"/>
    <w:rsid w:val="009C27E5"/>
    <w:rsid w:val="009D24A1"/>
    <w:rsid w:val="009D3891"/>
    <w:rsid w:val="009D71E8"/>
    <w:rsid w:val="009E104B"/>
    <w:rsid w:val="009E7DE4"/>
    <w:rsid w:val="009F057B"/>
    <w:rsid w:val="009F3BBD"/>
    <w:rsid w:val="00A022AB"/>
    <w:rsid w:val="00A063DD"/>
    <w:rsid w:val="00A112B5"/>
    <w:rsid w:val="00A14EEA"/>
    <w:rsid w:val="00A17269"/>
    <w:rsid w:val="00A26738"/>
    <w:rsid w:val="00A33636"/>
    <w:rsid w:val="00A41C65"/>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4CEF"/>
    <w:rsid w:val="00AD7B5A"/>
    <w:rsid w:val="00AE229F"/>
    <w:rsid w:val="00AF5E20"/>
    <w:rsid w:val="00B002FA"/>
    <w:rsid w:val="00B00327"/>
    <w:rsid w:val="00B024B3"/>
    <w:rsid w:val="00B063BF"/>
    <w:rsid w:val="00B11DE8"/>
    <w:rsid w:val="00B179ED"/>
    <w:rsid w:val="00B20E18"/>
    <w:rsid w:val="00B31F37"/>
    <w:rsid w:val="00B331E1"/>
    <w:rsid w:val="00B572C4"/>
    <w:rsid w:val="00B60144"/>
    <w:rsid w:val="00B60858"/>
    <w:rsid w:val="00B74D4E"/>
    <w:rsid w:val="00B750B2"/>
    <w:rsid w:val="00B80219"/>
    <w:rsid w:val="00B85E4A"/>
    <w:rsid w:val="00B87184"/>
    <w:rsid w:val="00B91453"/>
    <w:rsid w:val="00BA19A5"/>
    <w:rsid w:val="00BC078B"/>
    <w:rsid w:val="00BC3A7D"/>
    <w:rsid w:val="00BC67F6"/>
    <w:rsid w:val="00BD2004"/>
    <w:rsid w:val="00BD4B12"/>
    <w:rsid w:val="00BD700D"/>
    <w:rsid w:val="00BD7D11"/>
    <w:rsid w:val="00BE2F92"/>
    <w:rsid w:val="00BE44AC"/>
    <w:rsid w:val="00BF0D5F"/>
    <w:rsid w:val="00BF59B3"/>
    <w:rsid w:val="00BF6F95"/>
    <w:rsid w:val="00C041BD"/>
    <w:rsid w:val="00C06363"/>
    <w:rsid w:val="00C10BCF"/>
    <w:rsid w:val="00C11EB4"/>
    <w:rsid w:val="00C12746"/>
    <w:rsid w:val="00C23C11"/>
    <w:rsid w:val="00C25827"/>
    <w:rsid w:val="00C31BB8"/>
    <w:rsid w:val="00C373EA"/>
    <w:rsid w:val="00C43CA3"/>
    <w:rsid w:val="00C43D9D"/>
    <w:rsid w:val="00C43EA4"/>
    <w:rsid w:val="00C50040"/>
    <w:rsid w:val="00C52DFF"/>
    <w:rsid w:val="00C54E38"/>
    <w:rsid w:val="00C621C1"/>
    <w:rsid w:val="00C62989"/>
    <w:rsid w:val="00C65CBB"/>
    <w:rsid w:val="00C74684"/>
    <w:rsid w:val="00C77FEF"/>
    <w:rsid w:val="00C80F37"/>
    <w:rsid w:val="00C83659"/>
    <w:rsid w:val="00C96FBF"/>
    <w:rsid w:val="00C97A7F"/>
    <w:rsid w:val="00CA4421"/>
    <w:rsid w:val="00CA5363"/>
    <w:rsid w:val="00CA7D07"/>
    <w:rsid w:val="00CB24A4"/>
    <w:rsid w:val="00CB5B17"/>
    <w:rsid w:val="00CC4443"/>
    <w:rsid w:val="00CC5CAF"/>
    <w:rsid w:val="00CD5374"/>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6452B"/>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0C97"/>
    <w:rsid w:val="00DE15AC"/>
    <w:rsid w:val="00DF2015"/>
    <w:rsid w:val="00E03792"/>
    <w:rsid w:val="00E061EC"/>
    <w:rsid w:val="00E10E81"/>
    <w:rsid w:val="00E13E51"/>
    <w:rsid w:val="00E21F56"/>
    <w:rsid w:val="00E3014F"/>
    <w:rsid w:val="00E36174"/>
    <w:rsid w:val="00E4286E"/>
    <w:rsid w:val="00E43EAD"/>
    <w:rsid w:val="00E62DCB"/>
    <w:rsid w:val="00E651DD"/>
    <w:rsid w:val="00E66558"/>
    <w:rsid w:val="00E70D81"/>
    <w:rsid w:val="00E726A6"/>
    <w:rsid w:val="00E73418"/>
    <w:rsid w:val="00E74BBF"/>
    <w:rsid w:val="00E8109E"/>
    <w:rsid w:val="00E86F05"/>
    <w:rsid w:val="00E963AD"/>
    <w:rsid w:val="00EA3A2A"/>
    <w:rsid w:val="00EB0297"/>
    <w:rsid w:val="00EB19EB"/>
    <w:rsid w:val="00EB4556"/>
    <w:rsid w:val="00EB64C8"/>
    <w:rsid w:val="00ED4136"/>
    <w:rsid w:val="00ED5108"/>
    <w:rsid w:val="00ED6AE8"/>
    <w:rsid w:val="00EE0D10"/>
    <w:rsid w:val="00EE2CB2"/>
    <w:rsid w:val="00F012CA"/>
    <w:rsid w:val="00F01752"/>
    <w:rsid w:val="00F017D2"/>
    <w:rsid w:val="00F0355A"/>
    <w:rsid w:val="00F05C44"/>
    <w:rsid w:val="00F13D12"/>
    <w:rsid w:val="00F15753"/>
    <w:rsid w:val="00F21F92"/>
    <w:rsid w:val="00F24A7E"/>
    <w:rsid w:val="00F32ABA"/>
    <w:rsid w:val="00F33DC0"/>
    <w:rsid w:val="00F33F28"/>
    <w:rsid w:val="00F35A40"/>
    <w:rsid w:val="00F35FDE"/>
    <w:rsid w:val="00F40DE1"/>
    <w:rsid w:val="00F4142A"/>
    <w:rsid w:val="00F46EFD"/>
    <w:rsid w:val="00F5567D"/>
    <w:rsid w:val="00F62587"/>
    <w:rsid w:val="00F631A6"/>
    <w:rsid w:val="00F63E9E"/>
    <w:rsid w:val="00F66AA7"/>
    <w:rsid w:val="00F75603"/>
    <w:rsid w:val="00F76843"/>
    <w:rsid w:val="00F776E1"/>
    <w:rsid w:val="00F925EB"/>
    <w:rsid w:val="00F97033"/>
    <w:rsid w:val="00FA6DD0"/>
    <w:rsid w:val="00FB593C"/>
    <w:rsid w:val="00FC28DF"/>
    <w:rsid w:val="00FD2297"/>
    <w:rsid w:val="00FD6AC6"/>
    <w:rsid w:val="00FE3136"/>
    <w:rsid w:val="00FE50A3"/>
    <w:rsid w:val="00FE5204"/>
    <w:rsid w:val="00FE604C"/>
    <w:rsid w:val="00FF21B4"/>
    <w:rsid w:val="00FF2F3E"/>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pull-single">
    <w:name w:val="pull-single"/>
    <w:basedOn w:val="DefaultParagraphFont"/>
    <w:rsid w:val="00665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76256215">
      <w:bodyDiv w:val="1"/>
      <w:marLeft w:val="0"/>
      <w:marRight w:val="0"/>
      <w:marTop w:val="0"/>
      <w:marBottom w:val="0"/>
      <w:divBdr>
        <w:top w:val="none" w:sz="0" w:space="0" w:color="auto"/>
        <w:left w:val="none" w:sz="0" w:space="0" w:color="auto"/>
        <w:bottom w:val="none" w:sz="0" w:space="0" w:color="auto"/>
        <w:right w:val="none" w:sz="0" w:space="0" w:color="auto"/>
      </w:divBdr>
    </w:div>
    <w:div w:id="117561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early-maths" TargetMode="External"/><Relationship Id="rId18" Type="http://schemas.openxmlformats.org/officeDocument/2006/relationships/hyperlink" Target="https://www.egfl.org.uk/sites/default/files/Services_for_children/SEND/Differentiation%20Nasen.pdf" TargetMode="External"/><Relationship Id="rId26" Type="http://schemas.openxmlformats.org/officeDocument/2006/relationships/hyperlink" Target="https://outdoorplayandlearning.org.uk/" TargetMode="External"/><Relationship Id="rId39" Type="http://schemas.openxmlformats.org/officeDocument/2006/relationships/fontTable" Target="fontTable.xml"/><Relationship Id="rId21" Type="http://schemas.openxmlformats.org/officeDocument/2006/relationships/hyperlink" Target="https://educationendowmentfoundation.org.uk/education-evidence/teaching-learning-toolkit/small-group-tuition"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education-evidence/teaching-learning-toolkit/oral-language-interventions" TargetMode="External"/><Relationship Id="rId25" Type="http://schemas.openxmlformats.org/officeDocument/2006/relationships/hyperlink" Target="https://educationendowmentfoundation.org.uk/education-evidence/teaching-learning-toolkit/outdoor-adventure-learning" TargetMode="External"/><Relationship Id="rId33" Type="http://schemas.openxmlformats.org/officeDocument/2006/relationships/image" Target="media/image6.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literacy-ks-1" TargetMode="External"/><Relationship Id="rId20" Type="http://schemas.openxmlformats.org/officeDocument/2006/relationships/hyperlink" Target="https://educationendowmentfoundation.org.uk/education-evidence/guidance-reports/send"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teaching-learning-toolkit/reading-comprehension-strategies" TargetMode="External"/><Relationship Id="rId24" Type="http://schemas.openxmlformats.org/officeDocument/2006/relationships/hyperlink" Target="https://eef.li/implementation/" TargetMode="External"/><Relationship Id="rId32" Type="http://schemas.openxmlformats.org/officeDocument/2006/relationships/image" Target="media/image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literacy-ks2" TargetMode="External"/><Relationship Id="rId23" Type="http://schemas.openxmlformats.org/officeDocument/2006/relationships/hyperlink" Target="https://educationendowmentfoundation.org.uk/reading-house/fluency" TargetMode="External"/><Relationship Id="rId28" Type="http://schemas.openxmlformats.org/officeDocument/2006/relationships/image" Target="media/image1.png"/><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educationendowmentfoundation.org.uk/news/moving-from-differentiation-to-adaptive-teaching"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maths-ks-2-3" TargetMode="External"/><Relationship Id="rId22" Type="http://schemas.openxmlformats.org/officeDocument/2006/relationships/hyperlink" Target="https://educationendowmentfoundation.org.uk/education-evidence/teaching-learning-toolkit/phonics" TargetMode="External"/><Relationship Id="rId27" Type="http://schemas.openxmlformats.org/officeDocument/2006/relationships/hyperlink" Target="https://educationendowmentfoundation.org.uk/education-evidence/teaching-learning-toolkit/behaviour-interventions" TargetMode="External"/><Relationship Id="rId30" Type="http://schemas.openxmlformats.org/officeDocument/2006/relationships/image" Target="media/image3.png"/><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0fd11f-5199-4117-a4c2-67ece16311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531A8AD79FD49A1C071BDDB0AA951" ma:contentTypeVersion="18" ma:contentTypeDescription="Create a new document." ma:contentTypeScope="" ma:versionID="0e2389ec601233baf51d793eb7ebaf98">
  <xsd:schema xmlns:xsd="http://www.w3.org/2001/XMLSchema" xmlns:xs="http://www.w3.org/2001/XMLSchema" xmlns:p="http://schemas.microsoft.com/office/2006/metadata/properties" xmlns:ns3="d20fd11f-5199-4117-a4c2-67ece163119c" xmlns:ns4="edd51301-4919-4ea6-af72-074ae21eaf07" targetNamespace="http://schemas.microsoft.com/office/2006/metadata/properties" ma:root="true" ma:fieldsID="2d22e92ba49ec8ce5b35f35c87f52fc1" ns3:_="" ns4:_="">
    <xsd:import namespace="d20fd11f-5199-4117-a4c2-67ece163119c"/>
    <xsd:import namespace="edd51301-4919-4ea6-af72-074ae21ea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d11f-5199-4117-a4c2-67ece1631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1301-4919-4ea6-af72-074ae21eaf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BFC5-7A2F-4549-93CB-45C30D7C6C88}">
  <ds:schemaRefs>
    <ds:schemaRef ds:uri="http://schemas.microsoft.com/sharepoint/v3/contenttype/forms"/>
  </ds:schemaRefs>
</ds:datastoreItem>
</file>

<file path=customXml/itemProps2.xml><?xml version="1.0" encoding="utf-8"?>
<ds:datastoreItem xmlns:ds="http://schemas.openxmlformats.org/officeDocument/2006/customXml" ds:itemID="{CF0E6396-54E2-44F2-9B6A-80FA35364539}">
  <ds:schemaRefs>
    <ds:schemaRef ds:uri="http://schemas.microsoft.com/office/2006/documentManagement/types"/>
    <ds:schemaRef ds:uri="d20fd11f-5199-4117-a4c2-67ece163119c"/>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edd51301-4919-4ea6-af72-074ae21eaf07"/>
    <ds:schemaRef ds:uri="http://purl.org/dc/terms/"/>
  </ds:schemaRefs>
</ds:datastoreItem>
</file>

<file path=customXml/itemProps3.xml><?xml version="1.0" encoding="utf-8"?>
<ds:datastoreItem xmlns:ds="http://schemas.openxmlformats.org/officeDocument/2006/customXml" ds:itemID="{18EF0CD7-1C5C-483D-8FE9-9BDDB40D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d11f-5199-4117-a4c2-67ece163119c"/>
    <ds:schemaRef ds:uri="edd51301-4919-4ea6-af72-074ae21e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C1FC7-E7DB-48A6-B27F-23334838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Emma Moss</cp:lastModifiedBy>
  <cp:revision>7</cp:revision>
  <cp:lastPrinted>2024-12-05T11:30:00Z</cp:lastPrinted>
  <dcterms:created xsi:type="dcterms:W3CDTF">2024-12-05T14:02:00Z</dcterms:created>
  <dcterms:modified xsi:type="dcterms:W3CDTF">2024-12-05T16:00:00Z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0x0101009F2531A8AD79FD49A1C071BDDB0AA951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