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5CC2" w14:textId="509AB94E" w:rsidR="005E18CB" w:rsidRDefault="009D71E8" w:rsidP="00202B62">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5A1C3D">
        <w:t>St Peter’ CE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F7D0FEB" w:rsidR="002940F3" w:rsidRDefault="00EF0D10">
            <w:pPr>
              <w:pStyle w:val="TableRow"/>
            </w:pPr>
            <w:r>
              <w:t>117</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D2BFF29" w:rsidR="002940F3" w:rsidRDefault="00EF0D10">
            <w:pPr>
              <w:pStyle w:val="TableRow"/>
            </w:pPr>
            <w:r>
              <w:t>5</w:t>
            </w:r>
            <w:r w:rsidR="00BD2846">
              <w:t>1.2</w:t>
            </w:r>
            <w:r w:rsidR="005A1C3D">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67EAB68" w:rsidR="002940F3" w:rsidRDefault="005A1C3D">
            <w:pPr>
              <w:pStyle w:val="TableRow"/>
            </w:pPr>
            <w:r>
              <w:t>2024/25</w:t>
            </w:r>
            <w:r w:rsidR="0021648F">
              <w:t>, 25/26, 26/27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69C9204" w:rsidR="002940F3" w:rsidRDefault="0021648F">
            <w:pPr>
              <w:pStyle w:val="TableRow"/>
            </w:pPr>
            <w:r>
              <w:t>December 2</w:t>
            </w:r>
            <w:r w:rsidR="00EF0D10">
              <w:t>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6C4872D" w:rsidR="002940F3" w:rsidRDefault="00EF0D10" w:rsidP="005A1C3D">
            <w:pPr>
              <w:pStyle w:val="TableRow"/>
              <w:ind w:left="0"/>
            </w:pPr>
            <w:r>
              <w:t>December  2026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D22F6" w14:textId="77777777" w:rsidR="002940F3" w:rsidRDefault="005A1C3D">
            <w:pPr>
              <w:pStyle w:val="TableRow"/>
            </w:pPr>
            <w:r>
              <w:t xml:space="preserve">Emma Moss, Headteacher </w:t>
            </w:r>
          </w:p>
          <w:p w14:paraId="2A7D54C8" w14:textId="0AD7C069" w:rsidR="005A1C3D" w:rsidRDefault="005A1C3D">
            <w:pPr>
              <w:pStyle w:val="TableRow"/>
            </w:pP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2943A9" w14:textId="77777777" w:rsidR="005A1C3D" w:rsidRDefault="005A1C3D" w:rsidP="005A1C3D">
            <w:pPr>
              <w:pStyle w:val="TableRow"/>
            </w:pPr>
            <w:r>
              <w:t xml:space="preserve">Emma Moss, Headteacher </w:t>
            </w:r>
          </w:p>
          <w:p w14:paraId="2A7D54CB" w14:textId="77777777" w:rsidR="002940F3" w:rsidRDefault="002940F3">
            <w:pPr>
              <w:pStyle w:val="TableRow"/>
            </w:pP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BA1E4A2" w:rsidR="002940F3" w:rsidRDefault="005A1C3D">
            <w:pPr>
              <w:pStyle w:val="TableRow"/>
            </w:pPr>
            <w:r>
              <w:t>Hannah Rigby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DB9516F" w:rsidR="00E66558" w:rsidRDefault="009D71E8">
            <w:pPr>
              <w:pStyle w:val="TableRow"/>
            </w:pPr>
            <w:r>
              <w:t>£</w:t>
            </w:r>
            <w:r w:rsidR="00FF2F3E">
              <w:t xml:space="preserve">    </w:t>
            </w:r>
            <w:r w:rsidR="00BD2846">
              <w:t>98475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8ABBDC3" w:rsidR="00E66558" w:rsidRDefault="009D71E8">
            <w:pPr>
              <w:pStyle w:val="TableRow"/>
            </w:pPr>
            <w:r>
              <w:t>£</w:t>
            </w:r>
            <w:r w:rsidR="00FF2F3E">
              <w:t xml:space="preserve">   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84AE73E" w:rsidR="00E66558" w:rsidRDefault="009D71E8">
            <w:pPr>
              <w:pStyle w:val="TableRow"/>
            </w:pPr>
            <w:r>
              <w:t>£</w:t>
            </w:r>
            <w:r w:rsidR="00BD2846">
              <w:t xml:space="preserve"> 98475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6DB435D0" w:rsidR="00E66558" w:rsidRPr="00532993" w:rsidRDefault="00532993" w:rsidP="00532993">
            <w:pPr>
              <w:ind w:left="720" w:hanging="360"/>
              <w:rPr>
                <w:i/>
                <w:iCs/>
              </w:rPr>
            </w:pPr>
            <w:r>
              <w:t xml:space="preserve">      </w:t>
            </w:r>
            <w:r w:rsidRPr="00532993">
              <w:t>Our belief is - and research evidence shows (e.g. from The Sutton Trust, EEF, John Hattie, Ofsted, DfE Reports, Michael Barber) - that quality of teaching and learning is the most important factor in the achievement of all pupils. This is particularly true for pupils from areas with a high deprivation</w:t>
            </w:r>
            <w:r w:rsidR="000979FC">
              <w:t xml:space="preserve"> indicator. Children attending </w:t>
            </w:r>
            <w:r w:rsidRPr="00532993">
              <w:t>St Peter’s CE Primary School come from the highest quintile of deprivation. The development of a high quality, wide and progressive curriculum, with opportunities for personal development, is central to the School Improvement Plan. This provision will have the biggest positive effect on our most disadvantaged pupils; ensuring the gap closes between the most disadvantaged and the most advantaged pupils in our school community. Our focus on providing high quality continuous profession development  ensures that  all staff members are supported in developing the skillsets needed to enable our children to make rapid progress from low starting points and secure levels of high attainment, across all year groups and at the end of each Key Stage. The d</w:t>
            </w:r>
            <w:r w:rsidR="00821DC3">
              <w:t>rive for continuous improvement</w:t>
            </w:r>
            <w:r w:rsidR="000979FC">
              <w:t xml:space="preserve"> ensures that</w:t>
            </w:r>
            <w:r w:rsidRPr="00532993">
              <w:t xml:space="preserve"> children access a high quality education.     While we know that enriching classroom experiences are paramount in the Early Years, we also know that providing enhancements and enrichments to the curriculum are just as important. Experiencing the broader world is a crucial factor before joining it. In addition, some children will need more time and/or support to ensure they are able to fulfil their potential. In these cases, additional targeted intervention and support strategies are provided and the impact of these is reviewed regularly.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875D" w14:textId="77777777" w:rsidR="0011185C" w:rsidRDefault="009F057B" w:rsidP="009F057B">
            <w:pPr>
              <w:pStyle w:val="TableRowCentered"/>
              <w:ind w:left="0"/>
              <w:jc w:val="left"/>
            </w:pPr>
            <w:r>
              <w:t xml:space="preserve">On entry assessments to our Reception class in the last three years show that the vast majority of our disadvantaged pupils start school with well below age related expectations.  The gap narrows but remains </w:t>
            </w:r>
            <w:r w:rsidR="0011185C">
              <w:t xml:space="preserve">significant in each of the core subjects to the end of Key Stage 2.  </w:t>
            </w:r>
          </w:p>
          <w:p w14:paraId="2A7D54F1" w14:textId="4CA2CE70" w:rsidR="00E66558" w:rsidRDefault="00E66558" w:rsidP="009F057B">
            <w:pPr>
              <w:pStyle w:val="TableRowCentered"/>
              <w:ind w:left="0"/>
              <w:jc w:val="left"/>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46B23" w14:textId="77777777" w:rsidR="00E66558" w:rsidRPr="005065EB" w:rsidRDefault="0011185C" w:rsidP="00132B56">
            <w:pPr>
              <w:pStyle w:val="TableRowCentered"/>
              <w:jc w:val="left"/>
              <w:rPr>
                <w:szCs w:val="24"/>
              </w:rPr>
            </w:pPr>
            <w:r>
              <w:rPr>
                <w:sz w:val="22"/>
                <w:szCs w:val="22"/>
              </w:rPr>
              <w:t>33</w:t>
            </w:r>
            <w:r w:rsidRPr="005065EB">
              <w:rPr>
                <w:szCs w:val="24"/>
              </w:rPr>
              <w:t xml:space="preserve">% of children in receipt of the Pupil Premium grant have Special Educational Needs.  </w:t>
            </w:r>
            <w:r w:rsidR="000734BE" w:rsidRPr="005065EB">
              <w:rPr>
                <w:szCs w:val="24"/>
              </w:rPr>
              <w:t xml:space="preserve">A further 35% have emotional or attendance needs.  </w:t>
            </w:r>
            <w:r w:rsidR="00132B56" w:rsidRPr="005065EB">
              <w:rPr>
                <w:szCs w:val="24"/>
              </w:rPr>
              <w:t>Assessments show that, on averag</w:t>
            </w:r>
            <w:r w:rsidR="00EE0D10" w:rsidRPr="005065EB">
              <w:rPr>
                <w:szCs w:val="24"/>
              </w:rPr>
              <w:t>e</w:t>
            </w:r>
            <w:r w:rsidR="00132B56" w:rsidRPr="005065EB">
              <w:rPr>
                <w:szCs w:val="24"/>
              </w:rPr>
              <w:t xml:space="preserve">  Pupil Premium children </w:t>
            </w:r>
            <w:r w:rsidR="00132B56" w:rsidRPr="005065EB">
              <w:rPr>
                <w:szCs w:val="24"/>
              </w:rPr>
              <w:lastRenderedPageBreak/>
              <w:t>with no identified special needs</w:t>
            </w:r>
            <w:r w:rsidR="00132B56">
              <w:rPr>
                <w:sz w:val="22"/>
                <w:szCs w:val="22"/>
              </w:rPr>
              <w:t xml:space="preserve"> </w:t>
            </w:r>
            <w:r w:rsidR="00132B56" w:rsidRPr="005065EB">
              <w:rPr>
                <w:szCs w:val="24"/>
              </w:rPr>
              <w:t xml:space="preserve">are achieving in line with national averages across the core subjects in reading and maths but not in writing.  </w:t>
            </w:r>
          </w:p>
          <w:p w14:paraId="2A7D54F4" w14:textId="1ABE501F" w:rsidR="003626F1" w:rsidRDefault="003626F1" w:rsidP="00132B56">
            <w:pPr>
              <w:pStyle w:val="TableRowCentered"/>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50360" w14:textId="77777777" w:rsidR="00132B56" w:rsidRDefault="00132B56">
            <w:pPr>
              <w:pStyle w:val="TableRowCentered"/>
              <w:jc w:val="left"/>
              <w:rPr>
                <w:sz w:val="22"/>
                <w:szCs w:val="22"/>
              </w:rPr>
            </w:pPr>
            <w:r>
              <w:rPr>
                <w:sz w:val="22"/>
                <w:szCs w:val="22"/>
              </w:rPr>
              <w:t xml:space="preserve">Assessments, observations and discussions indicate underdeveloped oral language and vocabulary gaps among many disadvantaged children.  This is evident across the school and impacting on reading, writing and maths with attainment in writing being the most greatly affected.  </w:t>
            </w:r>
          </w:p>
          <w:p w14:paraId="2A7D54F7" w14:textId="7A2AAA52" w:rsidR="00E66558" w:rsidRDefault="00E66558">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EE16" w14:textId="74A88005" w:rsidR="00B85E4A" w:rsidRDefault="00B85E4A">
            <w:pPr>
              <w:pStyle w:val="TableRowCentered"/>
              <w:jc w:val="left"/>
              <w:rPr>
                <w:iCs/>
                <w:sz w:val="22"/>
              </w:rPr>
            </w:pPr>
            <w:r>
              <w:rPr>
                <w:iCs/>
                <w:sz w:val="22"/>
              </w:rPr>
              <w:t xml:space="preserve">Internal and external assessments show that reading, writing and </w:t>
            </w:r>
            <w:r w:rsidR="00EE0D10">
              <w:rPr>
                <w:iCs/>
                <w:sz w:val="22"/>
              </w:rPr>
              <w:t>maths attainment</w:t>
            </w:r>
            <w:r>
              <w:rPr>
                <w:iCs/>
                <w:sz w:val="22"/>
              </w:rPr>
              <w:t xml:space="preserve"> amongst disadvantaged pupils with SEND is significantly lower than that of no</w:t>
            </w:r>
            <w:r w:rsidR="00BD2846">
              <w:rPr>
                <w:iCs/>
                <w:sz w:val="22"/>
              </w:rPr>
              <w:t>n</w:t>
            </w:r>
            <w:r>
              <w:rPr>
                <w:iCs/>
                <w:sz w:val="22"/>
              </w:rPr>
              <w:t xml:space="preserve"> disadvantaged pupils and there are fewer achieving </w:t>
            </w:r>
            <w:r w:rsidR="00EE0D10">
              <w:rPr>
                <w:iCs/>
                <w:sz w:val="22"/>
              </w:rPr>
              <w:t>greater</w:t>
            </w:r>
            <w:r>
              <w:rPr>
                <w:iCs/>
                <w:sz w:val="22"/>
              </w:rPr>
              <w:t xml:space="preserve"> depth. </w:t>
            </w:r>
          </w:p>
          <w:p w14:paraId="2A7D54FA" w14:textId="05053C5A" w:rsidR="00E66558" w:rsidRDefault="00E66558">
            <w:pPr>
              <w:pStyle w:val="TableRowCentered"/>
              <w:jc w:val="left"/>
              <w:rPr>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85AE" w14:textId="32C74D01" w:rsidR="00EE0D10" w:rsidRDefault="00EE0D10">
            <w:pPr>
              <w:pStyle w:val="TableRowCentered"/>
              <w:jc w:val="left"/>
              <w:rPr>
                <w:iCs/>
                <w:sz w:val="22"/>
              </w:rPr>
            </w:pPr>
            <w:r>
              <w:rPr>
                <w:iCs/>
                <w:sz w:val="22"/>
              </w:rPr>
              <w:t>Our attendance data over the last year indicates that attendance rates among disadvantaged children has been 92%</w:t>
            </w:r>
            <w:r w:rsidR="003626F1">
              <w:rPr>
                <w:iCs/>
                <w:sz w:val="22"/>
              </w:rPr>
              <w:t>,</w:t>
            </w:r>
            <w:r>
              <w:rPr>
                <w:iCs/>
                <w:sz w:val="22"/>
              </w:rPr>
              <w:t xml:space="preserve"> which is lower than the school target of 96%.  28% of children receiving the Pupil Premium grant have attendance lower than 90% and are therefore persistent absentees.  </w:t>
            </w:r>
          </w:p>
          <w:p w14:paraId="2A7D54FD" w14:textId="5C4DC42B" w:rsidR="00E66558" w:rsidRDefault="00E66558">
            <w:pPr>
              <w:pStyle w:val="TableRowCentered"/>
              <w:jc w:val="left"/>
              <w:rPr>
                <w:iCs/>
                <w:sz w:val="22"/>
              </w:rPr>
            </w:pPr>
          </w:p>
        </w:tc>
      </w:tr>
      <w:tr w:rsidR="003626F1" w14:paraId="3A5B7BB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CBBA" w14:textId="7778813F" w:rsidR="003626F1" w:rsidRDefault="003626F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CAE23" w14:textId="77777777" w:rsidR="003626F1" w:rsidRDefault="003626F1">
            <w:pPr>
              <w:pStyle w:val="TableRowCentered"/>
              <w:jc w:val="left"/>
              <w:rPr>
                <w:iCs/>
                <w:sz w:val="22"/>
              </w:rPr>
            </w:pPr>
            <w:r>
              <w:rPr>
                <w:iCs/>
                <w:sz w:val="22"/>
              </w:rPr>
              <w:t xml:space="preserve">Our assessments, observations and discussions with families have identified social and emotional issues for many pupils as well as a lack of enrichment opportunities.  These challenges particularly affect disadvantaged pupils.  </w:t>
            </w:r>
          </w:p>
          <w:p w14:paraId="2C1846A9" w14:textId="6C5C274D" w:rsidR="003626F1" w:rsidRDefault="003626F1">
            <w:pPr>
              <w:pStyle w:val="TableRowCentered"/>
              <w:jc w:val="left"/>
              <w:rPr>
                <w:iCs/>
                <w:sz w:val="22"/>
              </w:rPr>
            </w:pP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DA0C" w14:textId="77777777" w:rsidR="005065EB" w:rsidRPr="005065EB" w:rsidRDefault="005065EB" w:rsidP="005065EB">
            <w:pPr>
              <w:pStyle w:val="TableRow"/>
              <w:ind w:left="0"/>
              <w:rPr>
                <w:iCs/>
              </w:rPr>
            </w:pPr>
            <w:r w:rsidRPr="005065EB">
              <w:rPr>
                <w:iCs/>
              </w:rPr>
              <w:t xml:space="preserve">Improved oral language skills and vocabulary among disadvantaged pupils. </w:t>
            </w:r>
          </w:p>
          <w:p w14:paraId="2A7D5504" w14:textId="50EE10F1" w:rsidR="00E66558" w:rsidRPr="005065EB" w:rsidRDefault="00E66558" w:rsidP="005065EB">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B1B2A" w14:textId="77777777" w:rsidR="005065EB" w:rsidRPr="005065EB" w:rsidRDefault="005065EB">
            <w:pPr>
              <w:pStyle w:val="TableRowCentered"/>
              <w:jc w:val="left"/>
              <w:rPr>
                <w:szCs w:val="24"/>
              </w:rPr>
            </w:pPr>
            <w:r w:rsidRPr="005065EB">
              <w:rPr>
                <w:szCs w:val="24"/>
              </w:rPr>
              <w:t xml:space="preserve">Assessments and observations indicate improved oral language and understanding among disadvantaged pupils.  This is evidence when triangulated with other sources of evidence, including lesson observations, book scrutiny and formative assessment. </w:t>
            </w:r>
          </w:p>
          <w:p w14:paraId="2A7D5505" w14:textId="24F26A0C" w:rsidR="00E66558" w:rsidRPr="005065EB" w:rsidRDefault="00E66558">
            <w:pPr>
              <w:pStyle w:val="TableRowCentered"/>
              <w:jc w:val="left"/>
              <w:rPr>
                <w:szCs w:val="24"/>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C836160" w:rsidR="00E66558" w:rsidRPr="005065EB" w:rsidRDefault="005065EB">
            <w:pPr>
              <w:pStyle w:val="TableRow"/>
              <w:rPr>
                <w:sz w:val="22"/>
                <w:szCs w:val="22"/>
              </w:rPr>
            </w:pPr>
            <w:r>
              <w:rPr>
                <w:sz w:val="22"/>
                <w:szCs w:val="22"/>
              </w:rPr>
              <w:t xml:space="preserve">Improved reading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B2802" w14:textId="557F2D5F" w:rsidR="00EB0297" w:rsidRDefault="00220FE9" w:rsidP="00EB0297">
            <w:pPr>
              <w:pStyle w:val="TableRowCentered"/>
              <w:jc w:val="left"/>
              <w:rPr>
                <w:sz w:val="22"/>
                <w:szCs w:val="22"/>
              </w:rPr>
            </w:pPr>
            <w:r>
              <w:rPr>
                <w:sz w:val="22"/>
                <w:szCs w:val="22"/>
              </w:rPr>
              <w:t>KS2 reading outcomes in 2025/26</w:t>
            </w:r>
            <w:r w:rsidR="005065EB">
              <w:rPr>
                <w:sz w:val="22"/>
                <w:szCs w:val="22"/>
              </w:rPr>
              <w:t xml:space="preserve"> show more than </w:t>
            </w:r>
            <w:r w:rsidR="00CD5374">
              <w:rPr>
                <w:sz w:val="22"/>
                <w:szCs w:val="22"/>
              </w:rPr>
              <w:t>70</w:t>
            </w:r>
            <w:r w:rsidR="00376E15">
              <w:rPr>
                <w:sz w:val="22"/>
                <w:szCs w:val="22"/>
              </w:rPr>
              <w:t xml:space="preserve">% of disadvantage pupils met the expected standard with over 14% achieving Greater Depth.  </w:t>
            </w:r>
          </w:p>
          <w:p w14:paraId="2A7D5508" w14:textId="3A900BA2" w:rsidR="00E66558" w:rsidRPr="005065EB" w:rsidRDefault="00E66558" w:rsidP="00EB0297">
            <w:pPr>
              <w:pStyle w:val="TableRowCentered"/>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6947EAD" w:rsidR="00E66558" w:rsidRPr="005065EB" w:rsidRDefault="00376E15">
            <w:pPr>
              <w:pStyle w:val="TableRow"/>
              <w:rPr>
                <w:sz w:val="22"/>
                <w:szCs w:val="22"/>
              </w:rPr>
            </w:pPr>
            <w:r>
              <w:rPr>
                <w:sz w:val="22"/>
                <w:szCs w:val="22"/>
              </w:rPr>
              <w:t>I</w:t>
            </w:r>
            <w:r w:rsidR="00CD5374">
              <w:rPr>
                <w:sz w:val="22"/>
                <w:szCs w:val="22"/>
              </w:rPr>
              <w:t>mproved maths</w:t>
            </w:r>
            <w:r>
              <w:rPr>
                <w:sz w:val="22"/>
                <w:szCs w:val="22"/>
              </w:rPr>
              <w:t xml:space="preserve">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2CA9" w14:textId="1D434F31" w:rsidR="00CD5374" w:rsidRDefault="00CD5374" w:rsidP="00CD5374">
            <w:pPr>
              <w:pStyle w:val="TableRowCentered"/>
              <w:jc w:val="left"/>
              <w:rPr>
                <w:sz w:val="22"/>
                <w:szCs w:val="22"/>
              </w:rPr>
            </w:pPr>
            <w:r>
              <w:rPr>
                <w:sz w:val="22"/>
                <w:szCs w:val="22"/>
              </w:rPr>
              <w:t>KS2 re</w:t>
            </w:r>
            <w:r w:rsidR="00220FE9">
              <w:rPr>
                <w:sz w:val="22"/>
                <w:szCs w:val="22"/>
              </w:rPr>
              <w:t>ading outcomes in 2025/26</w:t>
            </w:r>
            <w:r>
              <w:rPr>
                <w:sz w:val="22"/>
                <w:szCs w:val="22"/>
              </w:rPr>
              <w:t xml:space="preserve"> show more than 70% of disadvantage pupils met </w:t>
            </w:r>
            <w:r>
              <w:rPr>
                <w:sz w:val="22"/>
                <w:szCs w:val="22"/>
              </w:rPr>
              <w:lastRenderedPageBreak/>
              <w:t xml:space="preserve">the expected standard with over 14% achieving Greater Depth.  </w:t>
            </w:r>
          </w:p>
          <w:p w14:paraId="2A7D550B" w14:textId="77777777" w:rsidR="00E66558" w:rsidRPr="005065EB" w:rsidRDefault="00E66558">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058936B" w:rsidR="00E66558" w:rsidRPr="005065EB" w:rsidRDefault="00CD5374">
            <w:pPr>
              <w:pStyle w:val="TableRow"/>
              <w:rPr>
                <w:sz w:val="22"/>
                <w:szCs w:val="22"/>
              </w:rPr>
            </w:pPr>
            <w:r>
              <w:rPr>
                <w:sz w:val="22"/>
                <w:szCs w:val="22"/>
              </w:rPr>
              <w:lastRenderedPageBreak/>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8147D" w14:textId="0389F145" w:rsidR="00CD5374" w:rsidRDefault="00220FE9" w:rsidP="00CD5374">
            <w:pPr>
              <w:pStyle w:val="TableRowCentered"/>
              <w:jc w:val="left"/>
              <w:rPr>
                <w:sz w:val="22"/>
                <w:szCs w:val="22"/>
              </w:rPr>
            </w:pPr>
            <w:r>
              <w:rPr>
                <w:sz w:val="22"/>
                <w:szCs w:val="22"/>
              </w:rPr>
              <w:t>KS2 writing outcomes in 2025/26</w:t>
            </w:r>
            <w:r w:rsidR="00CD5374">
              <w:rPr>
                <w:sz w:val="22"/>
                <w:szCs w:val="22"/>
              </w:rPr>
              <w:t xml:space="preserve"> show more than 70% of disadvantage pupils met the expected standard with over 14% achieving Greater Depth.  </w:t>
            </w:r>
          </w:p>
          <w:p w14:paraId="2A7D550E" w14:textId="77777777" w:rsidR="00E66558" w:rsidRPr="005065EB" w:rsidRDefault="00E66558">
            <w:pPr>
              <w:pStyle w:val="TableRowCentered"/>
              <w:jc w:val="left"/>
              <w:rPr>
                <w:sz w:val="22"/>
                <w:szCs w:val="22"/>
              </w:rPr>
            </w:pPr>
          </w:p>
        </w:tc>
      </w:tr>
      <w:tr w:rsidR="00B063BF" w14:paraId="3B7AB03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1185E" w14:textId="1FC87F75" w:rsidR="00B063BF" w:rsidRDefault="00B063BF">
            <w:pPr>
              <w:pStyle w:val="TableRow"/>
              <w:rPr>
                <w:sz w:val="22"/>
                <w:szCs w:val="22"/>
              </w:rPr>
            </w:pPr>
            <w:r>
              <w:rPr>
                <w:sz w:val="22"/>
                <w:szCs w:val="22"/>
              </w:rPr>
              <w:t xml:space="preserve">To achieve </w:t>
            </w:r>
            <w:r w:rsidR="00EB0297">
              <w:rPr>
                <w:sz w:val="22"/>
                <w:szCs w:val="22"/>
              </w:rPr>
              <w:t>and sustain improved well-</w:t>
            </w:r>
            <w:r>
              <w:rPr>
                <w:sz w:val="22"/>
                <w:szCs w:val="22"/>
              </w:rPr>
              <w:t xml:space="preserve">being for our pupils </w:t>
            </w:r>
            <w:r w:rsidR="00EB0297">
              <w:rPr>
                <w:sz w:val="22"/>
                <w:szCs w:val="22"/>
              </w:rPr>
              <w:t xml:space="preserve">in our school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035C" w14:textId="77777777" w:rsidR="00EB0297" w:rsidRDefault="00EB0297" w:rsidP="00CD5374">
            <w:pPr>
              <w:pStyle w:val="TableRowCentered"/>
              <w:jc w:val="left"/>
              <w:rPr>
                <w:sz w:val="22"/>
                <w:szCs w:val="22"/>
              </w:rPr>
            </w:pPr>
            <w:r>
              <w:rPr>
                <w:sz w:val="22"/>
                <w:szCs w:val="22"/>
              </w:rPr>
              <w:t xml:space="preserve">Sustained high levels of wellbeing by 2024/25 demonstrated by: </w:t>
            </w:r>
          </w:p>
          <w:p w14:paraId="60E46EBC" w14:textId="77777777" w:rsidR="00EB0297" w:rsidRDefault="00EB0297" w:rsidP="00CD5374">
            <w:pPr>
              <w:pStyle w:val="TableRowCentered"/>
              <w:jc w:val="left"/>
              <w:rPr>
                <w:sz w:val="22"/>
                <w:szCs w:val="22"/>
              </w:rPr>
            </w:pPr>
            <w:r>
              <w:rPr>
                <w:sz w:val="22"/>
                <w:szCs w:val="22"/>
              </w:rPr>
              <w:t>Pupil Voice data</w:t>
            </w:r>
          </w:p>
          <w:p w14:paraId="41572796" w14:textId="77777777" w:rsidR="00EB0297" w:rsidRDefault="00EB0297" w:rsidP="00CD5374">
            <w:pPr>
              <w:pStyle w:val="TableRowCentered"/>
              <w:jc w:val="left"/>
              <w:rPr>
                <w:sz w:val="22"/>
                <w:szCs w:val="22"/>
              </w:rPr>
            </w:pPr>
            <w:r>
              <w:rPr>
                <w:sz w:val="22"/>
                <w:szCs w:val="22"/>
              </w:rPr>
              <w:t xml:space="preserve">A reduction in behaviour incidents.  </w:t>
            </w:r>
          </w:p>
          <w:p w14:paraId="7288E271" w14:textId="77777777" w:rsidR="00EB0297" w:rsidRDefault="00EB0297" w:rsidP="00CD5374">
            <w:pPr>
              <w:pStyle w:val="TableRowCentered"/>
              <w:jc w:val="left"/>
              <w:rPr>
                <w:sz w:val="22"/>
                <w:szCs w:val="22"/>
              </w:rPr>
            </w:pPr>
            <w:r>
              <w:rPr>
                <w:sz w:val="22"/>
                <w:szCs w:val="22"/>
              </w:rPr>
              <w:t xml:space="preserve">An increase in participation in enrichment activities, particularly among disadvantaged pupils. </w:t>
            </w:r>
          </w:p>
          <w:p w14:paraId="2590B4F4" w14:textId="22B41B52" w:rsidR="00B063BF" w:rsidRDefault="00B063BF" w:rsidP="00CD5374">
            <w:pPr>
              <w:pStyle w:val="TableRowCentered"/>
              <w:jc w:val="left"/>
              <w:rPr>
                <w:sz w:val="22"/>
                <w:szCs w:val="22"/>
              </w:rPr>
            </w:pPr>
          </w:p>
        </w:tc>
      </w:tr>
      <w:tr w:rsidR="00EB0297" w14:paraId="788DA9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E732" w14:textId="74EFB089" w:rsidR="00EB0297" w:rsidRDefault="00EB0297">
            <w:pPr>
              <w:pStyle w:val="TableRow"/>
              <w:rPr>
                <w:sz w:val="22"/>
                <w:szCs w:val="22"/>
              </w:rPr>
            </w:pPr>
            <w:r>
              <w:rPr>
                <w:sz w:val="22"/>
                <w:szCs w:val="22"/>
              </w:rPr>
              <w:t xml:space="preserve">To achieve and sustain improved attendance for all pupils,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EE18" w14:textId="2F74CEA7" w:rsidR="00EB0297" w:rsidRDefault="00EB0297" w:rsidP="00CD5374">
            <w:pPr>
              <w:pStyle w:val="TableRowCentered"/>
              <w:jc w:val="left"/>
              <w:rPr>
                <w:sz w:val="22"/>
                <w:szCs w:val="22"/>
              </w:rPr>
            </w:pPr>
            <w:r>
              <w:rPr>
                <w:sz w:val="22"/>
                <w:szCs w:val="22"/>
              </w:rPr>
              <w:t>S</w:t>
            </w:r>
            <w:r w:rsidR="00874E29">
              <w:rPr>
                <w:sz w:val="22"/>
                <w:szCs w:val="22"/>
              </w:rPr>
              <w:t>ustained high attendance by 2025/26</w:t>
            </w:r>
            <w:r>
              <w:rPr>
                <w:sz w:val="22"/>
                <w:szCs w:val="22"/>
              </w:rPr>
              <w:t xml:space="preserve"> demonstrated by: </w:t>
            </w:r>
          </w:p>
          <w:p w14:paraId="6F8FD4B3" w14:textId="77777777" w:rsidR="00EB0297" w:rsidRDefault="00EB0297" w:rsidP="00CD5374">
            <w:pPr>
              <w:pStyle w:val="TableRowCentered"/>
              <w:jc w:val="left"/>
              <w:rPr>
                <w:sz w:val="22"/>
                <w:szCs w:val="22"/>
              </w:rPr>
            </w:pPr>
            <w:r>
              <w:rPr>
                <w:sz w:val="22"/>
                <w:szCs w:val="22"/>
              </w:rPr>
              <w:t xml:space="preserve">The overall absence rate for all pupils being no more than 6%. </w:t>
            </w:r>
          </w:p>
          <w:p w14:paraId="1B696B48" w14:textId="07423CA6" w:rsidR="00EB0297" w:rsidRDefault="00EB0297" w:rsidP="00CD5374">
            <w:pPr>
              <w:pStyle w:val="TableRowCentered"/>
              <w:jc w:val="left"/>
              <w:rPr>
                <w:sz w:val="22"/>
                <w:szCs w:val="22"/>
              </w:rPr>
            </w:pPr>
            <w:r>
              <w:rPr>
                <w:sz w:val="22"/>
                <w:szCs w:val="22"/>
              </w:rPr>
              <w:t>Th</w:t>
            </w:r>
            <w:r w:rsidR="00540D24">
              <w:rPr>
                <w:sz w:val="22"/>
                <w:szCs w:val="22"/>
              </w:rPr>
              <w:t>e PA rate to be no more than 8%</w:t>
            </w:r>
            <w:r>
              <w:rPr>
                <w:sz w:val="22"/>
                <w:szCs w:val="22"/>
              </w:rPr>
              <w:t xml:space="preserve">.  The rate of absenteeism is lower for PP children than non PP children.  </w:t>
            </w:r>
          </w:p>
          <w:p w14:paraId="7AF733DD" w14:textId="2FE265D5" w:rsidR="00EB0297" w:rsidRDefault="00EB0297" w:rsidP="00EB0297">
            <w:pPr>
              <w:pStyle w:val="TableRowCentered"/>
              <w:ind w:left="0"/>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BE33CAA" w:rsidR="00E66558" w:rsidRDefault="00216984">
      <w:r>
        <w:t>Budgeted cost: £</w:t>
      </w:r>
      <w:r w:rsidR="00953105">
        <w:t>6743</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4813"/>
        <w:gridCol w:w="4037"/>
        <w:gridCol w:w="634"/>
      </w:tblGrid>
      <w:tr w:rsidR="00C64DD4" w14:paraId="442AA454"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0E561A" w14:textId="77777777" w:rsidR="00C64DD4" w:rsidRDefault="00C64DD4" w:rsidP="00D6783A">
            <w:pPr>
              <w:jc w:val="center"/>
            </w:pPr>
            <w:r>
              <w:rPr>
                <w:b/>
                <w:bCs/>
                <w:color w:val="000000"/>
                <w:position w:val="-3"/>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20A1B41" w14:textId="77777777" w:rsidR="00C64DD4" w:rsidRDefault="00C64DD4" w:rsidP="00D6783A">
            <w:pPr>
              <w:jc w:val="center"/>
            </w:pPr>
            <w:r>
              <w:rPr>
                <w:b/>
                <w:bCs/>
                <w:color w:val="000000"/>
                <w:position w:val="-3"/>
              </w:rPr>
              <w:t>Evidence that supports this approach (source name = hyperlink)</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C4778A" w14:textId="77777777" w:rsidR="00C64DD4" w:rsidRDefault="00C64DD4" w:rsidP="00D6783A">
            <w:pPr>
              <w:jc w:val="center"/>
            </w:pPr>
            <w:r>
              <w:rPr>
                <w:b/>
                <w:bCs/>
                <w:color w:val="000000"/>
                <w:position w:val="-3"/>
              </w:rPr>
              <w:t>Challenge(s) addre</w:t>
            </w:r>
            <w:r>
              <w:rPr>
                <w:b/>
                <w:bCs/>
                <w:color w:val="000000"/>
                <w:position w:val="-3"/>
              </w:rPr>
              <w:lastRenderedPageBreak/>
              <w:t>ssed</w:t>
            </w:r>
          </w:p>
        </w:tc>
      </w:tr>
      <w:tr w:rsidR="00C64DD4" w14:paraId="18579511"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2EEF106" w14:textId="77777777" w:rsidR="00C64DD4" w:rsidRDefault="00C64DD4" w:rsidP="00D6783A">
            <w:r>
              <w:rPr>
                <w:color w:val="000000"/>
                <w:position w:val="-3"/>
              </w:rPr>
              <w:lastRenderedPageBreak/>
              <w:t>1. Whole‑school programme to strengthen oral language across EYFS–KS2: adopt a proven structured early language programme in Reception (e.g., NELI-style small‑group) and embed daily vocabulary instruction across curriculum topics; CPD for all staff on oral-language pedagogy and purposeful talk (tier‑2/whole-class dialogic talk strategies).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3A14A19" w14:textId="77777777" w:rsidR="00C64DD4" w:rsidRDefault="00C64DD4" w:rsidP="00D6783A">
            <w:r>
              <w:rPr>
                <w:color w:val="000000"/>
                <w:position w:val="-3"/>
              </w:rPr>
              <w:t xml:space="preserve">- EEF: Oral language interventions show high impact (+6 months average) and recommend integration with curriculum and early years focus. </w:t>
            </w:r>
            <w:hyperlink r:id="rId11" w:history="1">
              <w:r>
                <w:rPr>
                  <w:rStyle w:val="DefaultParagraphFontPHPDOCX"/>
                  <w:color w:val="0000CC"/>
                  <w:position w:val="-3"/>
                  <w:u w:val="single" w:color="000000"/>
                </w:rPr>
                <w:t>Education Endowment Foundation — Oral language interventions</w:t>
              </w:r>
            </w:hyperlink>
            <w:r>
              <w:rPr>
                <w:color w:val="000000"/>
                <w:position w:val="-3"/>
              </w:rPr>
              <w:t>.</w:t>
            </w:r>
            <w:r>
              <w:rPr>
                <w:color w:val="000000"/>
                <w:position w:val="-3"/>
              </w:rPr>
              <w:br/>
              <w:t xml:space="preserve">- Nuffield / EEF trial evidence for NELI: demonstrated average +3 months for Reception-age pupils in trial and effectiveness for EAL pupils. </w:t>
            </w:r>
            <w:hyperlink r:id="rId12" w:history="1">
              <w:r>
                <w:rPr>
                  <w:rStyle w:val="DefaultParagraphFontPHPDOCX"/>
                  <w:color w:val="0000CC"/>
                  <w:position w:val="-3"/>
                  <w:u w:val="single" w:color="000000"/>
                </w:rPr>
                <w:t>Nuffield Foundation – NELI evaluation summary</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DA46F89" w14:textId="77777777" w:rsidR="00C64DD4" w:rsidRDefault="00C64DD4" w:rsidP="00D6783A">
            <w:r>
              <w:rPr>
                <w:color w:val="000000"/>
                <w:position w:val="-3"/>
              </w:rPr>
              <w:t>1, 3, 7</w:t>
            </w:r>
          </w:p>
        </w:tc>
      </w:tr>
      <w:tr w:rsidR="00C64DD4" w14:paraId="649757B5"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2FE6CCA" w14:textId="77777777" w:rsidR="00C64DD4" w:rsidRDefault="00C64DD4" w:rsidP="00D6783A">
            <w:r>
              <w:rPr>
                <w:color w:val="000000"/>
                <w:position w:val="-3"/>
              </w:rPr>
              <w:t>2. Develop high‑quality, sequenced writing curriculum (Reception→Y6) aligned to DfE Writing Framework (July 2025): explicit whole‑school progression for transcription (handwriting &amp; spelling), sentence‑level composition and composition process; CPD &amp; in‑class coaching for staff focused on transcription teaching (handwriting sequences) and sentence instruction.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5A06364" w14:textId="77777777" w:rsidR="00C64DD4" w:rsidRDefault="00C64DD4" w:rsidP="00D6783A">
            <w:r>
              <w:rPr>
                <w:color w:val="000000"/>
                <w:position w:val="-3"/>
              </w:rPr>
              <w:t xml:space="preserve">- DfE Writing Framework (July 2025) emphasises transcription (handwriting &amp; spelling) as foundational and recommends sentence-level teaching and sequenced curriculum. </w:t>
            </w:r>
            <w:hyperlink r:id="rId13" w:history="1">
              <w:r>
                <w:rPr>
                  <w:rStyle w:val="DefaultParagraphFontPHPDOCX"/>
                  <w:color w:val="0000CC"/>
                  <w:position w:val="-3"/>
                  <w:u w:val="single" w:color="000000"/>
                </w:rPr>
                <w:t>Department for Education — The writing framework (Jul 2025)</w:t>
              </w:r>
            </w:hyperlink>
            <w:r>
              <w:rPr>
                <w:color w:val="000000"/>
                <w:position w:val="-3"/>
              </w:rPr>
              <w:t>.</w:t>
            </w:r>
            <w:r>
              <w:rPr>
                <w:color w:val="000000"/>
                <w:position w:val="-3"/>
              </w:rPr>
              <w:br/>
              <w:t xml:space="preserve">- EEF guidance and blogs emphasise the Simple View of Writing and transcription fluency. </w:t>
            </w:r>
            <w:hyperlink r:id="rId14" w:history="1">
              <w:r>
                <w:rPr>
                  <w:rStyle w:val="DefaultParagraphFontPHPDOCX"/>
                  <w:color w:val="0000CC"/>
                  <w:position w:val="-3"/>
                  <w:u w:val="single" w:color="000000"/>
                </w:rPr>
                <w:t>EEF: How the Simple View of Writing can help</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11BD49" w14:textId="77777777" w:rsidR="00C64DD4" w:rsidRDefault="00C64DD4" w:rsidP="00D6783A">
            <w:r>
              <w:rPr>
                <w:color w:val="000000"/>
                <w:position w:val="-3"/>
              </w:rPr>
              <w:t>1, 4, 6</w:t>
            </w:r>
          </w:p>
        </w:tc>
      </w:tr>
      <w:tr w:rsidR="00C64DD4" w14:paraId="5B0D11A5"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D0CB1D1" w14:textId="77777777" w:rsidR="00C64DD4" w:rsidRDefault="00C64DD4" w:rsidP="00D6783A">
            <w:r>
              <w:rPr>
                <w:color w:val="000000"/>
                <w:position w:val="-3"/>
              </w:rPr>
              <w:t>3. Explicit, frequent handwriting programme (daily short sessions Reception→KS2; 'ready-to-write' posture &amp; pencil‑grip routines across school); targeted fine/gross motor activity for Reception and identified pupils; standardised school handwriting progression &amp; modelling across all subjects.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0E6A75" w14:textId="77777777" w:rsidR="00C64DD4" w:rsidRDefault="00C64DD4" w:rsidP="00D6783A">
            <w:r>
              <w:rPr>
                <w:color w:val="000000"/>
                <w:position w:val="-3"/>
              </w:rPr>
              <w:t xml:space="preserve">- DfE writing guidance and Ofsted emphasise explicit handwriting teaching from Reception and physical foundations; handwriting fluency reduces cognitive load for composition. </w:t>
            </w:r>
            <w:hyperlink r:id="rId15" w:history="1">
              <w:r>
                <w:rPr>
                  <w:rStyle w:val="DefaultParagraphFontPHPDOCX"/>
                  <w:color w:val="0000CC"/>
                  <w:position w:val="-3"/>
                  <w:u w:val="single" w:color="000000"/>
                </w:rPr>
                <w:t>Department for Education — The writing framework (Jul 2025)</w:t>
              </w:r>
            </w:hyperlink>
            <w:r>
              <w:rPr>
                <w:color w:val="000000"/>
                <w:position w:val="-3"/>
              </w:rPr>
              <w:t>.</w:t>
            </w:r>
            <w:r>
              <w:rPr>
                <w:color w:val="000000"/>
                <w:position w:val="-3"/>
              </w:rPr>
              <w:br/>
              <w:t xml:space="preserve">- Practice guidance on teaching handwriting (research summary). </w:t>
            </w:r>
            <w:hyperlink r:id="rId16" w:history="1">
              <w:r>
                <w:rPr>
                  <w:rStyle w:val="DefaultParagraphFontPHPDOCX"/>
                  <w:color w:val="0000CC"/>
                  <w:position w:val="-3"/>
                  <w:u w:val="single" w:color="000000"/>
                </w:rPr>
                <w:t>Ambition Institute — How to teach handwriting (explainer)</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316C194" w14:textId="77777777" w:rsidR="00C64DD4" w:rsidRDefault="00C64DD4" w:rsidP="00D6783A">
            <w:r>
              <w:rPr>
                <w:color w:val="000000"/>
                <w:position w:val="-3"/>
              </w:rPr>
              <w:lastRenderedPageBreak/>
              <w:t>1, 4</w:t>
            </w:r>
          </w:p>
        </w:tc>
      </w:tr>
      <w:tr w:rsidR="00C64DD4" w14:paraId="1BB4B5E3"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F6AE0B4" w14:textId="77777777" w:rsidR="00C64DD4" w:rsidRDefault="00C64DD4" w:rsidP="00D6783A">
            <w:r>
              <w:rPr>
                <w:color w:val="000000"/>
                <w:position w:val="-3"/>
              </w:rPr>
              <w:t>4. Strengthen reading &amp; phonics continuity to support spelling and transcription: ensure phonics fidelity, targeted small‑group phonics/spelling catch‑up, and integration with handwriting lessons (matching phonics graphemes to handwriting practice).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3B133C" w14:textId="77777777" w:rsidR="00C64DD4" w:rsidRDefault="00C64DD4" w:rsidP="00D6783A">
            <w:r>
              <w:rPr>
                <w:color w:val="000000"/>
                <w:position w:val="-3"/>
              </w:rPr>
              <w:t xml:space="preserve">- EEF: phonics has strong evidence and is essential for early reading and supports spelling/transcription. </w:t>
            </w:r>
            <w:hyperlink r:id="rId17" w:history="1">
              <w:r>
                <w:rPr>
                  <w:rStyle w:val="DefaultParagraphFontPHPDOCX"/>
                  <w:color w:val="0000CC"/>
                  <w:position w:val="-3"/>
                  <w:u w:val="single" w:color="000000"/>
                </w:rPr>
                <w:t>EEF: Improving Literacy in Key Stage 1 / Phonics guidance — EEF primary resources</w:t>
              </w:r>
            </w:hyperlink>
            <w:r>
              <w:rPr>
                <w:color w:val="000000"/>
                <w:position w:val="-3"/>
              </w:rPr>
              <w:t>.</w:t>
            </w:r>
            <w:r>
              <w:rPr>
                <w:color w:val="000000"/>
                <w:position w:val="-3"/>
              </w:rPr>
              <w:br/>
              <w:t xml:space="preserve">- DfE Writing Framework emphasises phonics for spelling development. </w:t>
            </w:r>
            <w:hyperlink r:id="rId18" w:history="1">
              <w:r>
                <w:rPr>
                  <w:rStyle w:val="DefaultParagraphFontPHPDOCX"/>
                  <w:color w:val="0000CC"/>
                  <w:position w:val="-3"/>
                  <w:u w:val="single" w:color="000000"/>
                </w:rPr>
                <w:t>DfE Writing Framework (Jul 2025)</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F5DC755" w14:textId="77777777" w:rsidR="00C64DD4" w:rsidRDefault="00C64DD4" w:rsidP="00D6783A">
            <w:r>
              <w:rPr>
                <w:color w:val="000000"/>
                <w:position w:val="-3"/>
              </w:rPr>
              <w:t>1, 4, 7</w:t>
            </w:r>
          </w:p>
        </w:tc>
      </w:tr>
      <w:tr w:rsidR="00C64DD4" w14:paraId="3345770E"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B28D2B" w14:textId="29E61C4C" w:rsidR="00C64DD4" w:rsidRDefault="00C64DD4" w:rsidP="00D6783A">
            <w:r>
              <w:rPr>
                <w:color w:val="000000"/>
                <w:position w:val="-3"/>
              </w:rPr>
              <w:t>5. CPD programme + instructional coaching for teachers and TAs on: (a) sentence-level teaching, sentence-combining and oral composition; (b) embedding formative assessment and effective feedback for writing; (c) adapting curriculum for mixed‑age planning. Use peer coaching where possible.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DEA44F" w14:textId="77777777" w:rsidR="00C64DD4" w:rsidRDefault="00C64DD4" w:rsidP="00D6783A">
            <w:r>
              <w:rPr>
                <w:color w:val="000000"/>
                <w:position w:val="-3"/>
              </w:rPr>
              <w:t xml:space="preserve">- DfE Writing Framework and EEF emphasise modelling, sentence instruction and feedback as high-value approaches for writing. </w:t>
            </w:r>
            <w:hyperlink r:id="rId19" w:history="1">
              <w:r>
                <w:rPr>
                  <w:rStyle w:val="DefaultParagraphFontPHPDOCX"/>
                  <w:color w:val="0000CC"/>
                  <w:position w:val="-3"/>
                  <w:u w:val="single" w:color="000000"/>
                </w:rPr>
                <w:t>DfE Writing Framework (Jul 2025)</w:t>
              </w:r>
            </w:hyperlink>
            <w:r>
              <w:rPr>
                <w:color w:val="000000"/>
                <w:position w:val="-3"/>
              </w:rPr>
              <w:t xml:space="preserve">, </w:t>
            </w:r>
            <w:hyperlink r:id="rId20" w:history="1">
              <w:r>
                <w:rPr>
                  <w:rStyle w:val="DefaultParagraphFontPHPDOCX"/>
                  <w:color w:val="0000CC"/>
                  <w:position w:val="-3"/>
                  <w:u w:val="single" w:color="000000"/>
                </w:rPr>
                <w:t>EEF: Improving Literacy KS2 guidance</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521D93" w14:textId="77777777" w:rsidR="00C64DD4" w:rsidRDefault="00C64DD4" w:rsidP="00D6783A">
            <w:r>
              <w:rPr>
                <w:color w:val="000000"/>
                <w:position w:val="-3"/>
              </w:rPr>
              <w:t>1, 3, 4, 6</w:t>
            </w:r>
          </w:p>
        </w:tc>
      </w:tr>
      <w:tr w:rsidR="00C64DD4" w14:paraId="0DEED97E"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F52816" w14:textId="3D5BEAD0" w:rsidR="00C64DD4" w:rsidRDefault="00C64DD4" w:rsidP="00C64DD4">
            <w:r>
              <w:rPr>
                <w:color w:val="000000"/>
                <w:position w:val="-3"/>
              </w:rPr>
              <w:t>6. Strengthen curriculum planning &amp; subject leadership for mixed-age classes: appoint and ring</w:t>
            </w:r>
            <w:r>
              <w:rPr>
                <w:rFonts w:ascii="Cambria Math" w:hAnsi="Cambria Math" w:cs="Cambria Math"/>
                <w:color w:val="000000"/>
                <w:position w:val="-3"/>
              </w:rPr>
              <w:t>‑</w:t>
            </w:r>
            <w:r>
              <w:rPr>
                <w:color w:val="000000"/>
                <w:position w:val="-3"/>
              </w:rPr>
              <w:t>fence time for a KS</w:t>
            </w:r>
            <w:r>
              <w:rPr>
                <w:rFonts w:ascii="Cambria Math" w:hAnsi="Cambria Math" w:cs="Cambria Math"/>
                <w:color w:val="000000"/>
                <w:position w:val="-3"/>
              </w:rPr>
              <w:t>‑</w:t>
            </w:r>
            <w:r>
              <w:rPr>
                <w:color w:val="000000"/>
                <w:position w:val="-3"/>
              </w:rPr>
              <w:t xml:space="preserve">wide literacy lead and subject leads (history/geography &amp; </w:t>
            </w:r>
            <w:r w:rsidR="000979FC">
              <w:rPr>
                <w:color w:val="000000"/>
                <w:position w:val="-3"/>
              </w:rPr>
              <w:t>science</w:t>
            </w:r>
            <w:r>
              <w:rPr>
                <w:color w:val="000000"/>
                <w:position w:val="-3"/>
              </w:rPr>
              <w:t xml:space="preserve"> curriculum), deliver training on sequencing and assessment checks.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0F78DB" w14:textId="77777777" w:rsidR="00C64DD4" w:rsidRDefault="00C64DD4" w:rsidP="00D6783A">
            <w:r>
              <w:rPr>
                <w:color w:val="000000"/>
                <w:position w:val="-3"/>
              </w:rPr>
              <w:t xml:space="preserve">- Ofsted research and DfE guidance stress importance of subject leadership and clear sequencing to secure curriculum outcomes and progression across phases. </w:t>
            </w:r>
            <w:hyperlink r:id="rId21" w:history="1">
              <w:r>
                <w:rPr>
                  <w:rStyle w:val="DefaultParagraphFontPHPDOCX"/>
                  <w:color w:val="0000CC"/>
                  <w:position w:val="-3"/>
                  <w:u w:val="single" w:color="000000"/>
                </w:rPr>
                <w:t>Ofsted: Research review series: English (2022)</w:t>
              </w:r>
            </w:hyperlink>
            <w:r>
              <w:rPr>
                <w:color w:val="000000"/>
                <w:position w:val="-3"/>
              </w:rPr>
              <w:t xml:space="preserve">. </w:t>
            </w:r>
            <w:hyperlink r:id="rId22" w:history="1">
              <w:r>
                <w:rPr>
                  <w:rStyle w:val="DefaultParagraphFontPHPDOCX"/>
                  <w:color w:val="0000CC"/>
                  <w:position w:val="-3"/>
                  <w:u w:val="single" w:color="000000"/>
                </w:rPr>
                <w:t>DfE Writing Framework (Jul 2025)</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9C517C" w14:textId="77777777" w:rsidR="00C64DD4" w:rsidRDefault="00C64DD4" w:rsidP="00D6783A">
            <w:r>
              <w:rPr>
                <w:color w:val="000000"/>
                <w:position w:val="-3"/>
              </w:rPr>
              <w:t>6</w:t>
            </w:r>
          </w:p>
        </w:tc>
      </w:tr>
    </w:tbl>
    <w:p w14:paraId="0ECFCDF2" w14:textId="77777777" w:rsidR="00C64DD4" w:rsidRDefault="00C64DD4"/>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3956352D" w14:textId="1913B6A8" w:rsidR="00216984" w:rsidRPr="00216984" w:rsidRDefault="009D71E8">
      <w:pPr>
        <w:rPr>
          <w:i/>
          <w:iCs/>
        </w:rPr>
      </w:pPr>
      <w:r>
        <w:t xml:space="preserve">Budgeted cost: £ </w:t>
      </w:r>
      <w:r w:rsidR="00E06AED">
        <w:t>75932</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4484"/>
        <w:gridCol w:w="4394"/>
        <w:gridCol w:w="606"/>
      </w:tblGrid>
      <w:tr w:rsidR="00E11252" w14:paraId="603CB2A7"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4BA2E5" w14:textId="77777777" w:rsidR="00E11252" w:rsidRDefault="00E11252" w:rsidP="00D6783A">
            <w:pPr>
              <w:jc w:val="center"/>
            </w:pPr>
            <w:r>
              <w:rPr>
                <w:b/>
                <w:bCs/>
                <w:color w:val="000000"/>
                <w:position w:val="-3"/>
              </w:rPr>
              <w:lastRenderedPageBreak/>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B4FDD7" w14:textId="77777777" w:rsidR="00E11252" w:rsidRDefault="00E11252" w:rsidP="00D6783A">
            <w:pPr>
              <w:jc w:val="center"/>
            </w:pPr>
            <w:r>
              <w:rPr>
                <w:b/>
                <w:bCs/>
                <w:color w:val="000000"/>
                <w:position w:val="-3"/>
              </w:rPr>
              <w:t>Evidence that supports this approach (source name = hyperlink)</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7AE1FF" w14:textId="77777777" w:rsidR="00E11252" w:rsidRDefault="00E11252" w:rsidP="00D6783A">
            <w:pPr>
              <w:jc w:val="center"/>
            </w:pPr>
            <w:r>
              <w:rPr>
                <w:b/>
                <w:bCs/>
                <w:color w:val="000000"/>
                <w:position w:val="-3"/>
              </w:rPr>
              <w:t>Challenge(s) addressed</w:t>
            </w:r>
          </w:p>
        </w:tc>
      </w:tr>
      <w:tr w:rsidR="00E11252" w14:paraId="347B2573"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39E984C" w14:textId="77777777" w:rsidR="00E11252" w:rsidRDefault="00E11252" w:rsidP="00D6783A">
            <w:r>
              <w:rPr>
                <w:color w:val="000000"/>
                <w:position w:val="-3"/>
              </w:rPr>
              <w:t>7. Evidence‑based tutoring programme for Y2–Y6 disadvantaged pupils (school‑led small‑group tuition and where needed 1:1): prioritise writing and maths catch‑up for pupils below age‑related expectations; 12–15 hours per pupil initially, with strong teacher–tutor communication and aligned session plans.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645571A" w14:textId="77777777" w:rsidR="00E11252" w:rsidRDefault="00E11252" w:rsidP="00D6783A">
            <w:r>
              <w:rPr>
                <w:color w:val="000000"/>
                <w:position w:val="-3"/>
              </w:rPr>
              <w:t xml:space="preserve">- EEF: targeted small‑group and one‑to‑one tuition can produce substantial impacts (average +4 months, with 1:1 often higher). </w:t>
            </w:r>
            <w:hyperlink r:id="rId23" w:history="1">
              <w:r>
                <w:rPr>
                  <w:rStyle w:val="DefaultParagraphFontPHPDOCX"/>
                  <w:color w:val="0000CC"/>
                  <w:position w:val="-3"/>
                  <w:u w:val="single" w:color="000000"/>
                </w:rPr>
                <w:t>EEF Teaching &amp; Learning Toolkit — Small group/one‑to‑one tuition summary</w:t>
              </w:r>
            </w:hyperlink>
            <w:r>
              <w:rPr>
                <w:color w:val="000000"/>
                <w:position w:val="-3"/>
              </w:rPr>
              <w:t>.</w:t>
            </w:r>
            <w:r>
              <w:rPr>
                <w:color w:val="000000"/>
                <w:position w:val="-3"/>
              </w:rPr>
              <w:br/>
              <w:t xml:space="preserve">- Tutor Trust RCT / implementation evidence shows 12 hours of structured tutoring produced ~3 months’ progress in KS2 maths and demonstrates the importance of curriculum alignment and tutor–teacher liaison. </w:t>
            </w:r>
            <w:hyperlink r:id="rId24" w:history="1">
              <w:r>
                <w:rPr>
                  <w:rStyle w:val="DefaultParagraphFontPHPDOCX"/>
                  <w:color w:val="0000CC"/>
                  <w:position w:val="-3"/>
                  <w:u w:val="single" w:color="000000"/>
                </w:rPr>
                <w:t>EEF – Tutor Trust (primary) evaluation summary</w:t>
              </w:r>
            </w:hyperlink>
            <w:r>
              <w:rPr>
                <w:color w:val="000000"/>
                <w:position w:val="-3"/>
              </w:rPr>
              <w:t>.</w:t>
            </w:r>
            <w:r>
              <w:rPr>
                <w:color w:val="000000"/>
                <w:position w:val="-3"/>
              </w:rPr>
              <w:br/>
              <w:t xml:space="preserve">- Ofsted review of tutoring emphasises strong practice features (school‑led approach, alignment, prioritisation of disadvantaged pupils). </w:t>
            </w:r>
            <w:hyperlink r:id="rId25" w:history="1">
              <w:r>
                <w:rPr>
                  <w:rStyle w:val="DefaultParagraphFontPHPDOCX"/>
                  <w:color w:val="0000CC"/>
                  <w:position w:val="-3"/>
                  <w:u w:val="single" w:color="000000"/>
                </w:rPr>
                <w:t>Ofsted: Independent review of tutoring – Phase 1 findings</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2B62D3" w14:textId="77777777" w:rsidR="00E11252" w:rsidRDefault="00E11252" w:rsidP="00D6783A">
            <w:r>
              <w:rPr>
                <w:color w:val="000000"/>
                <w:position w:val="-3"/>
              </w:rPr>
              <w:t>1, 2, 4</w:t>
            </w:r>
          </w:p>
        </w:tc>
      </w:tr>
      <w:tr w:rsidR="00E11252" w14:paraId="68F9B1A9"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587CB9" w14:textId="1E1E96C3" w:rsidR="00E11252" w:rsidRDefault="00E11252" w:rsidP="00473AD3">
            <w:r>
              <w:rPr>
                <w:color w:val="000000"/>
                <w:position w:val="-3"/>
              </w:rPr>
              <w:t>8. Short</w:t>
            </w:r>
            <w:r>
              <w:rPr>
                <w:rFonts w:ascii="Cambria Math" w:hAnsi="Cambria Math" w:cs="Cambria Math"/>
                <w:color w:val="000000"/>
                <w:position w:val="-3"/>
              </w:rPr>
              <w:t>‑</w:t>
            </w:r>
            <w:r>
              <w:rPr>
                <w:color w:val="000000"/>
                <w:position w:val="-3"/>
              </w:rPr>
              <w:t xml:space="preserve">term targeted oral language interventions (small groups): run </w:t>
            </w:r>
            <w:r w:rsidR="00473AD3">
              <w:rPr>
                <w:color w:val="000000"/>
                <w:position w:val="-3"/>
              </w:rPr>
              <w:t xml:space="preserve">EYBIC </w:t>
            </w:r>
            <w:r>
              <w:rPr>
                <w:color w:val="000000"/>
                <w:position w:val="-3"/>
              </w:rPr>
              <w:t>style delivery in Reception and other small groups for identified children (including EAL newcomers); use TAs trained and supervised to deliver high-fidelity short sessions.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B5BE25" w14:textId="77777777" w:rsidR="00E11252" w:rsidRDefault="00E11252" w:rsidP="00D6783A">
            <w:r>
              <w:rPr>
                <w:color w:val="000000"/>
                <w:position w:val="-3"/>
              </w:rPr>
              <w:t xml:space="preserve">- NELI large-scale EEF-trial evidence: NELI produced ~+3 months language progress in Reception; EEF highlights oral language approaches produce +6 months on average when used appropriately. </w:t>
            </w:r>
            <w:hyperlink r:id="rId26" w:history="1">
              <w:r>
                <w:rPr>
                  <w:rStyle w:val="DefaultParagraphFontPHPDOCX"/>
                  <w:color w:val="0000CC"/>
                  <w:position w:val="-3"/>
                  <w:u w:val="single" w:color="000000"/>
                </w:rPr>
                <w:t>Nuffield Foundation — NELI evidence summary</w:t>
              </w:r>
            </w:hyperlink>
            <w:r>
              <w:rPr>
                <w:color w:val="000000"/>
                <w:position w:val="-3"/>
              </w:rPr>
              <w:t xml:space="preserve">. </w:t>
            </w:r>
            <w:hyperlink r:id="rId27" w:history="1">
              <w:r>
                <w:rPr>
                  <w:rStyle w:val="DefaultParagraphFontPHPDOCX"/>
                  <w:color w:val="0000CC"/>
                  <w:position w:val="-3"/>
                  <w:u w:val="single" w:color="000000"/>
                </w:rPr>
                <w:t>EEF — Oral language interventions</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B4C4B82" w14:textId="77777777" w:rsidR="00E11252" w:rsidRDefault="00E11252" w:rsidP="00D6783A">
            <w:r>
              <w:rPr>
                <w:color w:val="000000"/>
                <w:position w:val="-3"/>
              </w:rPr>
              <w:t>1, 3, 7</w:t>
            </w:r>
          </w:p>
        </w:tc>
      </w:tr>
      <w:tr w:rsidR="00E11252" w14:paraId="220DF6D0"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E218EEA" w14:textId="77777777" w:rsidR="00E11252" w:rsidRDefault="00E11252" w:rsidP="00D6783A">
            <w:r>
              <w:rPr>
                <w:color w:val="000000"/>
                <w:position w:val="-3"/>
              </w:rPr>
              <w:lastRenderedPageBreak/>
              <w:t>9. Structured, evidence-informed writing interventions for identified pupils (small groups) focused on: sentence combining, dictation (to practise transcription in context), oral composition rehearsal and focused grammar-in-context — delivered by trained teachers/TAs with progress monitoring.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747DC6" w14:textId="77777777" w:rsidR="00E11252" w:rsidRDefault="00E11252" w:rsidP="00D6783A">
            <w:r>
              <w:rPr>
                <w:color w:val="000000"/>
                <w:position w:val="-3"/>
              </w:rPr>
              <w:t xml:space="preserve">- EEF guidance advocates sentence-level teaching, dictation and focused composition practice to reduce cognitive load and build fluency; dictation and transcription practice are signalled as effective in DfE Writing Framework. </w:t>
            </w:r>
            <w:hyperlink r:id="rId28" w:history="1">
              <w:r>
                <w:rPr>
                  <w:rStyle w:val="DefaultParagraphFontPHPDOCX"/>
                  <w:color w:val="0000CC"/>
                  <w:position w:val="-3"/>
                  <w:u w:val="single" w:color="000000"/>
                </w:rPr>
                <w:t>DfE Writing Framework (Jul 2025)</w:t>
              </w:r>
            </w:hyperlink>
            <w:r>
              <w:rPr>
                <w:color w:val="000000"/>
                <w:position w:val="-3"/>
              </w:rPr>
              <w:t xml:space="preserve">, </w:t>
            </w:r>
            <w:hyperlink r:id="rId29" w:history="1">
              <w:r>
                <w:rPr>
                  <w:rStyle w:val="DefaultParagraphFontPHPDOCX"/>
                  <w:color w:val="0000CC"/>
                  <w:position w:val="-3"/>
                  <w:u w:val="single" w:color="000000"/>
                </w:rPr>
                <w:t>EEF Improving Literacy KS2</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09FBCF" w14:textId="77777777" w:rsidR="00E11252" w:rsidRDefault="00E11252" w:rsidP="00D6783A">
            <w:r>
              <w:rPr>
                <w:color w:val="000000"/>
                <w:position w:val="-3"/>
              </w:rPr>
              <w:t>1, 3, 4</w:t>
            </w:r>
          </w:p>
        </w:tc>
      </w:tr>
      <w:tr w:rsidR="00E11252" w14:paraId="156CBA9F" w14:textId="77777777" w:rsidTr="00D6783A">
        <w:trPr>
          <w:gridAfter w:val="2"/>
        </w:trPr>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CC24F66" w14:textId="77777777" w:rsidR="00E11252" w:rsidRDefault="00E11252" w:rsidP="00D6783A">
            <w:r>
              <w:rPr>
                <w:color w:val="000000"/>
                <w:position w:val="-3"/>
              </w:rPr>
              <w:t>10. SEND‑specific structured interventions: individualised programmes for disadvantaged pupils with SEND (including speech &amp; language therapy liaison, OT for fine motor/hand</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3D8FDC3" w:rsidR="00E66558" w:rsidRDefault="009D71E8">
      <w:pPr>
        <w:spacing w:before="240" w:after="120"/>
      </w:pPr>
      <w:r>
        <w:t xml:space="preserve">Budgeted cost: £ </w:t>
      </w:r>
      <w:r w:rsidR="00953105">
        <w:rPr>
          <w:i/>
          <w:iCs/>
        </w:rPr>
        <w:t>18259</w:t>
      </w:r>
    </w:p>
    <w:tbl>
      <w:tblPr>
        <w:tblW w:w="5000" w:type="pct"/>
        <w:tblCellMar>
          <w:left w:w="10" w:type="dxa"/>
          <w:right w:w="10" w:type="dxa"/>
        </w:tblCellMar>
        <w:tblLook w:val="04A0" w:firstRow="1" w:lastRow="0" w:firstColumn="1" w:lastColumn="0" w:noHBand="0" w:noVBand="1"/>
      </w:tblPr>
      <w:tblGrid>
        <w:gridCol w:w="1856"/>
        <w:gridCol w:w="5871"/>
        <w:gridCol w:w="1759"/>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62C08DB" w:rsidR="00E66558" w:rsidRDefault="00B31F37" w:rsidP="00B31F37">
            <w:pPr>
              <w:pStyle w:val="TableRow"/>
              <w:ind w:left="0"/>
            </w:pPr>
            <w:r>
              <w:rPr>
                <w:sz w:val="22"/>
                <w:szCs w:val="22"/>
              </w:rPr>
              <w:t xml:space="preserve">Integrate Outdoor Play and Learning into the school day to promote positive mental wellbeing.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58C2" w14:textId="77777777" w:rsidR="00B31F37" w:rsidRDefault="00B31F37" w:rsidP="00CD5374">
            <w:pPr>
              <w:pStyle w:val="TableRowCentered"/>
              <w:jc w:val="left"/>
              <w:rPr>
                <w:rFonts w:cs="Arial"/>
                <w:color w:val="374151"/>
                <w:sz w:val="22"/>
                <w:szCs w:val="22"/>
                <w:shd w:val="clear" w:color="auto" w:fill="FAFAFA"/>
              </w:rPr>
            </w:pPr>
            <w:r>
              <w:rPr>
                <w:rFonts w:cs="Arial"/>
                <w:color w:val="374151"/>
                <w:sz w:val="22"/>
                <w:szCs w:val="22"/>
                <w:shd w:val="clear" w:color="auto" w:fill="FAFAFA"/>
              </w:rPr>
              <w:t>Outdoor Adventure Learning can</w:t>
            </w:r>
            <w:r w:rsidRPr="00B31F37">
              <w:rPr>
                <w:rFonts w:cs="Arial"/>
                <w:color w:val="374151"/>
                <w:sz w:val="22"/>
                <w:szCs w:val="22"/>
                <w:shd w:val="clear" w:color="auto" w:fill="FAFAFA"/>
              </w:rPr>
              <w:t xml:space="preserve">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w:t>
            </w:r>
          </w:p>
          <w:p w14:paraId="5F1B9372" w14:textId="585083A1" w:rsidR="00E66558" w:rsidRDefault="00E06AED" w:rsidP="00CD5374">
            <w:pPr>
              <w:pStyle w:val="TableRowCentered"/>
              <w:jc w:val="left"/>
              <w:rPr>
                <w:rFonts w:cs="Arial"/>
                <w:sz w:val="22"/>
                <w:szCs w:val="22"/>
              </w:rPr>
            </w:pPr>
            <w:hyperlink r:id="rId30" w:history="1">
              <w:r w:rsidR="0057046F" w:rsidRPr="00723CC9">
                <w:rPr>
                  <w:rStyle w:val="Hyperlink"/>
                  <w:rFonts w:cs="Arial"/>
                  <w:sz w:val="22"/>
                  <w:szCs w:val="22"/>
                </w:rPr>
                <w:t>https://educationendowmentfoundation.org.uk/education-evidence/teaching-learning-toolkit/outdoor-adventure-learning</w:t>
              </w:r>
            </w:hyperlink>
          </w:p>
          <w:p w14:paraId="5CC83AF2" w14:textId="77777777" w:rsidR="0057046F" w:rsidRPr="0057046F" w:rsidRDefault="0057046F" w:rsidP="0057046F">
            <w:pPr>
              <w:pStyle w:val="TableRowCentered"/>
              <w:ind w:left="0"/>
              <w:jc w:val="left"/>
              <w:rPr>
                <w:rFonts w:cs="Arial"/>
                <w:color w:val="333333"/>
                <w:sz w:val="22"/>
                <w:szCs w:val="22"/>
                <w:shd w:val="clear" w:color="auto" w:fill="FFFFFF"/>
              </w:rPr>
            </w:pPr>
            <w:r w:rsidRPr="0057046F">
              <w:rPr>
                <w:rFonts w:cs="Arial"/>
                <w:color w:val="333333"/>
                <w:sz w:val="22"/>
                <w:szCs w:val="22"/>
                <w:shd w:val="clear" w:color="auto" w:fill="FFFFFF"/>
              </w:rPr>
              <w:t>Research shows that children's mental and physical health is getting worse and that great play can make it better. </w:t>
            </w:r>
          </w:p>
          <w:p w14:paraId="3FFAB405" w14:textId="7F6FC76D" w:rsidR="0057046F" w:rsidRDefault="00E06AED" w:rsidP="0057046F">
            <w:pPr>
              <w:pStyle w:val="TableRowCentered"/>
              <w:ind w:left="0"/>
              <w:jc w:val="left"/>
              <w:rPr>
                <w:rFonts w:cs="Arial"/>
                <w:sz w:val="22"/>
                <w:szCs w:val="22"/>
              </w:rPr>
            </w:pPr>
            <w:hyperlink r:id="rId31" w:history="1">
              <w:r w:rsidR="0057046F" w:rsidRPr="00723CC9">
                <w:rPr>
                  <w:rStyle w:val="Hyperlink"/>
                  <w:rFonts w:cs="Arial"/>
                  <w:sz w:val="22"/>
                  <w:szCs w:val="22"/>
                </w:rPr>
                <w:t>https://outdoorplayandlearning.org.uk/</w:t>
              </w:r>
            </w:hyperlink>
          </w:p>
          <w:p w14:paraId="2A7D5539" w14:textId="0923DDA5" w:rsidR="0057046F" w:rsidRPr="00B31F37" w:rsidRDefault="0057046F" w:rsidP="0057046F">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6E21004" w:rsidR="00E66558" w:rsidRDefault="0057046F">
            <w:pPr>
              <w:pStyle w:val="TableRowCentered"/>
              <w:jc w:val="left"/>
              <w:rPr>
                <w:sz w:val="22"/>
              </w:rPr>
            </w:pPr>
            <w:r>
              <w:rPr>
                <w:sz w:val="22"/>
              </w:rPr>
              <w:t xml:space="preserve">2,4,6 </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FD5A94A" w:rsidR="00E66558" w:rsidRPr="0057046F" w:rsidRDefault="0057046F">
            <w:pPr>
              <w:pStyle w:val="TableRow"/>
              <w:rPr>
                <w:sz w:val="22"/>
              </w:rPr>
            </w:pPr>
            <w:r>
              <w:rPr>
                <w:sz w:val="22"/>
              </w:rPr>
              <w:t xml:space="preserve">Whole staff training on behaviour management and anti – </w:t>
            </w:r>
            <w:r>
              <w:rPr>
                <w:sz w:val="22"/>
              </w:rPr>
              <w:lastRenderedPageBreak/>
              <w:t xml:space="preserve">Bullying approaches with the aim of developing our school ethos and sustaining good behaviour across the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40C7" w14:textId="77777777" w:rsidR="0057046F" w:rsidRDefault="0057046F">
            <w:pPr>
              <w:pStyle w:val="TableRowCentered"/>
              <w:jc w:val="left"/>
              <w:rPr>
                <w:sz w:val="22"/>
              </w:rPr>
            </w:pPr>
            <w:r>
              <w:rPr>
                <w:sz w:val="22"/>
              </w:rPr>
              <w:lastRenderedPageBreak/>
              <w:t xml:space="preserve">Both targeted interventions and universal approaches can have positive overall effects.  </w:t>
            </w:r>
          </w:p>
          <w:p w14:paraId="3D283F8B" w14:textId="2EF1FC4C" w:rsidR="0057046F" w:rsidRDefault="00E06AED">
            <w:pPr>
              <w:pStyle w:val="TableRowCentered"/>
              <w:jc w:val="left"/>
              <w:rPr>
                <w:sz w:val="22"/>
              </w:rPr>
            </w:pPr>
            <w:hyperlink r:id="rId32" w:history="1">
              <w:r w:rsidR="0057046F" w:rsidRPr="00723CC9">
                <w:rPr>
                  <w:rStyle w:val="Hyperlink"/>
                  <w:sz w:val="22"/>
                </w:rPr>
                <w:t>https://educationendowmentfoundation.org.uk/education-evidence/teaching-learning-toolkit/behaviour-interventions</w:t>
              </w:r>
            </w:hyperlink>
          </w:p>
          <w:p w14:paraId="6C27A220" w14:textId="77777777" w:rsidR="0057046F" w:rsidRDefault="0057046F">
            <w:pPr>
              <w:pStyle w:val="TableRowCentered"/>
              <w:jc w:val="left"/>
              <w:rPr>
                <w:sz w:val="22"/>
              </w:rPr>
            </w:pPr>
          </w:p>
          <w:p w14:paraId="2A7D553D" w14:textId="79228A80"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676DB1D" w:rsidR="00E66558" w:rsidRDefault="0057046F">
            <w:pPr>
              <w:pStyle w:val="TableRowCentered"/>
              <w:jc w:val="left"/>
              <w:rPr>
                <w:sz w:val="22"/>
              </w:rPr>
            </w:pPr>
            <w:r>
              <w:rPr>
                <w:sz w:val="22"/>
              </w:rPr>
              <w:lastRenderedPageBreak/>
              <w:t>2,4,</w:t>
            </w:r>
            <w:r w:rsidR="000620DA">
              <w:rPr>
                <w:sz w:val="22"/>
              </w:rPr>
              <w:t>5,</w:t>
            </w:r>
            <w:r>
              <w:rPr>
                <w:sz w:val="22"/>
              </w:rPr>
              <w:t>6</w:t>
            </w:r>
          </w:p>
        </w:tc>
      </w:tr>
      <w:tr w:rsidR="000620DA" w14:paraId="5D07879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1C15" w14:textId="77777777" w:rsidR="00090E68" w:rsidRDefault="000620DA">
            <w:pPr>
              <w:pStyle w:val="TableRow"/>
              <w:rPr>
                <w:sz w:val="22"/>
              </w:rPr>
            </w:pPr>
            <w:r>
              <w:rPr>
                <w:sz w:val="22"/>
              </w:rPr>
              <w:t xml:space="preserve">Embedding principles of good practice set out in the DFE’s guidance on working together to improve school attendance through the deployment of attendance officers to improve attendance. </w:t>
            </w:r>
          </w:p>
          <w:p w14:paraId="6009B598" w14:textId="2FDE3453" w:rsidR="000620DA" w:rsidRDefault="000620DA">
            <w:pPr>
              <w:pStyle w:val="TableRow"/>
              <w:rPr>
                <w:sz w:val="22"/>
              </w:rPr>
            </w:pP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6A5F" w14:textId="56CE859F" w:rsidR="000620DA" w:rsidRDefault="000620DA">
            <w:pPr>
              <w:pStyle w:val="TableRowCentered"/>
              <w:jc w:val="left"/>
              <w:rPr>
                <w:sz w:val="22"/>
              </w:rPr>
            </w:pPr>
            <w:r>
              <w:rPr>
                <w:sz w:val="22"/>
              </w:rPr>
              <w:t xml:space="preserve">The DfE guidance has been </w:t>
            </w:r>
            <w:r w:rsidR="004C1FDC">
              <w:rPr>
                <w:sz w:val="22"/>
              </w:rPr>
              <w:t xml:space="preserve">informed by engagement with schools that have significantly 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BCC4" w14:textId="52CBA68A" w:rsidR="000620DA" w:rsidRDefault="00926202">
            <w:pPr>
              <w:pStyle w:val="TableRowCentered"/>
              <w:jc w:val="left"/>
              <w:rPr>
                <w:sz w:val="22"/>
              </w:rPr>
            </w:pPr>
            <w:r>
              <w:rPr>
                <w:sz w:val="22"/>
              </w:rPr>
              <w:t>5</w:t>
            </w:r>
          </w:p>
        </w:tc>
      </w:tr>
      <w:tr w:rsidR="00090E68" w14:paraId="09680B7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0B81C" w14:textId="186F0B60" w:rsidR="00090E68" w:rsidRDefault="00090E68">
            <w:pPr>
              <w:pStyle w:val="TableRow"/>
              <w:rPr>
                <w:sz w:val="22"/>
              </w:rPr>
            </w:pPr>
            <w:r>
              <w:rPr>
                <w:sz w:val="22"/>
              </w:rPr>
              <w:t xml:space="preserve">Provision for dealing with acute emotional issues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CD3B" w14:textId="234025DF" w:rsidR="00090E68" w:rsidRDefault="00090E68">
            <w:pPr>
              <w:pStyle w:val="TableRowCentered"/>
              <w:jc w:val="left"/>
              <w:rPr>
                <w:sz w:val="22"/>
              </w:rPr>
            </w:pPr>
            <w:r>
              <w:rPr>
                <w:sz w:val="22"/>
              </w:rPr>
              <w:t xml:space="preserve">Based on our experiences, and those of similar schools, we have identified a need to set a small amount of funding aside to respond quickly to needs as they arise.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54015" w14:textId="4D883095" w:rsidR="00090E68" w:rsidRDefault="00090E68">
            <w:pPr>
              <w:pStyle w:val="TableRowCentered"/>
              <w:jc w:val="left"/>
              <w:rPr>
                <w:sz w:val="22"/>
              </w:rPr>
            </w:pPr>
            <w:r>
              <w:rPr>
                <w:sz w:val="22"/>
              </w:rPr>
              <w:t>2, 5, 6</w:t>
            </w:r>
          </w:p>
        </w:tc>
      </w:tr>
    </w:tbl>
    <w:p w14:paraId="2A7D5540" w14:textId="77777777" w:rsidR="00E66558" w:rsidRDefault="00E66558">
      <w:pPr>
        <w:spacing w:before="240" w:after="0"/>
        <w:rPr>
          <w:b/>
          <w:bCs/>
          <w:color w:val="104F75"/>
          <w:sz w:val="28"/>
          <w:szCs w:val="28"/>
        </w:rPr>
      </w:pPr>
    </w:p>
    <w:p w14:paraId="2A7D5541" w14:textId="7D176CE4" w:rsidR="00E66558" w:rsidRDefault="009D71E8" w:rsidP="00120AB1">
      <w:r>
        <w:rPr>
          <w:b/>
          <w:bCs/>
          <w:color w:val="104F75"/>
          <w:sz w:val="28"/>
          <w:szCs w:val="28"/>
        </w:rPr>
        <w:t xml:space="preserve">Total budgeted cost: £ </w:t>
      </w:r>
      <w:r w:rsidR="00953105">
        <w:rPr>
          <w:b/>
          <w:bCs/>
          <w:color w:val="104F75"/>
          <w:sz w:val="28"/>
          <w:szCs w:val="28"/>
        </w:rPr>
        <w:t>10</w:t>
      </w:r>
      <w:r w:rsidR="00E06AED">
        <w:rPr>
          <w:b/>
          <w:bCs/>
          <w:color w:val="104F75"/>
          <w:sz w:val="28"/>
          <w:szCs w:val="28"/>
        </w:rPr>
        <w:t>0934</w:t>
      </w:r>
      <w:bookmarkStart w:id="17" w:name="_GoBack"/>
      <w:bookmarkEnd w:id="17"/>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D1D57" w14:textId="361B7581" w:rsidR="0064167B" w:rsidRDefault="007002F5" w:rsidP="00242093">
            <w:pPr>
              <w:spacing w:before="60"/>
              <w:rPr>
                <w:iCs/>
                <w:lang w:eastAsia="en-US"/>
              </w:rPr>
            </w:pPr>
            <w:r>
              <w:rPr>
                <w:iCs/>
                <w:lang w:eastAsia="en-US"/>
              </w:rPr>
              <w:t>We have analysed the performance of our school’s disadvantaged pupils duri</w:t>
            </w:r>
            <w:r w:rsidR="0086358D">
              <w:rPr>
                <w:iCs/>
                <w:lang w:eastAsia="en-US"/>
              </w:rPr>
              <w:t xml:space="preserve">ng the previous academic year, drawing on national assessment data and our own internal summative and formative assessments.  </w:t>
            </w:r>
          </w:p>
          <w:p w14:paraId="56779D45" w14:textId="73D2F2D1" w:rsidR="00973071" w:rsidRDefault="00973071" w:rsidP="00242093">
            <w:pPr>
              <w:spacing w:before="60"/>
              <w:rPr>
                <w:iCs/>
                <w:lang w:eastAsia="en-US"/>
              </w:rPr>
            </w:pPr>
            <w:r>
              <w:rPr>
                <w:iCs/>
                <w:lang w:eastAsia="en-US"/>
              </w:rPr>
              <w:t xml:space="preserve">To help us </w:t>
            </w:r>
            <w:r w:rsidR="00A41C65">
              <w:rPr>
                <w:iCs/>
                <w:lang w:eastAsia="en-US"/>
              </w:rPr>
              <w:t>gauge</w:t>
            </w:r>
            <w:r>
              <w:rPr>
                <w:iCs/>
                <w:lang w:eastAsia="en-US"/>
              </w:rPr>
              <w:t xml:space="preserve"> the performance of our disadvantaged pupils we compared their results to those for disadvantaged and non- disadvantaged at national and local level and to our results achieved by our non- disadvantaged.  </w:t>
            </w:r>
          </w:p>
          <w:p w14:paraId="0196A677" w14:textId="775EFF93" w:rsidR="0021648F" w:rsidRDefault="0021648F" w:rsidP="00242093">
            <w:pPr>
              <w:spacing w:before="60"/>
              <w:rPr>
                <w:iCs/>
                <w:lang w:eastAsia="en-US"/>
              </w:rPr>
            </w:pPr>
            <w:r w:rsidRPr="0021648F">
              <w:rPr>
                <w:b/>
                <w:iCs/>
                <w:u w:val="single"/>
                <w:lang w:eastAsia="en-US"/>
              </w:rPr>
              <w:t xml:space="preserve">Phonics </w:t>
            </w:r>
            <w:r w:rsidR="00C1673C">
              <w:rPr>
                <w:iCs/>
                <w:lang w:eastAsia="en-US"/>
              </w:rPr>
              <w:t>The Phonics screening data demonstrates</w:t>
            </w:r>
            <w:r w:rsidR="00FB593C">
              <w:rPr>
                <w:iCs/>
                <w:lang w:eastAsia="en-US"/>
              </w:rPr>
              <w:t xml:space="preserve"> that the percentage of disadvantaged children passing the phonics screening check a</w:t>
            </w:r>
            <w:r w:rsidR="00C1673C">
              <w:rPr>
                <w:iCs/>
                <w:lang w:eastAsia="en-US"/>
              </w:rPr>
              <w:t xml:space="preserve">t KS1 has been higher than national for the period 2022-2024.  There was a significant dip in attainment in 2004/25 data as 75% of the pupils in the Y1 cohort had significant Special Educational Need.  The school’s three year average for disadvantaged pupils passing the screening check is 65% slightly below the national average of 66.9%. </w:t>
            </w:r>
          </w:p>
          <w:p w14:paraId="01ED52B1" w14:textId="09E259CC" w:rsidR="00740AA1" w:rsidRPr="0044575C" w:rsidRDefault="00740AA1" w:rsidP="00242093">
            <w:pPr>
              <w:spacing w:before="60"/>
              <w:rPr>
                <w:b/>
                <w:bCs/>
                <w:iCs/>
                <w:u w:val="single"/>
                <w:lang w:eastAsia="en-US"/>
              </w:rPr>
            </w:pPr>
            <w:r w:rsidRPr="0044575C">
              <w:rPr>
                <w:b/>
                <w:bCs/>
                <w:iCs/>
                <w:u w:val="single"/>
                <w:lang w:eastAsia="en-US"/>
              </w:rPr>
              <w:t>Year 6 D</w:t>
            </w:r>
            <w:r w:rsidR="0044575C" w:rsidRPr="0044575C">
              <w:rPr>
                <w:b/>
                <w:bCs/>
                <w:iCs/>
                <w:u w:val="single"/>
                <w:lang w:eastAsia="en-US"/>
              </w:rPr>
              <w:t>ata</w:t>
            </w:r>
          </w:p>
          <w:p w14:paraId="66F56E73" w14:textId="1EA447AB" w:rsidR="00FB593C" w:rsidRDefault="003F6D89" w:rsidP="00242093">
            <w:pPr>
              <w:spacing w:before="60"/>
              <w:rPr>
                <w:iCs/>
                <w:lang w:eastAsia="en-US"/>
              </w:rPr>
            </w:pPr>
            <w:r>
              <w:rPr>
                <w:iCs/>
                <w:lang w:eastAsia="en-US"/>
              </w:rPr>
              <w:t xml:space="preserve">Overall data analysis shows that </w:t>
            </w:r>
            <w:r w:rsidR="00123EB9">
              <w:rPr>
                <w:iCs/>
                <w:lang w:eastAsia="en-US"/>
              </w:rPr>
              <w:t xml:space="preserve">children in receipt of the Pupil Premium Grant underperformed in achieving the </w:t>
            </w:r>
            <w:r w:rsidR="00F1399B">
              <w:rPr>
                <w:iCs/>
                <w:lang w:eastAsia="en-US"/>
              </w:rPr>
              <w:t xml:space="preserve">end of year 6 outcomes in comparison to children </w:t>
            </w:r>
            <w:r w:rsidR="00546670">
              <w:rPr>
                <w:iCs/>
                <w:lang w:eastAsia="en-US"/>
              </w:rPr>
              <w:t xml:space="preserve">not in receipt of the grant however further analysis shows that </w:t>
            </w:r>
            <w:r w:rsidR="0079448B">
              <w:rPr>
                <w:iCs/>
                <w:lang w:eastAsia="en-US"/>
              </w:rPr>
              <w:t xml:space="preserve">67% of the Pupil Premium children in that cohort had special educational needs </w:t>
            </w:r>
            <w:r w:rsidR="00257B40">
              <w:rPr>
                <w:iCs/>
                <w:lang w:eastAsia="en-US"/>
              </w:rPr>
              <w:t xml:space="preserve">and 25% had needs so significant that they were disapplied from the test.  </w:t>
            </w:r>
          </w:p>
          <w:tbl>
            <w:tblPr>
              <w:tblStyle w:val="TableGrid"/>
              <w:tblW w:w="0" w:type="auto"/>
              <w:tblLook w:val="04A0" w:firstRow="1" w:lastRow="0" w:firstColumn="1" w:lastColumn="0" w:noHBand="0" w:noVBand="1"/>
            </w:tblPr>
            <w:tblGrid>
              <w:gridCol w:w="2316"/>
              <w:gridCol w:w="2317"/>
              <w:gridCol w:w="2317"/>
              <w:gridCol w:w="2317"/>
            </w:tblGrid>
            <w:tr w:rsidR="00F87544" w14:paraId="2A97C5DE" w14:textId="77777777" w:rsidTr="00F87544">
              <w:tc>
                <w:tcPr>
                  <w:tcW w:w="2316" w:type="dxa"/>
                </w:tcPr>
                <w:p w14:paraId="4792C0C4" w14:textId="77777777" w:rsidR="00F87544" w:rsidRDefault="00F87544" w:rsidP="00242093">
                  <w:pPr>
                    <w:spacing w:before="60"/>
                    <w:rPr>
                      <w:iCs/>
                      <w:lang w:eastAsia="en-US"/>
                    </w:rPr>
                  </w:pPr>
                </w:p>
              </w:tc>
              <w:tc>
                <w:tcPr>
                  <w:tcW w:w="2317" w:type="dxa"/>
                </w:tcPr>
                <w:p w14:paraId="63F9F4FF" w14:textId="12AD7E6E" w:rsidR="00F87544" w:rsidRDefault="00F87544" w:rsidP="00F87544">
                  <w:pPr>
                    <w:spacing w:before="60"/>
                    <w:jc w:val="center"/>
                    <w:rPr>
                      <w:iCs/>
                      <w:lang w:eastAsia="en-US"/>
                    </w:rPr>
                  </w:pPr>
                  <w:r>
                    <w:rPr>
                      <w:iCs/>
                      <w:lang w:eastAsia="en-US"/>
                    </w:rPr>
                    <w:t>Reading</w:t>
                  </w:r>
                </w:p>
              </w:tc>
              <w:tc>
                <w:tcPr>
                  <w:tcW w:w="2317" w:type="dxa"/>
                </w:tcPr>
                <w:p w14:paraId="0738B3A8" w14:textId="24D80001" w:rsidR="00F87544" w:rsidRDefault="00F87544" w:rsidP="00F87544">
                  <w:pPr>
                    <w:spacing w:before="60"/>
                    <w:jc w:val="center"/>
                    <w:rPr>
                      <w:iCs/>
                      <w:lang w:eastAsia="en-US"/>
                    </w:rPr>
                  </w:pPr>
                  <w:r>
                    <w:rPr>
                      <w:iCs/>
                      <w:lang w:eastAsia="en-US"/>
                    </w:rPr>
                    <w:t>Writing</w:t>
                  </w:r>
                </w:p>
              </w:tc>
              <w:tc>
                <w:tcPr>
                  <w:tcW w:w="2317" w:type="dxa"/>
                </w:tcPr>
                <w:p w14:paraId="2550DF6B" w14:textId="19941CD9" w:rsidR="00F87544" w:rsidRDefault="00F87544" w:rsidP="00F87544">
                  <w:pPr>
                    <w:spacing w:before="60"/>
                    <w:jc w:val="center"/>
                    <w:rPr>
                      <w:iCs/>
                      <w:lang w:eastAsia="en-US"/>
                    </w:rPr>
                  </w:pPr>
                  <w:r>
                    <w:rPr>
                      <w:iCs/>
                      <w:lang w:eastAsia="en-US"/>
                    </w:rPr>
                    <w:t>Maths</w:t>
                  </w:r>
                </w:p>
              </w:tc>
            </w:tr>
            <w:tr w:rsidR="00F87544" w14:paraId="7E9C3342" w14:textId="77777777" w:rsidTr="00F87544">
              <w:tc>
                <w:tcPr>
                  <w:tcW w:w="2316" w:type="dxa"/>
                </w:tcPr>
                <w:p w14:paraId="1B8E9FC1" w14:textId="16A8B720" w:rsidR="00F87544" w:rsidRDefault="00AF1D1C" w:rsidP="00242093">
                  <w:pPr>
                    <w:spacing w:before="60"/>
                    <w:rPr>
                      <w:iCs/>
                      <w:lang w:eastAsia="en-US"/>
                    </w:rPr>
                  </w:pPr>
                  <w:r>
                    <w:rPr>
                      <w:iCs/>
                      <w:lang w:eastAsia="en-US"/>
                    </w:rPr>
                    <w:t>% of PP Exp/GD</w:t>
                  </w:r>
                </w:p>
              </w:tc>
              <w:tc>
                <w:tcPr>
                  <w:tcW w:w="2317" w:type="dxa"/>
                </w:tcPr>
                <w:p w14:paraId="49937B3D" w14:textId="6680B125" w:rsidR="00F87544" w:rsidRDefault="00B8788F" w:rsidP="00B8788F">
                  <w:pPr>
                    <w:spacing w:before="60"/>
                    <w:jc w:val="center"/>
                    <w:rPr>
                      <w:iCs/>
                      <w:lang w:eastAsia="en-US"/>
                    </w:rPr>
                  </w:pPr>
                  <w:r>
                    <w:rPr>
                      <w:iCs/>
                      <w:lang w:eastAsia="en-US"/>
                    </w:rPr>
                    <w:t>58%/17%</w:t>
                  </w:r>
                </w:p>
              </w:tc>
              <w:tc>
                <w:tcPr>
                  <w:tcW w:w="2317" w:type="dxa"/>
                </w:tcPr>
                <w:p w14:paraId="39EBC1FB" w14:textId="37BCBC83" w:rsidR="00F87544" w:rsidRDefault="00EB11C0" w:rsidP="00B8788F">
                  <w:pPr>
                    <w:spacing w:before="60"/>
                    <w:jc w:val="center"/>
                    <w:rPr>
                      <w:iCs/>
                      <w:lang w:eastAsia="en-US"/>
                    </w:rPr>
                  </w:pPr>
                  <w:r>
                    <w:rPr>
                      <w:iCs/>
                      <w:lang w:eastAsia="en-US"/>
                    </w:rPr>
                    <w:t>42%/8%</w:t>
                  </w:r>
                </w:p>
              </w:tc>
              <w:tc>
                <w:tcPr>
                  <w:tcW w:w="2317" w:type="dxa"/>
                </w:tcPr>
                <w:p w14:paraId="247D8676" w14:textId="5DEB9637" w:rsidR="00F87544" w:rsidRDefault="00EB11C0" w:rsidP="00B8788F">
                  <w:pPr>
                    <w:spacing w:before="60"/>
                    <w:jc w:val="center"/>
                    <w:rPr>
                      <w:iCs/>
                      <w:lang w:eastAsia="en-US"/>
                    </w:rPr>
                  </w:pPr>
                  <w:r>
                    <w:rPr>
                      <w:iCs/>
                      <w:lang w:eastAsia="en-US"/>
                    </w:rPr>
                    <w:t>67%/17%</w:t>
                  </w:r>
                </w:p>
              </w:tc>
            </w:tr>
            <w:tr w:rsidR="00F87544" w14:paraId="6DCD80DF" w14:textId="77777777" w:rsidTr="00F87544">
              <w:tc>
                <w:tcPr>
                  <w:tcW w:w="2316" w:type="dxa"/>
                </w:tcPr>
                <w:p w14:paraId="49675560" w14:textId="66E35760" w:rsidR="00F87544" w:rsidRDefault="00AF1D1C" w:rsidP="00242093">
                  <w:pPr>
                    <w:spacing w:before="60"/>
                    <w:rPr>
                      <w:iCs/>
                      <w:lang w:eastAsia="en-US"/>
                    </w:rPr>
                  </w:pPr>
                  <w:r>
                    <w:rPr>
                      <w:iCs/>
                      <w:lang w:eastAsia="en-US"/>
                    </w:rPr>
                    <w:t>% of PP Exp/GD</w:t>
                  </w:r>
                  <w:r w:rsidR="00022587">
                    <w:rPr>
                      <w:iCs/>
                      <w:lang w:eastAsia="en-US"/>
                    </w:rPr>
                    <w:t xml:space="preserve"> removing disapplied children </w:t>
                  </w:r>
                </w:p>
              </w:tc>
              <w:tc>
                <w:tcPr>
                  <w:tcW w:w="2317" w:type="dxa"/>
                </w:tcPr>
                <w:p w14:paraId="1C431B05" w14:textId="449361F0" w:rsidR="00F87544" w:rsidRDefault="00EC12D2" w:rsidP="00B8788F">
                  <w:pPr>
                    <w:spacing w:before="60"/>
                    <w:jc w:val="center"/>
                    <w:rPr>
                      <w:iCs/>
                      <w:lang w:eastAsia="en-US"/>
                    </w:rPr>
                  </w:pPr>
                  <w:r>
                    <w:rPr>
                      <w:iCs/>
                      <w:lang w:eastAsia="en-US"/>
                    </w:rPr>
                    <w:t>78%/22%</w:t>
                  </w:r>
                </w:p>
              </w:tc>
              <w:tc>
                <w:tcPr>
                  <w:tcW w:w="2317" w:type="dxa"/>
                </w:tcPr>
                <w:p w14:paraId="55704BCF" w14:textId="05C8F109" w:rsidR="00F87544" w:rsidRDefault="00EC12D2" w:rsidP="00B8788F">
                  <w:pPr>
                    <w:spacing w:before="60"/>
                    <w:jc w:val="center"/>
                    <w:rPr>
                      <w:iCs/>
                      <w:lang w:eastAsia="en-US"/>
                    </w:rPr>
                  </w:pPr>
                  <w:r>
                    <w:rPr>
                      <w:iCs/>
                      <w:lang w:eastAsia="en-US"/>
                    </w:rPr>
                    <w:t>56%/11%</w:t>
                  </w:r>
                </w:p>
              </w:tc>
              <w:tc>
                <w:tcPr>
                  <w:tcW w:w="2317" w:type="dxa"/>
                </w:tcPr>
                <w:p w14:paraId="5019187E" w14:textId="62F9936C" w:rsidR="00F87544" w:rsidRDefault="00EC12D2" w:rsidP="00B8788F">
                  <w:pPr>
                    <w:spacing w:before="60"/>
                    <w:jc w:val="center"/>
                    <w:rPr>
                      <w:iCs/>
                      <w:lang w:eastAsia="en-US"/>
                    </w:rPr>
                  </w:pPr>
                  <w:r>
                    <w:rPr>
                      <w:iCs/>
                      <w:lang w:eastAsia="en-US"/>
                    </w:rPr>
                    <w:t>89%/17%</w:t>
                  </w:r>
                </w:p>
              </w:tc>
            </w:tr>
            <w:tr w:rsidR="00F87544" w14:paraId="57744609" w14:textId="77777777" w:rsidTr="00F87544">
              <w:tc>
                <w:tcPr>
                  <w:tcW w:w="2316" w:type="dxa"/>
                </w:tcPr>
                <w:p w14:paraId="7FD5E8D0" w14:textId="2F4A7994" w:rsidR="00B8788F" w:rsidRDefault="00022587" w:rsidP="00242093">
                  <w:pPr>
                    <w:spacing w:before="60"/>
                    <w:rPr>
                      <w:iCs/>
                      <w:lang w:eastAsia="en-US"/>
                    </w:rPr>
                  </w:pPr>
                  <w:r>
                    <w:rPr>
                      <w:iCs/>
                      <w:lang w:eastAsia="en-US"/>
                    </w:rPr>
                    <w:t xml:space="preserve">% of PP </w:t>
                  </w:r>
                  <w:r w:rsidR="00B8788F">
                    <w:rPr>
                      <w:iCs/>
                      <w:lang w:eastAsia="en-US"/>
                    </w:rPr>
                    <w:t xml:space="preserve">without SEND </w:t>
                  </w:r>
                  <w:r>
                    <w:rPr>
                      <w:iCs/>
                      <w:lang w:eastAsia="en-US"/>
                    </w:rPr>
                    <w:t>Exp/GD</w:t>
                  </w:r>
                  <w:r w:rsidR="00B8788F">
                    <w:rPr>
                      <w:iCs/>
                      <w:lang w:eastAsia="en-US"/>
                    </w:rPr>
                    <w:t xml:space="preserve"> </w:t>
                  </w:r>
                </w:p>
              </w:tc>
              <w:tc>
                <w:tcPr>
                  <w:tcW w:w="2317" w:type="dxa"/>
                </w:tcPr>
                <w:p w14:paraId="4C5172DE" w14:textId="52458E3A" w:rsidR="00F87544" w:rsidRDefault="00615281" w:rsidP="00B8788F">
                  <w:pPr>
                    <w:spacing w:before="60"/>
                    <w:jc w:val="center"/>
                    <w:rPr>
                      <w:iCs/>
                      <w:lang w:eastAsia="en-US"/>
                    </w:rPr>
                  </w:pPr>
                  <w:r>
                    <w:rPr>
                      <w:iCs/>
                      <w:lang w:eastAsia="en-US"/>
                    </w:rPr>
                    <w:t>100%/50%</w:t>
                  </w:r>
                </w:p>
              </w:tc>
              <w:tc>
                <w:tcPr>
                  <w:tcW w:w="2317" w:type="dxa"/>
                </w:tcPr>
                <w:p w14:paraId="6BB07980" w14:textId="2B1AB5F5" w:rsidR="00F87544" w:rsidRDefault="00615281" w:rsidP="00B8788F">
                  <w:pPr>
                    <w:spacing w:before="60"/>
                    <w:jc w:val="center"/>
                    <w:rPr>
                      <w:iCs/>
                      <w:lang w:eastAsia="en-US"/>
                    </w:rPr>
                  </w:pPr>
                  <w:r>
                    <w:rPr>
                      <w:iCs/>
                      <w:lang w:eastAsia="en-US"/>
                    </w:rPr>
                    <w:t>75%/25%</w:t>
                  </w:r>
                </w:p>
              </w:tc>
              <w:tc>
                <w:tcPr>
                  <w:tcW w:w="2317" w:type="dxa"/>
                </w:tcPr>
                <w:p w14:paraId="6C320EF2" w14:textId="6D47D451" w:rsidR="00F87544" w:rsidRDefault="00615281" w:rsidP="00B8788F">
                  <w:pPr>
                    <w:spacing w:before="60"/>
                    <w:jc w:val="center"/>
                    <w:rPr>
                      <w:iCs/>
                      <w:lang w:eastAsia="en-US"/>
                    </w:rPr>
                  </w:pPr>
                  <w:r>
                    <w:rPr>
                      <w:iCs/>
                      <w:lang w:eastAsia="en-US"/>
                    </w:rPr>
                    <w:t>100%/50%</w:t>
                  </w:r>
                </w:p>
              </w:tc>
            </w:tr>
          </w:tbl>
          <w:p w14:paraId="4F027118" w14:textId="77777777" w:rsidR="006B2F6E" w:rsidRDefault="006B2F6E" w:rsidP="00242093">
            <w:pPr>
              <w:spacing w:before="60"/>
              <w:rPr>
                <w:noProof/>
              </w:rPr>
            </w:pPr>
          </w:p>
          <w:p w14:paraId="72CC0CB5" w14:textId="691566AC" w:rsidR="00934AA8" w:rsidRDefault="006B2F6E" w:rsidP="00242093">
            <w:pPr>
              <w:spacing w:before="60"/>
              <w:rPr>
                <w:noProof/>
              </w:rPr>
            </w:pPr>
            <w:r>
              <w:rPr>
                <w:noProof/>
              </w:rPr>
              <w:t>59</w:t>
            </w:r>
            <w:r w:rsidR="009D7D83">
              <w:rPr>
                <w:noProof/>
              </w:rPr>
              <w:t xml:space="preserve">% of children in receipt of the Pupil Premium Grant </w:t>
            </w:r>
            <w:r w:rsidR="00471804">
              <w:rPr>
                <w:noProof/>
              </w:rPr>
              <w:t xml:space="preserve">in 2024/25 were identified with having SEND, with 17% </w:t>
            </w:r>
            <w:r w:rsidR="002B7408">
              <w:rPr>
                <w:noProof/>
              </w:rPr>
              <w:t xml:space="preserve">of these children having an EHCP. </w:t>
            </w:r>
            <w:r w:rsidR="00454E9C">
              <w:rPr>
                <w:noProof/>
              </w:rPr>
              <w:t xml:space="preserve">Internal data shows that children in receipt of the Pupil preium grant are </w:t>
            </w:r>
            <w:r w:rsidR="00311D6C">
              <w:rPr>
                <w:noProof/>
              </w:rPr>
              <w:t>achiving in line with non pupil premium across the school and that the gap is closing</w:t>
            </w:r>
            <w:r w:rsidR="002B7408">
              <w:rPr>
                <w:noProof/>
              </w:rPr>
              <w:t xml:space="preserve"> </w:t>
            </w:r>
            <w:r w:rsidR="00D73B19">
              <w:rPr>
                <w:noProof/>
              </w:rPr>
              <w:t xml:space="preserve">where there is no special educational </w:t>
            </w:r>
            <w:r w:rsidR="00D73B19">
              <w:rPr>
                <w:noProof/>
              </w:rPr>
              <w:lastRenderedPageBreak/>
              <w:t>need.</w:t>
            </w:r>
            <w:r w:rsidR="00311D6C">
              <w:rPr>
                <w:noProof/>
              </w:rPr>
              <w:t xml:space="preserve">  </w:t>
            </w:r>
            <w:r w:rsidR="00454E9C">
              <w:rPr>
                <w:noProof/>
              </w:rPr>
              <w:t>Pupil premium children with</w:t>
            </w:r>
            <w:r w:rsidR="00311D6C">
              <w:rPr>
                <w:noProof/>
              </w:rPr>
              <w:t xml:space="preserve"> no SEND needs </w:t>
            </w:r>
            <w:r w:rsidR="00454E9C">
              <w:rPr>
                <w:noProof/>
              </w:rPr>
              <w:t xml:space="preserve">are </w:t>
            </w:r>
            <w:r w:rsidR="003B3926">
              <w:rPr>
                <w:noProof/>
              </w:rPr>
              <w:t xml:space="preserve">achieving above national average.  </w:t>
            </w:r>
            <w:r w:rsidR="00454E9C">
              <w:rPr>
                <w:noProof/>
              </w:rPr>
              <w:t xml:space="preserve">  The</w:t>
            </w:r>
            <w:r w:rsidR="004C73D5">
              <w:rPr>
                <w:noProof/>
              </w:rPr>
              <w:t xml:space="preserve"> number of </w:t>
            </w:r>
            <w:r w:rsidR="00454E9C">
              <w:rPr>
                <w:noProof/>
              </w:rPr>
              <w:t xml:space="preserve"> </w:t>
            </w:r>
            <w:r w:rsidR="004C73D5">
              <w:rPr>
                <w:noProof/>
              </w:rPr>
              <w:t xml:space="preserve">children in receipt of the Pupil Premium grant achieving greater depth in the core subjects has increased since </w:t>
            </w:r>
            <w:r w:rsidR="00934AA8">
              <w:rPr>
                <w:noProof/>
              </w:rPr>
              <w:t xml:space="preserve">July 2024.  </w:t>
            </w:r>
          </w:p>
          <w:tbl>
            <w:tblPr>
              <w:tblStyle w:val="TableGrid"/>
              <w:tblW w:w="0" w:type="auto"/>
              <w:tblLook w:val="04A0" w:firstRow="1" w:lastRow="0" w:firstColumn="1" w:lastColumn="0" w:noHBand="0" w:noVBand="1"/>
            </w:tblPr>
            <w:tblGrid>
              <w:gridCol w:w="2316"/>
              <w:gridCol w:w="2317"/>
              <w:gridCol w:w="2317"/>
              <w:gridCol w:w="2317"/>
            </w:tblGrid>
            <w:tr w:rsidR="00934AA8" w14:paraId="1242945F" w14:textId="77777777" w:rsidTr="00934AA8">
              <w:tc>
                <w:tcPr>
                  <w:tcW w:w="2316" w:type="dxa"/>
                </w:tcPr>
                <w:p w14:paraId="3DCEF219" w14:textId="250E1DCD" w:rsidR="00934AA8" w:rsidRPr="00474607" w:rsidRDefault="008955C7" w:rsidP="00242093">
                  <w:pPr>
                    <w:spacing w:before="60"/>
                    <w:rPr>
                      <w:b/>
                      <w:bCs/>
                      <w:noProof/>
                    </w:rPr>
                  </w:pPr>
                  <w:r w:rsidRPr="00474607">
                    <w:rPr>
                      <w:b/>
                      <w:bCs/>
                      <w:noProof/>
                    </w:rPr>
                    <w:t xml:space="preserve">July </w:t>
                  </w:r>
                  <w:r w:rsidR="00474607" w:rsidRPr="00474607">
                    <w:rPr>
                      <w:b/>
                      <w:bCs/>
                      <w:noProof/>
                    </w:rPr>
                    <w:t xml:space="preserve"> 2025</w:t>
                  </w:r>
                </w:p>
              </w:tc>
              <w:tc>
                <w:tcPr>
                  <w:tcW w:w="2317" w:type="dxa"/>
                </w:tcPr>
                <w:p w14:paraId="472A8C96" w14:textId="56D3A9CA" w:rsidR="00934AA8" w:rsidRPr="00474607" w:rsidRDefault="008955C7" w:rsidP="00474607">
                  <w:pPr>
                    <w:spacing w:before="60"/>
                    <w:jc w:val="center"/>
                    <w:rPr>
                      <w:b/>
                      <w:bCs/>
                      <w:noProof/>
                    </w:rPr>
                  </w:pPr>
                  <w:r w:rsidRPr="00474607">
                    <w:rPr>
                      <w:b/>
                      <w:bCs/>
                      <w:noProof/>
                    </w:rPr>
                    <w:t xml:space="preserve">% PP achieving </w:t>
                  </w:r>
                  <w:r w:rsidR="00474607" w:rsidRPr="00474607">
                    <w:rPr>
                      <w:b/>
                      <w:bCs/>
                      <w:noProof/>
                    </w:rPr>
                    <w:t>E</w:t>
                  </w:r>
                  <w:r w:rsidRPr="00474607">
                    <w:rPr>
                      <w:b/>
                      <w:bCs/>
                      <w:noProof/>
                    </w:rPr>
                    <w:t>xp/GD</w:t>
                  </w:r>
                </w:p>
              </w:tc>
              <w:tc>
                <w:tcPr>
                  <w:tcW w:w="2317" w:type="dxa"/>
                </w:tcPr>
                <w:p w14:paraId="466038B9" w14:textId="3ADD022C" w:rsidR="00934AA8" w:rsidRPr="00474607" w:rsidRDefault="008955C7" w:rsidP="00474607">
                  <w:pPr>
                    <w:spacing w:before="60"/>
                    <w:jc w:val="center"/>
                    <w:rPr>
                      <w:b/>
                      <w:bCs/>
                      <w:noProof/>
                    </w:rPr>
                  </w:pPr>
                  <w:r w:rsidRPr="00474607">
                    <w:rPr>
                      <w:b/>
                      <w:bCs/>
                      <w:noProof/>
                    </w:rPr>
                    <w:t xml:space="preserve">% non PP achieving </w:t>
                  </w:r>
                  <w:r w:rsidR="00474607" w:rsidRPr="00474607">
                    <w:rPr>
                      <w:b/>
                      <w:bCs/>
                      <w:noProof/>
                    </w:rPr>
                    <w:t>E</w:t>
                  </w:r>
                  <w:r w:rsidRPr="00474607">
                    <w:rPr>
                      <w:b/>
                      <w:bCs/>
                      <w:noProof/>
                    </w:rPr>
                    <w:t>xp/GD</w:t>
                  </w:r>
                </w:p>
              </w:tc>
              <w:tc>
                <w:tcPr>
                  <w:tcW w:w="2317" w:type="dxa"/>
                </w:tcPr>
                <w:p w14:paraId="746CF010" w14:textId="63D320A1" w:rsidR="00934AA8" w:rsidRPr="00474607" w:rsidRDefault="008955C7" w:rsidP="00474607">
                  <w:pPr>
                    <w:spacing w:before="60"/>
                    <w:jc w:val="center"/>
                    <w:rPr>
                      <w:b/>
                      <w:bCs/>
                      <w:noProof/>
                    </w:rPr>
                  </w:pPr>
                  <w:r w:rsidRPr="00474607">
                    <w:rPr>
                      <w:b/>
                      <w:bCs/>
                      <w:noProof/>
                    </w:rPr>
                    <w:t>% PP</w:t>
                  </w:r>
                  <w:r w:rsidR="00474607" w:rsidRPr="00474607">
                    <w:rPr>
                      <w:b/>
                      <w:bCs/>
                      <w:noProof/>
                    </w:rPr>
                    <w:t xml:space="preserve"> without SEND</w:t>
                  </w:r>
                  <w:r w:rsidRPr="00474607">
                    <w:rPr>
                      <w:b/>
                      <w:bCs/>
                      <w:noProof/>
                    </w:rPr>
                    <w:t xml:space="preserve"> achieving </w:t>
                  </w:r>
                  <w:r w:rsidR="00474607" w:rsidRPr="00474607">
                    <w:rPr>
                      <w:b/>
                      <w:bCs/>
                      <w:noProof/>
                    </w:rPr>
                    <w:t>E</w:t>
                  </w:r>
                  <w:r w:rsidRPr="00474607">
                    <w:rPr>
                      <w:b/>
                      <w:bCs/>
                      <w:noProof/>
                    </w:rPr>
                    <w:t>xp/GD</w:t>
                  </w:r>
                </w:p>
              </w:tc>
            </w:tr>
            <w:tr w:rsidR="00934AA8" w14:paraId="73BADE22" w14:textId="77777777" w:rsidTr="00934AA8">
              <w:tc>
                <w:tcPr>
                  <w:tcW w:w="2316" w:type="dxa"/>
                </w:tcPr>
                <w:p w14:paraId="1F42AC0C" w14:textId="5885E2CA" w:rsidR="00934AA8" w:rsidRDefault="00934AA8" w:rsidP="00242093">
                  <w:pPr>
                    <w:spacing w:before="60"/>
                    <w:rPr>
                      <w:noProof/>
                    </w:rPr>
                  </w:pPr>
                  <w:r>
                    <w:rPr>
                      <w:noProof/>
                    </w:rPr>
                    <w:t xml:space="preserve">Reading </w:t>
                  </w:r>
                </w:p>
              </w:tc>
              <w:tc>
                <w:tcPr>
                  <w:tcW w:w="2317" w:type="dxa"/>
                </w:tcPr>
                <w:p w14:paraId="5BCF104A" w14:textId="594F1A16" w:rsidR="00934AA8" w:rsidRDefault="00EA5BFF" w:rsidP="00EA5BFF">
                  <w:pPr>
                    <w:spacing w:before="60"/>
                    <w:jc w:val="center"/>
                    <w:rPr>
                      <w:noProof/>
                    </w:rPr>
                  </w:pPr>
                  <w:r>
                    <w:rPr>
                      <w:noProof/>
                    </w:rPr>
                    <w:t>63/13</w:t>
                  </w:r>
                </w:p>
              </w:tc>
              <w:tc>
                <w:tcPr>
                  <w:tcW w:w="2317" w:type="dxa"/>
                </w:tcPr>
                <w:p w14:paraId="31B0CF1C" w14:textId="469FC1FE" w:rsidR="00934AA8" w:rsidRDefault="00EA5BFF" w:rsidP="00EA5BFF">
                  <w:pPr>
                    <w:spacing w:before="60"/>
                    <w:jc w:val="center"/>
                    <w:rPr>
                      <w:noProof/>
                    </w:rPr>
                  </w:pPr>
                  <w:r>
                    <w:rPr>
                      <w:noProof/>
                    </w:rPr>
                    <w:t>81/20</w:t>
                  </w:r>
                </w:p>
              </w:tc>
              <w:tc>
                <w:tcPr>
                  <w:tcW w:w="2317" w:type="dxa"/>
                </w:tcPr>
                <w:p w14:paraId="6706320C" w14:textId="47DA581C" w:rsidR="00934AA8" w:rsidRDefault="00EA5BFF" w:rsidP="00EA5BFF">
                  <w:pPr>
                    <w:spacing w:before="60"/>
                    <w:jc w:val="center"/>
                    <w:rPr>
                      <w:noProof/>
                    </w:rPr>
                  </w:pPr>
                  <w:r>
                    <w:rPr>
                      <w:noProof/>
                    </w:rPr>
                    <w:t>87/36</w:t>
                  </w:r>
                </w:p>
              </w:tc>
            </w:tr>
            <w:tr w:rsidR="00934AA8" w14:paraId="422AC4E5" w14:textId="77777777" w:rsidTr="00934AA8">
              <w:tc>
                <w:tcPr>
                  <w:tcW w:w="2316" w:type="dxa"/>
                </w:tcPr>
                <w:p w14:paraId="62E8AE25" w14:textId="0EF97581" w:rsidR="00934AA8" w:rsidRDefault="00934AA8" w:rsidP="00242093">
                  <w:pPr>
                    <w:spacing w:before="60"/>
                    <w:rPr>
                      <w:noProof/>
                    </w:rPr>
                  </w:pPr>
                  <w:r>
                    <w:rPr>
                      <w:noProof/>
                    </w:rPr>
                    <w:t xml:space="preserve">Writing </w:t>
                  </w:r>
                </w:p>
              </w:tc>
              <w:tc>
                <w:tcPr>
                  <w:tcW w:w="2317" w:type="dxa"/>
                </w:tcPr>
                <w:p w14:paraId="136D9B95" w14:textId="48171B8B" w:rsidR="00934AA8" w:rsidRDefault="00036DA0" w:rsidP="00EA5BFF">
                  <w:pPr>
                    <w:spacing w:before="60"/>
                    <w:jc w:val="center"/>
                    <w:rPr>
                      <w:noProof/>
                    </w:rPr>
                  </w:pPr>
                  <w:r>
                    <w:rPr>
                      <w:noProof/>
                    </w:rPr>
                    <w:t>49/</w:t>
                  </w:r>
                  <w:r w:rsidR="00B41C5D">
                    <w:rPr>
                      <w:noProof/>
                    </w:rPr>
                    <w:t>8</w:t>
                  </w:r>
                </w:p>
              </w:tc>
              <w:tc>
                <w:tcPr>
                  <w:tcW w:w="2317" w:type="dxa"/>
                </w:tcPr>
                <w:p w14:paraId="6EF66A4F" w14:textId="0C74BEE9" w:rsidR="00934AA8" w:rsidRDefault="00B41C5D" w:rsidP="00EA5BFF">
                  <w:pPr>
                    <w:spacing w:before="60"/>
                    <w:jc w:val="center"/>
                    <w:rPr>
                      <w:noProof/>
                    </w:rPr>
                  </w:pPr>
                  <w:r>
                    <w:rPr>
                      <w:noProof/>
                    </w:rPr>
                    <w:t>69/12</w:t>
                  </w:r>
                </w:p>
              </w:tc>
              <w:tc>
                <w:tcPr>
                  <w:tcW w:w="2317" w:type="dxa"/>
                </w:tcPr>
                <w:p w14:paraId="7E5947F7" w14:textId="27896906" w:rsidR="00934AA8" w:rsidRDefault="00B41C5D" w:rsidP="00EA5BFF">
                  <w:pPr>
                    <w:spacing w:before="60"/>
                    <w:jc w:val="center"/>
                    <w:rPr>
                      <w:noProof/>
                    </w:rPr>
                  </w:pPr>
                  <w:r>
                    <w:rPr>
                      <w:noProof/>
                    </w:rPr>
                    <w:t>79/16</w:t>
                  </w:r>
                </w:p>
              </w:tc>
            </w:tr>
            <w:tr w:rsidR="00934AA8" w14:paraId="0580DE2D" w14:textId="77777777" w:rsidTr="00934AA8">
              <w:tc>
                <w:tcPr>
                  <w:tcW w:w="2316" w:type="dxa"/>
                </w:tcPr>
                <w:p w14:paraId="7DD049E6" w14:textId="34FD545B" w:rsidR="00934AA8" w:rsidRDefault="00934AA8" w:rsidP="00242093">
                  <w:pPr>
                    <w:spacing w:before="60"/>
                    <w:rPr>
                      <w:noProof/>
                    </w:rPr>
                  </w:pPr>
                  <w:r>
                    <w:rPr>
                      <w:noProof/>
                    </w:rPr>
                    <w:t>Maths</w:t>
                  </w:r>
                </w:p>
              </w:tc>
              <w:tc>
                <w:tcPr>
                  <w:tcW w:w="2317" w:type="dxa"/>
                </w:tcPr>
                <w:p w14:paraId="3AAFEC0C" w14:textId="31EB22C4" w:rsidR="00934AA8" w:rsidRDefault="007876ED" w:rsidP="00EA5BFF">
                  <w:pPr>
                    <w:spacing w:before="60"/>
                    <w:jc w:val="center"/>
                    <w:rPr>
                      <w:noProof/>
                    </w:rPr>
                  </w:pPr>
                  <w:r>
                    <w:rPr>
                      <w:noProof/>
                    </w:rPr>
                    <w:t>59/20</w:t>
                  </w:r>
                </w:p>
              </w:tc>
              <w:tc>
                <w:tcPr>
                  <w:tcW w:w="2317" w:type="dxa"/>
                </w:tcPr>
                <w:p w14:paraId="09FF6CFE" w14:textId="4BB2B2B6" w:rsidR="00934AA8" w:rsidRDefault="007876ED" w:rsidP="00EA5BFF">
                  <w:pPr>
                    <w:spacing w:before="60"/>
                    <w:jc w:val="center"/>
                    <w:rPr>
                      <w:noProof/>
                    </w:rPr>
                  </w:pPr>
                  <w:r>
                    <w:rPr>
                      <w:noProof/>
                    </w:rPr>
                    <w:t>8</w:t>
                  </w:r>
                  <w:r w:rsidR="00064D29">
                    <w:rPr>
                      <w:noProof/>
                    </w:rPr>
                    <w:t>6/8</w:t>
                  </w:r>
                </w:p>
              </w:tc>
              <w:tc>
                <w:tcPr>
                  <w:tcW w:w="2317" w:type="dxa"/>
                </w:tcPr>
                <w:p w14:paraId="2704FD94" w14:textId="4039B205" w:rsidR="00934AA8" w:rsidRDefault="00064D29" w:rsidP="00EA5BFF">
                  <w:pPr>
                    <w:spacing w:before="60"/>
                    <w:jc w:val="center"/>
                    <w:rPr>
                      <w:noProof/>
                    </w:rPr>
                  </w:pPr>
                  <w:r>
                    <w:rPr>
                      <w:noProof/>
                    </w:rPr>
                    <w:t>88/39</w:t>
                  </w:r>
                </w:p>
              </w:tc>
            </w:tr>
          </w:tbl>
          <w:p w14:paraId="285EF887" w14:textId="77777777" w:rsidR="00934AA8" w:rsidRDefault="00934AA8" w:rsidP="00242093">
            <w:pPr>
              <w:spacing w:before="60"/>
              <w:rPr>
                <w:noProof/>
              </w:rPr>
            </w:pPr>
          </w:p>
          <w:p w14:paraId="60A025CB" w14:textId="2206AD76" w:rsidR="003856D0" w:rsidRDefault="003856D0" w:rsidP="003856D0">
            <w:pPr>
              <w:rPr>
                <w:rFonts w:cs="Arial"/>
                <w:color w:val="000000"/>
              </w:rPr>
            </w:pPr>
            <w:r>
              <w:rPr>
                <w:rFonts w:cs="Arial"/>
                <w:color w:val="000000"/>
              </w:rPr>
              <w:t>We have also drawn on school data and observations to assess wider issues impacting disadvantaged pupils' performance, including attendance, behaviour and wellbeing.</w:t>
            </w:r>
          </w:p>
          <w:p w14:paraId="7449748E" w14:textId="05EB5895" w:rsidR="00454E9C" w:rsidRDefault="0028507B" w:rsidP="006709C8">
            <w:pPr>
              <w:jc w:val="both"/>
              <w:rPr>
                <w:rFonts w:cs="Arial"/>
                <w:color w:val="000000"/>
              </w:rPr>
            </w:pPr>
            <w:r>
              <w:rPr>
                <w:rFonts w:cs="Arial"/>
                <w:color w:val="000000"/>
              </w:rPr>
              <w:t>The attendance of pupils in receipt of the Pupil Premium grant was better than that of other pupils however the overall percentage was still below national average</w:t>
            </w:r>
            <w:r w:rsidR="00981333">
              <w:rPr>
                <w:rFonts w:cs="Arial"/>
                <w:color w:val="000000"/>
              </w:rPr>
              <w:t xml:space="preserve"> (</w:t>
            </w:r>
            <w:r w:rsidR="00EC7748">
              <w:rPr>
                <w:rFonts w:cs="Arial"/>
                <w:color w:val="000000"/>
              </w:rPr>
              <w:t>93.48%)</w:t>
            </w:r>
            <w:r>
              <w:rPr>
                <w:rFonts w:cs="Arial"/>
                <w:color w:val="000000"/>
              </w:rPr>
              <w:t xml:space="preserve"> and therefore further improvement is necessary.  </w:t>
            </w:r>
            <w:r w:rsidR="00E74BBF">
              <w:rPr>
                <w:rFonts w:cs="Arial"/>
                <w:color w:val="000000"/>
              </w:rPr>
              <w:t>Observations and behaviour and well-being records show that the behaviour of children in receipt of the Pupil Premium grant has improved significantly.  54% of children in receipt of the grant continue to need emotional</w:t>
            </w:r>
            <w:r w:rsidR="00E963AD">
              <w:rPr>
                <w:rFonts w:cs="Arial"/>
                <w:color w:val="000000"/>
              </w:rPr>
              <w:t>, well-</w:t>
            </w:r>
            <w:r w:rsidR="00E74BBF">
              <w:rPr>
                <w:rFonts w:cs="Arial"/>
                <w:color w:val="000000"/>
              </w:rPr>
              <w:t xml:space="preserve">being or attendance support.  </w:t>
            </w:r>
          </w:p>
          <w:p w14:paraId="42EE1DFB" w14:textId="23396421" w:rsidR="00454E9C" w:rsidRDefault="00454E9C" w:rsidP="006709C8">
            <w:pPr>
              <w:jc w:val="both"/>
              <w:rPr>
                <w:rFonts w:cs="Arial"/>
                <w:color w:val="000000"/>
              </w:rPr>
            </w:pPr>
            <w:r>
              <w:rPr>
                <w:rFonts w:cs="Arial"/>
                <w:color w:val="000000"/>
              </w:rPr>
              <w:t xml:space="preserve">Based on all the information above, the performance of our disadvantaged pupils </w:t>
            </w:r>
            <w:r w:rsidR="006709C8">
              <w:rPr>
                <w:rFonts w:cs="Arial"/>
                <w:i/>
                <w:iCs/>
                <w:color w:val="000000"/>
              </w:rPr>
              <w:t xml:space="preserve">met </w:t>
            </w:r>
            <w:r>
              <w:rPr>
                <w:rFonts w:cs="Arial"/>
                <w:color w:val="000000"/>
              </w:rPr>
              <w:t xml:space="preserve">expectations, </w:t>
            </w:r>
            <w:r w:rsidR="006709C8">
              <w:rPr>
                <w:rFonts w:cs="Arial"/>
                <w:color w:val="000000"/>
              </w:rPr>
              <w:t xml:space="preserve">but further progress needs to be made in </w:t>
            </w:r>
            <w:r w:rsidR="003B3A5C">
              <w:rPr>
                <w:rFonts w:cs="Arial"/>
                <w:color w:val="000000"/>
              </w:rPr>
              <w:t xml:space="preserve">the core subjects </w:t>
            </w:r>
            <w:r w:rsidR="006709C8">
              <w:rPr>
                <w:rFonts w:cs="Arial"/>
                <w:color w:val="000000"/>
              </w:rPr>
              <w:t xml:space="preserve">, </w:t>
            </w:r>
            <w:r>
              <w:rPr>
                <w:rFonts w:cs="Arial"/>
                <w:color w:val="000000"/>
              </w:rPr>
              <w:t xml:space="preserve">and we are at </w:t>
            </w:r>
            <w:r w:rsidRPr="00454E9C">
              <w:rPr>
                <w:rFonts w:cs="Arial"/>
                <w:color w:val="000000"/>
              </w:rPr>
              <w:t xml:space="preserve">present </w:t>
            </w:r>
            <w:r w:rsidRPr="00454E9C">
              <w:rPr>
                <w:rFonts w:cs="Arial"/>
                <w:iCs/>
                <w:color w:val="000000"/>
              </w:rPr>
              <w:t>on course</w:t>
            </w:r>
            <w:r w:rsidRPr="00454E9C">
              <w:rPr>
                <w:rFonts w:cs="Arial"/>
                <w:color w:val="000000"/>
              </w:rPr>
              <w:t xml:space="preserve"> to achieve</w:t>
            </w:r>
            <w:r>
              <w:rPr>
                <w:rFonts w:cs="Arial"/>
                <w:color w:val="000000"/>
              </w:rPr>
              <w:t xml:space="preserve"> the outcom</w:t>
            </w:r>
            <w:r w:rsidR="00311D6C">
              <w:rPr>
                <w:rFonts w:cs="Arial"/>
                <w:color w:val="000000"/>
              </w:rPr>
              <w:t>es we set out to achieve by 202</w:t>
            </w:r>
            <w:r w:rsidR="008574EF">
              <w:rPr>
                <w:rFonts w:cs="Arial"/>
                <w:color w:val="000000"/>
              </w:rPr>
              <w:t>6</w:t>
            </w:r>
            <w:r w:rsidR="00311D6C">
              <w:rPr>
                <w:rFonts w:cs="Arial"/>
                <w:color w:val="000000"/>
              </w:rPr>
              <w:t>/2</w:t>
            </w:r>
            <w:r w:rsidR="008574EF">
              <w:rPr>
                <w:rFonts w:cs="Arial"/>
                <w:color w:val="000000"/>
              </w:rPr>
              <w:t>7</w:t>
            </w:r>
            <w:r>
              <w:rPr>
                <w:rFonts w:cs="Arial"/>
                <w:color w:val="000000"/>
              </w:rPr>
              <w:t xml:space="preserve">, as stated in the Intended Outcomes section above. </w:t>
            </w:r>
          </w:p>
          <w:p w14:paraId="4400EC51" w14:textId="7134D9B4" w:rsidR="00454E9C" w:rsidRDefault="00454E9C" w:rsidP="006709C8">
            <w:pPr>
              <w:jc w:val="both"/>
              <w:rPr>
                <w:rFonts w:cs="Arial"/>
                <w:color w:val="000000"/>
              </w:rPr>
            </w:pPr>
            <w:r>
              <w:rPr>
                <w:rFonts w:cs="Arial"/>
                <w:color w:val="000000"/>
              </w:rPr>
              <w:t>Our evaluation of the approaches delivered last academic year indicates that</w:t>
            </w:r>
            <w:r w:rsidR="006709C8">
              <w:rPr>
                <w:rFonts w:cs="Arial"/>
                <w:color w:val="000000"/>
              </w:rPr>
              <w:t xml:space="preserve"> all interventions have been successful. </w:t>
            </w:r>
          </w:p>
          <w:p w14:paraId="1C09559E" w14:textId="7276B9DD" w:rsidR="00454E9C" w:rsidRDefault="00454E9C" w:rsidP="006709C8">
            <w:pPr>
              <w:jc w:val="both"/>
              <w:rPr>
                <w:rFonts w:cs="Arial"/>
                <w:color w:val="000000"/>
              </w:rPr>
            </w:pPr>
            <w:r>
              <w:rPr>
                <w:rFonts w:cs="Arial"/>
                <w:color w:val="000000"/>
              </w:rPr>
              <w:t>We have reviewed our strategy plan and made changes to how we intend to use some of our budget this academic year. The Further Information section below provides more details about our planning, implementation, and evaluation processes.</w:t>
            </w:r>
          </w:p>
          <w:p w14:paraId="6C6CFB6D" w14:textId="77777777" w:rsidR="003856D0" w:rsidRDefault="003856D0" w:rsidP="00242093">
            <w:pPr>
              <w:spacing w:before="60"/>
              <w:rPr>
                <w:noProof/>
              </w:rPr>
            </w:pPr>
          </w:p>
          <w:p w14:paraId="449D50CB" w14:textId="70BF1C56" w:rsidR="00BD7D11" w:rsidRDefault="00BD7D11" w:rsidP="00242093">
            <w:pPr>
              <w:spacing w:before="60"/>
              <w:rPr>
                <w:noProof/>
              </w:rPr>
            </w:pPr>
          </w:p>
          <w:p w14:paraId="1D022BF4" w14:textId="77777777" w:rsidR="00BD7D11" w:rsidRDefault="00BD7D11" w:rsidP="00242093">
            <w:pPr>
              <w:spacing w:before="60"/>
              <w:rPr>
                <w:noProof/>
              </w:rPr>
            </w:pPr>
          </w:p>
          <w:p w14:paraId="18EAA50A" w14:textId="77777777" w:rsidR="00A41C65" w:rsidRDefault="00A41C65" w:rsidP="00242093">
            <w:pPr>
              <w:spacing w:before="60"/>
              <w:rPr>
                <w:noProof/>
              </w:rPr>
            </w:pPr>
          </w:p>
          <w:p w14:paraId="3A135A8B" w14:textId="77777777" w:rsidR="00A41C65" w:rsidRDefault="00A41C65" w:rsidP="00242093">
            <w:pPr>
              <w:spacing w:before="60"/>
              <w:rPr>
                <w:noProof/>
              </w:rPr>
            </w:pPr>
          </w:p>
          <w:p w14:paraId="72E95837" w14:textId="77777777" w:rsidR="00A41C65" w:rsidRDefault="00A41C65" w:rsidP="00242093">
            <w:pPr>
              <w:spacing w:before="60"/>
              <w:rPr>
                <w:noProof/>
              </w:rPr>
            </w:pPr>
          </w:p>
          <w:p w14:paraId="32B2AA46" w14:textId="77777777" w:rsidR="00A41C65" w:rsidRDefault="00A41C65" w:rsidP="00242093">
            <w:pPr>
              <w:spacing w:before="60"/>
              <w:rPr>
                <w:noProof/>
              </w:rPr>
            </w:pPr>
          </w:p>
          <w:p w14:paraId="214EF1FF" w14:textId="77777777" w:rsidR="00A41C65" w:rsidRDefault="00A41C65" w:rsidP="00242093">
            <w:pPr>
              <w:spacing w:before="60"/>
              <w:rPr>
                <w:noProof/>
              </w:rPr>
            </w:pPr>
          </w:p>
          <w:p w14:paraId="5023926C" w14:textId="4514AD49" w:rsidR="00200054" w:rsidRPr="00A41C65" w:rsidRDefault="00200054" w:rsidP="00242093">
            <w:pPr>
              <w:spacing w:before="60"/>
              <w:rPr>
                <w:noProof/>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6232597" w:rsidR="00E66558" w:rsidRDefault="004827EF">
            <w:pPr>
              <w:pStyle w:val="TableRow"/>
            </w:pPr>
            <w:r>
              <w:t xml:space="preserve">N/A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5F" w14:textId="77777777" w:rsidR="00E66558" w:rsidRDefault="00E66558">
      <w:pPr>
        <w:spacing w:after="0" w:line="240" w:lineRule="auto"/>
      </w:pPr>
    </w:p>
    <w:sectPr w:rsidR="00E66558">
      <w:headerReference w:type="default" r:id="rId33"/>
      <w:footerReference w:type="default" r:id="rId3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E4501" w14:textId="77777777" w:rsidR="00AB30FC" w:rsidRDefault="00AB30FC">
      <w:pPr>
        <w:spacing w:after="0" w:line="240" w:lineRule="auto"/>
      </w:pPr>
      <w:r>
        <w:separator/>
      </w:r>
    </w:p>
  </w:endnote>
  <w:endnote w:type="continuationSeparator" w:id="0">
    <w:p w14:paraId="4E513351" w14:textId="77777777" w:rsidR="00AB30FC" w:rsidRDefault="00AB30FC">
      <w:pPr>
        <w:spacing w:after="0" w:line="240" w:lineRule="auto"/>
      </w:pPr>
      <w:r>
        <w:continuationSeparator/>
      </w:r>
    </w:p>
  </w:endnote>
  <w:endnote w:type="continuationNotice" w:id="1">
    <w:p w14:paraId="2912147E" w14:textId="77777777" w:rsidR="00AB30FC" w:rsidRDefault="00AB3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5377AB8" w:rsidR="00C373EA" w:rsidRDefault="009D71E8">
    <w:pPr>
      <w:pStyle w:val="Footer"/>
      <w:ind w:firstLine="4513"/>
    </w:pPr>
    <w:r>
      <w:fldChar w:fldCharType="begin"/>
    </w:r>
    <w:r>
      <w:instrText xml:space="preserve"> PAGE </w:instrText>
    </w:r>
    <w:r>
      <w:fldChar w:fldCharType="separate"/>
    </w:r>
    <w:r w:rsidR="00E06A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A98FF" w14:textId="77777777" w:rsidR="00AB30FC" w:rsidRDefault="00AB30FC">
      <w:pPr>
        <w:spacing w:after="0" w:line="240" w:lineRule="auto"/>
      </w:pPr>
      <w:r>
        <w:separator/>
      </w:r>
    </w:p>
  </w:footnote>
  <w:footnote w:type="continuationSeparator" w:id="0">
    <w:p w14:paraId="43321594" w14:textId="77777777" w:rsidR="00AB30FC" w:rsidRDefault="00AB30FC">
      <w:pPr>
        <w:spacing w:after="0" w:line="240" w:lineRule="auto"/>
      </w:pPr>
      <w:r>
        <w:continuationSeparator/>
      </w:r>
    </w:p>
  </w:footnote>
  <w:footnote w:type="continuationNotice" w:id="1">
    <w:p w14:paraId="11FA25A1" w14:textId="77777777" w:rsidR="00AB30FC" w:rsidRDefault="00AB30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2587"/>
    <w:rsid w:val="00023729"/>
    <w:rsid w:val="000243B4"/>
    <w:rsid w:val="0002530E"/>
    <w:rsid w:val="0002710D"/>
    <w:rsid w:val="00036678"/>
    <w:rsid w:val="00036DA0"/>
    <w:rsid w:val="000452EB"/>
    <w:rsid w:val="00045603"/>
    <w:rsid w:val="000463AE"/>
    <w:rsid w:val="00047B7A"/>
    <w:rsid w:val="000507A3"/>
    <w:rsid w:val="00060A62"/>
    <w:rsid w:val="0006153C"/>
    <w:rsid w:val="000620DA"/>
    <w:rsid w:val="00064366"/>
    <w:rsid w:val="00064D29"/>
    <w:rsid w:val="00066B73"/>
    <w:rsid w:val="00071481"/>
    <w:rsid w:val="000734BE"/>
    <w:rsid w:val="00075FAE"/>
    <w:rsid w:val="00082F38"/>
    <w:rsid w:val="000837DB"/>
    <w:rsid w:val="0008384B"/>
    <w:rsid w:val="00090E68"/>
    <w:rsid w:val="000929EC"/>
    <w:rsid w:val="00093CDE"/>
    <w:rsid w:val="000979FC"/>
    <w:rsid w:val="000A5C58"/>
    <w:rsid w:val="000A6379"/>
    <w:rsid w:val="000B0D49"/>
    <w:rsid w:val="000B203E"/>
    <w:rsid w:val="000D22B0"/>
    <w:rsid w:val="000D35C9"/>
    <w:rsid w:val="000D520C"/>
    <w:rsid w:val="000D6596"/>
    <w:rsid w:val="000D6779"/>
    <w:rsid w:val="000E6DF0"/>
    <w:rsid w:val="001037CB"/>
    <w:rsid w:val="0010629E"/>
    <w:rsid w:val="0011185C"/>
    <w:rsid w:val="00114288"/>
    <w:rsid w:val="00115538"/>
    <w:rsid w:val="00116FA8"/>
    <w:rsid w:val="00120AB1"/>
    <w:rsid w:val="00123A7F"/>
    <w:rsid w:val="00123EB9"/>
    <w:rsid w:val="001278D0"/>
    <w:rsid w:val="00127F72"/>
    <w:rsid w:val="00132B56"/>
    <w:rsid w:val="00140646"/>
    <w:rsid w:val="00147A4B"/>
    <w:rsid w:val="00152554"/>
    <w:rsid w:val="00155944"/>
    <w:rsid w:val="001559D7"/>
    <w:rsid w:val="00162402"/>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0054"/>
    <w:rsid w:val="00202B62"/>
    <w:rsid w:val="00203DB9"/>
    <w:rsid w:val="00204F40"/>
    <w:rsid w:val="00205DEF"/>
    <w:rsid w:val="002112C3"/>
    <w:rsid w:val="002131E5"/>
    <w:rsid w:val="0021648F"/>
    <w:rsid w:val="00216984"/>
    <w:rsid w:val="00216C8A"/>
    <w:rsid w:val="00220FE9"/>
    <w:rsid w:val="00226317"/>
    <w:rsid w:val="00231539"/>
    <w:rsid w:val="00242093"/>
    <w:rsid w:val="00243F22"/>
    <w:rsid w:val="00246D3F"/>
    <w:rsid w:val="002523E3"/>
    <w:rsid w:val="00252AD6"/>
    <w:rsid w:val="002542CE"/>
    <w:rsid w:val="00257A4E"/>
    <w:rsid w:val="00257B40"/>
    <w:rsid w:val="00266FA5"/>
    <w:rsid w:val="00276FBA"/>
    <w:rsid w:val="00277665"/>
    <w:rsid w:val="002837AE"/>
    <w:rsid w:val="0028507B"/>
    <w:rsid w:val="002920F4"/>
    <w:rsid w:val="002940F3"/>
    <w:rsid w:val="002953F9"/>
    <w:rsid w:val="00295842"/>
    <w:rsid w:val="002B3574"/>
    <w:rsid w:val="002B6B74"/>
    <w:rsid w:val="002B7408"/>
    <w:rsid w:val="002C6AE7"/>
    <w:rsid w:val="002D2D4B"/>
    <w:rsid w:val="002D3805"/>
    <w:rsid w:val="002E66AE"/>
    <w:rsid w:val="002E6BE8"/>
    <w:rsid w:val="002E7763"/>
    <w:rsid w:val="002F4C6F"/>
    <w:rsid w:val="002F5011"/>
    <w:rsid w:val="002F5842"/>
    <w:rsid w:val="002F7847"/>
    <w:rsid w:val="00306CB7"/>
    <w:rsid w:val="00310654"/>
    <w:rsid w:val="003111F5"/>
    <w:rsid w:val="00311D6C"/>
    <w:rsid w:val="00317664"/>
    <w:rsid w:val="00336200"/>
    <w:rsid w:val="00337418"/>
    <w:rsid w:val="00351D83"/>
    <w:rsid w:val="00352197"/>
    <w:rsid w:val="00353E46"/>
    <w:rsid w:val="003576C4"/>
    <w:rsid w:val="003626F1"/>
    <w:rsid w:val="0036277A"/>
    <w:rsid w:val="00366AB0"/>
    <w:rsid w:val="003700E8"/>
    <w:rsid w:val="0037437C"/>
    <w:rsid w:val="00376E15"/>
    <w:rsid w:val="0038146B"/>
    <w:rsid w:val="0038340F"/>
    <w:rsid w:val="00384457"/>
    <w:rsid w:val="00384F24"/>
    <w:rsid w:val="003856D0"/>
    <w:rsid w:val="003A32B2"/>
    <w:rsid w:val="003A47DD"/>
    <w:rsid w:val="003A5F67"/>
    <w:rsid w:val="003A634F"/>
    <w:rsid w:val="003B14C1"/>
    <w:rsid w:val="003B2884"/>
    <w:rsid w:val="003B3926"/>
    <w:rsid w:val="003B3A5C"/>
    <w:rsid w:val="003B588A"/>
    <w:rsid w:val="003B621D"/>
    <w:rsid w:val="003C4388"/>
    <w:rsid w:val="003C4C27"/>
    <w:rsid w:val="003C7F7B"/>
    <w:rsid w:val="003D0CD6"/>
    <w:rsid w:val="003D2EAA"/>
    <w:rsid w:val="003E054C"/>
    <w:rsid w:val="003E1EC5"/>
    <w:rsid w:val="003E27A0"/>
    <w:rsid w:val="003E3872"/>
    <w:rsid w:val="003E5112"/>
    <w:rsid w:val="003F6D89"/>
    <w:rsid w:val="004044AA"/>
    <w:rsid w:val="004044C8"/>
    <w:rsid w:val="00404F3F"/>
    <w:rsid w:val="00410B5D"/>
    <w:rsid w:val="00413BEC"/>
    <w:rsid w:val="0041468E"/>
    <w:rsid w:val="0042265E"/>
    <w:rsid w:val="00424ED7"/>
    <w:rsid w:val="00425258"/>
    <w:rsid w:val="00426217"/>
    <w:rsid w:val="00431A80"/>
    <w:rsid w:val="00435A89"/>
    <w:rsid w:val="0044575C"/>
    <w:rsid w:val="00452267"/>
    <w:rsid w:val="00453307"/>
    <w:rsid w:val="00454E9C"/>
    <w:rsid w:val="00455A02"/>
    <w:rsid w:val="00457E36"/>
    <w:rsid w:val="00460BD3"/>
    <w:rsid w:val="00462F8F"/>
    <w:rsid w:val="004708F2"/>
    <w:rsid w:val="00471804"/>
    <w:rsid w:val="004724DE"/>
    <w:rsid w:val="00473AD3"/>
    <w:rsid w:val="00474607"/>
    <w:rsid w:val="004770FE"/>
    <w:rsid w:val="0048157F"/>
    <w:rsid w:val="00481D56"/>
    <w:rsid w:val="004827EF"/>
    <w:rsid w:val="00490408"/>
    <w:rsid w:val="004A4C45"/>
    <w:rsid w:val="004A4E36"/>
    <w:rsid w:val="004B0485"/>
    <w:rsid w:val="004B428E"/>
    <w:rsid w:val="004B4D0A"/>
    <w:rsid w:val="004B4D37"/>
    <w:rsid w:val="004C1FDC"/>
    <w:rsid w:val="004C42F0"/>
    <w:rsid w:val="004C73D5"/>
    <w:rsid w:val="004D50C8"/>
    <w:rsid w:val="004D6B72"/>
    <w:rsid w:val="004E1D73"/>
    <w:rsid w:val="004E4346"/>
    <w:rsid w:val="004E72DD"/>
    <w:rsid w:val="005025FB"/>
    <w:rsid w:val="00503462"/>
    <w:rsid w:val="005065EB"/>
    <w:rsid w:val="0051286E"/>
    <w:rsid w:val="00516021"/>
    <w:rsid w:val="00516457"/>
    <w:rsid w:val="00516641"/>
    <w:rsid w:val="0051729F"/>
    <w:rsid w:val="00520A0C"/>
    <w:rsid w:val="00530E37"/>
    <w:rsid w:val="00532993"/>
    <w:rsid w:val="00535946"/>
    <w:rsid w:val="00540D24"/>
    <w:rsid w:val="005452CF"/>
    <w:rsid w:val="005464A1"/>
    <w:rsid w:val="00546670"/>
    <w:rsid w:val="00546F12"/>
    <w:rsid w:val="0055339C"/>
    <w:rsid w:val="005542CC"/>
    <w:rsid w:val="00560424"/>
    <w:rsid w:val="00562B3C"/>
    <w:rsid w:val="00564E40"/>
    <w:rsid w:val="0057046F"/>
    <w:rsid w:val="005750E2"/>
    <w:rsid w:val="0058313F"/>
    <w:rsid w:val="00585859"/>
    <w:rsid w:val="00586FBC"/>
    <w:rsid w:val="005879C9"/>
    <w:rsid w:val="00594CAD"/>
    <w:rsid w:val="005A1C3D"/>
    <w:rsid w:val="005A1D0B"/>
    <w:rsid w:val="005A3C6B"/>
    <w:rsid w:val="005B1EA5"/>
    <w:rsid w:val="005C54A0"/>
    <w:rsid w:val="005D0D15"/>
    <w:rsid w:val="005D7176"/>
    <w:rsid w:val="005E18CB"/>
    <w:rsid w:val="005E1F24"/>
    <w:rsid w:val="005E3667"/>
    <w:rsid w:val="005E54F2"/>
    <w:rsid w:val="005E73F1"/>
    <w:rsid w:val="005F07EF"/>
    <w:rsid w:val="005F16B6"/>
    <w:rsid w:val="005F5224"/>
    <w:rsid w:val="00600B2E"/>
    <w:rsid w:val="00601122"/>
    <w:rsid w:val="00606521"/>
    <w:rsid w:val="00607CEB"/>
    <w:rsid w:val="00613299"/>
    <w:rsid w:val="00615281"/>
    <w:rsid w:val="0061762D"/>
    <w:rsid w:val="00634238"/>
    <w:rsid w:val="00635FBC"/>
    <w:rsid w:val="00637728"/>
    <w:rsid w:val="0064113A"/>
    <w:rsid w:val="0064167B"/>
    <w:rsid w:val="00644002"/>
    <w:rsid w:val="006458B1"/>
    <w:rsid w:val="00650529"/>
    <w:rsid w:val="00650BAB"/>
    <w:rsid w:val="00651737"/>
    <w:rsid w:val="00657087"/>
    <w:rsid w:val="006652DD"/>
    <w:rsid w:val="0066537C"/>
    <w:rsid w:val="006671BF"/>
    <w:rsid w:val="006709C8"/>
    <w:rsid w:val="00672A7D"/>
    <w:rsid w:val="00681416"/>
    <w:rsid w:val="006A06F5"/>
    <w:rsid w:val="006A0ED2"/>
    <w:rsid w:val="006B0A73"/>
    <w:rsid w:val="006B2F6E"/>
    <w:rsid w:val="006B5A6B"/>
    <w:rsid w:val="006C0F82"/>
    <w:rsid w:val="006C25E8"/>
    <w:rsid w:val="006C332E"/>
    <w:rsid w:val="006C4F20"/>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02F5"/>
    <w:rsid w:val="007109F6"/>
    <w:rsid w:val="00711BE3"/>
    <w:rsid w:val="00721B51"/>
    <w:rsid w:val="00724FA7"/>
    <w:rsid w:val="00725415"/>
    <w:rsid w:val="00727505"/>
    <w:rsid w:val="00731581"/>
    <w:rsid w:val="0073481D"/>
    <w:rsid w:val="00740AA1"/>
    <w:rsid w:val="00741B9E"/>
    <w:rsid w:val="00743DAC"/>
    <w:rsid w:val="007455B3"/>
    <w:rsid w:val="007502CD"/>
    <w:rsid w:val="007527C2"/>
    <w:rsid w:val="00752AE7"/>
    <w:rsid w:val="00752D3B"/>
    <w:rsid w:val="0075337B"/>
    <w:rsid w:val="00755CD4"/>
    <w:rsid w:val="00757F96"/>
    <w:rsid w:val="007610B5"/>
    <w:rsid w:val="007623CB"/>
    <w:rsid w:val="00762652"/>
    <w:rsid w:val="00762E9A"/>
    <w:rsid w:val="00764551"/>
    <w:rsid w:val="007677B8"/>
    <w:rsid w:val="00781713"/>
    <w:rsid w:val="00785285"/>
    <w:rsid w:val="0078529D"/>
    <w:rsid w:val="00785E77"/>
    <w:rsid w:val="007876ED"/>
    <w:rsid w:val="00787DC1"/>
    <w:rsid w:val="00794070"/>
    <w:rsid w:val="0079448B"/>
    <w:rsid w:val="007A63CA"/>
    <w:rsid w:val="007A713B"/>
    <w:rsid w:val="007A7DA0"/>
    <w:rsid w:val="007B1C29"/>
    <w:rsid w:val="007B3220"/>
    <w:rsid w:val="007B64E5"/>
    <w:rsid w:val="007C2F04"/>
    <w:rsid w:val="007C7E6E"/>
    <w:rsid w:val="007D132F"/>
    <w:rsid w:val="007F06E5"/>
    <w:rsid w:val="007F5B8B"/>
    <w:rsid w:val="00817E9A"/>
    <w:rsid w:val="00821DC3"/>
    <w:rsid w:val="00827786"/>
    <w:rsid w:val="00827BDA"/>
    <w:rsid w:val="00830D57"/>
    <w:rsid w:val="00831F00"/>
    <w:rsid w:val="00850CA0"/>
    <w:rsid w:val="00852A2F"/>
    <w:rsid w:val="008574EF"/>
    <w:rsid w:val="008608EE"/>
    <w:rsid w:val="00860B07"/>
    <w:rsid w:val="008616F6"/>
    <w:rsid w:val="0086259C"/>
    <w:rsid w:val="0086358D"/>
    <w:rsid w:val="008674ED"/>
    <w:rsid w:val="0087074C"/>
    <w:rsid w:val="00874E29"/>
    <w:rsid w:val="00883F24"/>
    <w:rsid w:val="008955C7"/>
    <w:rsid w:val="00897E1F"/>
    <w:rsid w:val="008A3E8E"/>
    <w:rsid w:val="008B0938"/>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106BA"/>
    <w:rsid w:val="00921A3A"/>
    <w:rsid w:val="0092287F"/>
    <w:rsid w:val="0092495B"/>
    <w:rsid w:val="00926202"/>
    <w:rsid w:val="0092660E"/>
    <w:rsid w:val="00934AA8"/>
    <w:rsid w:val="00936519"/>
    <w:rsid w:val="00941DA3"/>
    <w:rsid w:val="00942C0C"/>
    <w:rsid w:val="00951711"/>
    <w:rsid w:val="00952F62"/>
    <w:rsid w:val="00953105"/>
    <w:rsid w:val="009539E3"/>
    <w:rsid w:val="00954A5E"/>
    <w:rsid w:val="009551B2"/>
    <w:rsid w:val="0096022C"/>
    <w:rsid w:val="00964625"/>
    <w:rsid w:val="00971F13"/>
    <w:rsid w:val="00973071"/>
    <w:rsid w:val="00980937"/>
    <w:rsid w:val="00981333"/>
    <w:rsid w:val="00981C1D"/>
    <w:rsid w:val="0099109C"/>
    <w:rsid w:val="00992769"/>
    <w:rsid w:val="009936DB"/>
    <w:rsid w:val="00993CFC"/>
    <w:rsid w:val="009A1DC2"/>
    <w:rsid w:val="009A4B74"/>
    <w:rsid w:val="009A5EEA"/>
    <w:rsid w:val="009B0906"/>
    <w:rsid w:val="009B38F2"/>
    <w:rsid w:val="009B7433"/>
    <w:rsid w:val="009C0914"/>
    <w:rsid w:val="009C27E5"/>
    <w:rsid w:val="009D24A1"/>
    <w:rsid w:val="009D3891"/>
    <w:rsid w:val="009D71E8"/>
    <w:rsid w:val="009D7D83"/>
    <w:rsid w:val="009E104B"/>
    <w:rsid w:val="009E7DE4"/>
    <w:rsid w:val="009F057B"/>
    <w:rsid w:val="009F3BBD"/>
    <w:rsid w:val="00A022AB"/>
    <w:rsid w:val="00A063DD"/>
    <w:rsid w:val="00A112B5"/>
    <w:rsid w:val="00A14EEA"/>
    <w:rsid w:val="00A17269"/>
    <w:rsid w:val="00A26738"/>
    <w:rsid w:val="00A33636"/>
    <w:rsid w:val="00A41C65"/>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B30FC"/>
    <w:rsid w:val="00AD4CEF"/>
    <w:rsid w:val="00AD7B5A"/>
    <w:rsid w:val="00AE229F"/>
    <w:rsid w:val="00AF1D1C"/>
    <w:rsid w:val="00AF5E20"/>
    <w:rsid w:val="00B002FA"/>
    <w:rsid w:val="00B00327"/>
    <w:rsid w:val="00B024B3"/>
    <w:rsid w:val="00B063BF"/>
    <w:rsid w:val="00B11DE8"/>
    <w:rsid w:val="00B179ED"/>
    <w:rsid w:val="00B20E18"/>
    <w:rsid w:val="00B31F37"/>
    <w:rsid w:val="00B331E1"/>
    <w:rsid w:val="00B41C5D"/>
    <w:rsid w:val="00B572C4"/>
    <w:rsid w:val="00B60144"/>
    <w:rsid w:val="00B60858"/>
    <w:rsid w:val="00B74D4E"/>
    <w:rsid w:val="00B750B2"/>
    <w:rsid w:val="00B80219"/>
    <w:rsid w:val="00B85E4A"/>
    <w:rsid w:val="00B87184"/>
    <w:rsid w:val="00B8788F"/>
    <w:rsid w:val="00B91453"/>
    <w:rsid w:val="00BA19A5"/>
    <w:rsid w:val="00BC078B"/>
    <w:rsid w:val="00BC3A7D"/>
    <w:rsid w:val="00BC67F6"/>
    <w:rsid w:val="00BD2004"/>
    <w:rsid w:val="00BD2846"/>
    <w:rsid w:val="00BD4B12"/>
    <w:rsid w:val="00BD700D"/>
    <w:rsid w:val="00BD7D11"/>
    <w:rsid w:val="00BE2F92"/>
    <w:rsid w:val="00BE44AC"/>
    <w:rsid w:val="00BF0D5F"/>
    <w:rsid w:val="00BF59B3"/>
    <w:rsid w:val="00BF6F95"/>
    <w:rsid w:val="00C041BD"/>
    <w:rsid w:val="00C06363"/>
    <w:rsid w:val="00C10BCF"/>
    <w:rsid w:val="00C11EB4"/>
    <w:rsid w:val="00C12746"/>
    <w:rsid w:val="00C1673C"/>
    <w:rsid w:val="00C23C11"/>
    <w:rsid w:val="00C25827"/>
    <w:rsid w:val="00C31BB8"/>
    <w:rsid w:val="00C373EA"/>
    <w:rsid w:val="00C43CA3"/>
    <w:rsid w:val="00C43D9D"/>
    <w:rsid w:val="00C43EA4"/>
    <w:rsid w:val="00C50040"/>
    <w:rsid w:val="00C52DFF"/>
    <w:rsid w:val="00C54E38"/>
    <w:rsid w:val="00C621C1"/>
    <w:rsid w:val="00C62989"/>
    <w:rsid w:val="00C64DD4"/>
    <w:rsid w:val="00C65CBB"/>
    <w:rsid w:val="00C74684"/>
    <w:rsid w:val="00C77FEF"/>
    <w:rsid w:val="00C80F37"/>
    <w:rsid w:val="00C83659"/>
    <w:rsid w:val="00C96FBF"/>
    <w:rsid w:val="00C97A7F"/>
    <w:rsid w:val="00CA4421"/>
    <w:rsid w:val="00CA5363"/>
    <w:rsid w:val="00CA7D07"/>
    <w:rsid w:val="00CB24A4"/>
    <w:rsid w:val="00CB5B17"/>
    <w:rsid w:val="00CC4443"/>
    <w:rsid w:val="00CC5CAF"/>
    <w:rsid w:val="00CD5374"/>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6452B"/>
    <w:rsid w:val="00D71B8A"/>
    <w:rsid w:val="00D72C08"/>
    <w:rsid w:val="00D732F9"/>
    <w:rsid w:val="00D73B19"/>
    <w:rsid w:val="00D81325"/>
    <w:rsid w:val="00D875ED"/>
    <w:rsid w:val="00D877D0"/>
    <w:rsid w:val="00D90013"/>
    <w:rsid w:val="00D91B9C"/>
    <w:rsid w:val="00D92C1B"/>
    <w:rsid w:val="00D94CC7"/>
    <w:rsid w:val="00DA1AF4"/>
    <w:rsid w:val="00DB0C60"/>
    <w:rsid w:val="00DC641A"/>
    <w:rsid w:val="00DD21A1"/>
    <w:rsid w:val="00DD6B7D"/>
    <w:rsid w:val="00DD6E14"/>
    <w:rsid w:val="00DE0C97"/>
    <w:rsid w:val="00DE15AC"/>
    <w:rsid w:val="00DF2015"/>
    <w:rsid w:val="00E03792"/>
    <w:rsid w:val="00E061EC"/>
    <w:rsid w:val="00E06AED"/>
    <w:rsid w:val="00E10E81"/>
    <w:rsid w:val="00E11252"/>
    <w:rsid w:val="00E13E51"/>
    <w:rsid w:val="00E21F56"/>
    <w:rsid w:val="00E3014F"/>
    <w:rsid w:val="00E36174"/>
    <w:rsid w:val="00E4286E"/>
    <w:rsid w:val="00E43EAD"/>
    <w:rsid w:val="00E62DCB"/>
    <w:rsid w:val="00E651DD"/>
    <w:rsid w:val="00E66558"/>
    <w:rsid w:val="00E70D81"/>
    <w:rsid w:val="00E726A6"/>
    <w:rsid w:val="00E73418"/>
    <w:rsid w:val="00E74BBF"/>
    <w:rsid w:val="00E8109E"/>
    <w:rsid w:val="00E86F05"/>
    <w:rsid w:val="00E963AD"/>
    <w:rsid w:val="00EA3A2A"/>
    <w:rsid w:val="00EA5BFF"/>
    <w:rsid w:val="00EB0297"/>
    <w:rsid w:val="00EB11C0"/>
    <w:rsid w:val="00EB19EB"/>
    <w:rsid w:val="00EB4556"/>
    <w:rsid w:val="00EB64C8"/>
    <w:rsid w:val="00EC12D2"/>
    <w:rsid w:val="00EC7748"/>
    <w:rsid w:val="00ED4136"/>
    <w:rsid w:val="00ED5108"/>
    <w:rsid w:val="00ED6AE8"/>
    <w:rsid w:val="00EE0D10"/>
    <w:rsid w:val="00EE2CB2"/>
    <w:rsid w:val="00EF0D10"/>
    <w:rsid w:val="00F012CA"/>
    <w:rsid w:val="00F01752"/>
    <w:rsid w:val="00F017D2"/>
    <w:rsid w:val="00F0355A"/>
    <w:rsid w:val="00F05C44"/>
    <w:rsid w:val="00F1399B"/>
    <w:rsid w:val="00F13D12"/>
    <w:rsid w:val="00F15753"/>
    <w:rsid w:val="00F21F92"/>
    <w:rsid w:val="00F24A7E"/>
    <w:rsid w:val="00F32ABA"/>
    <w:rsid w:val="00F33DC0"/>
    <w:rsid w:val="00F33F28"/>
    <w:rsid w:val="00F35A40"/>
    <w:rsid w:val="00F35FDE"/>
    <w:rsid w:val="00F40DE1"/>
    <w:rsid w:val="00F4142A"/>
    <w:rsid w:val="00F46EFD"/>
    <w:rsid w:val="00F5567D"/>
    <w:rsid w:val="00F62587"/>
    <w:rsid w:val="00F631A6"/>
    <w:rsid w:val="00F63E9E"/>
    <w:rsid w:val="00F66AA7"/>
    <w:rsid w:val="00F75603"/>
    <w:rsid w:val="00F76843"/>
    <w:rsid w:val="00F776E1"/>
    <w:rsid w:val="00F87544"/>
    <w:rsid w:val="00F925EB"/>
    <w:rsid w:val="00F97033"/>
    <w:rsid w:val="00FA6DD0"/>
    <w:rsid w:val="00FB593C"/>
    <w:rsid w:val="00FC28DF"/>
    <w:rsid w:val="00FD2297"/>
    <w:rsid w:val="00FD6AC6"/>
    <w:rsid w:val="00FD721C"/>
    <w:rsid w:val="00FE3136"/>
    <w:rsid w:val="00FE50A3"/>
    <w:rsid w:val="00FE5204"/>
    <w:rsid w:val="00FE604C"/>
    <w:rsid w:val="00FF21B4"/>
    <w:rsid w:val="00FF2F3E"/>
    <w:rsid w:val="00FF369D"/>
    <w:rsid w:val="00FF4061"/>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pull-single">
    <w:name w:val="pull-single"/>
    <w:basedOn w:val="DefaultParagraphFont"/>
    <w:rsid w:val="0066537C"/>
  </w:style>
  <w:style w:type="character" w:customStyle="1" w:styleId="DefaultParagraphFontPHPDOCX">
    <w:name w:val="Default Paragraph Font PHPDOCX"/>
    <w:uiPriority w:val="1"/>
    <w:semiHidden/>
    <w:unhideWhenUsed/>
    <w:rsid w:val="00C64DD4"/>
  </w:style>
  <w:style w:type="table" w:customStyle="1" w:styleId="NormalTablePHPDOCX">
    <w:name w:val="Normal Table PHPDOCX"/>
    <w:uiPriority w:val="99"/>
    <w:semiHidden/>
    <w:unhideWhenUsed/>
    <w:qFormat/>
    <w:rsid w:val="00C64DD4"/>
    <w:pPr>
      <w:autoSpaceDN/>
    </w:pPr>
    <w:rPr>
      <w:rFonts w:eastAsia="Arial" w:cs="Arial"/>
      <w:lang w:val="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76256215">
      <w:bodyDiv w:val="1"/>
      <w:marLeft w:val="0"/>
      <w:marRight w:val="0"/>
      <w:marTop w:val="0"/>
      <w:marBottom w:val="0"/>
      <w:divBdr>
        <w:top w:val="none" w:sz="0" w:space="0" w:color="auto"/>
        <w:left w:val="none" w:sz="0" w:space="0" w:color="auto"/>
        <w:bottom w:val="none" w:sz="0" w:space="0" w:color="auto"/>
        <w:right w:val="none" w:sz="0" w:space="0" w:color="auto"/>
      </w:divBdr>
    </w:div>
    <w:div w:id="117561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bec95444fd43581bda1c86/The_writing_framework_092025.pdf" TargetMode="External"/><Relationship Id="rId18" Type="http://schemas.openxmlformats.org/officeDocument/2006/relationships/hyperlink" Target="https://assets.publishing.service.gov.uk/media/68bec95444fd43581bda1c86/The_writing_framework_092025.pdf" TargetMode="External"/><Relationship Id="rId26" Type="http://schemas.openxmlformats.org/officeDocument/2006/relationships/hyperlink" Target="https://www.nuffieldfoundation.org/news/nuffield-early-language-intervention-boosts-language-skills-three-months" TargetMode="External"/><Relationship Id="rId3" Type="http://schemas.openxmlformats.org/officeDocument/2006/relationships/customXml" Target="../customXml/item3.xml"/><Relationship Id="rId21" Type="http://schemas.openxmlformats.org/officeDocument/2006/relationships/hyperlink" Target="https://www.gov.uk/government/publications/research-review-series-english"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uffieldfoundation.org/news/nuffield-early-language-intervention-boosts-language-skills-three-months" TargetMode="External"/><Relationship Id="rId17" Type="http://schemas.openxmlformats.org/officeDocument/2006/relationships/hyperlink" Target="https://educationendowmentfoundation.org.uk/education-evidence/guidance-reports/literacy-ks1" TargetMode="External"/><Relationship Id="rId25" Type="http://schemas.openxmlformats.org/officeDocument/2006/relationships/hyperlink" Target="https://www.gov.uk/government/publications/independent-review-of-tutoring-in-schools-and-16-to-19-providers/independent-review-of-tutoring-in-schools-phase-1-finding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mbition.org.uk/blog/how-to-teach-handwriting/" TargetMode="External"/><Relationship Id="rId20" Type="http://schemas.openxmlformats.org/officeDocument/2006/relationships/hyperlink" Target="https://educationendowmentfoundation.org.uk/education-evidence/guidance-reports/literacy-ks2" TargetMode="External"/><Relationship Id="rId29" Type="http://schemas.openxmlformats.org/officeDocument/2006/relationships/hyperlink" Target="https://educationendowmentfoundation.org.uk/education-evidence/guidance-reports/literacy-k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teaching-learning-toolkit/oral-language-interventions" TargetMode="External"/><Relationship Id="rId24" Type="http://schemas.openxmlformats.org/officeDocument/2006/relationships/hyperlink" Target="https://educationendowmentfoundation.org.uk/projects-and-evaluation/promising-programmes/tutor-trust-primary" TargetMode="External"/><Relationship Id="rId32" Type="http://schemas.openxmlformats.org/officeDocument/2006/relationships/hyperlink" Target="https://educationendowmentfoundation.org.uk/education-evidence/teaching-learning-toolkit/behaviour-interventions" TargetMode="External"/><Relationship Id="rId5" Type="http://schemas.openxmlformats.org/officeDocument/2006/relationships/numbering" Target="numbering.xml"/><Relationship Id="rId15" Type="http://schemas.openxmlformats.org/officeDocument/2006/relationships/hyperlink" Target="https://assets.publishing.service.gov.uk/media/68bec95444fd43581bda1c86/The_writing_framework_092025.pdf" TargetMode="External"/><Relationship Id="rId23" Type="http://schemas.openxmlformats.org/officeDocument/2006/relationships/hyperlink" Target="https://educationendowmentfoundation.org.uk/education-evidence/teaching-learning-toolkit" TargetMode="External"/><Relationship Id="rId28" Type="http://schemas.openxmlformats.org/officeDocument/2006/relationships/hyperlink" Target="https://assets.publishing.service.gov.uk/media/68bec95444fd43581bda1c86/The_writing_framework_092025.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media/68bec95444fd43581bda1c86/The_writing_framework_092025.pdf" TargetMode="External"/><Relationship Id="rId31" Type="http://schemas.openxmlformats.org/officeDocument/2006/relationships/hyperlink" Target="https://outdoorplayandlearning.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news/how-the-simple-view-of-writing-can-help-you-develop-your-pupils-fluency-in-writing" TargetMode="External"/><Relationship Id="rId22" Type="http://schemas.openxmlformats.org/officeDocument/2006/relationships/hyperlink" Target="https://assets.publishing.service.gov.uk/media/68bec95444fd43581bda1c86/The_writing_framework_092025.pdf" TargetMode="External"/><Relationship Id="rId27" Type="http://schemas.openxmlformats.org/officeDocument/2006/relationships/hyperlink" Target="https://educationendowmentfoundation.org.uk/education-evidence/teaching-learning-toolkit/oral-language-interventions" TargetMode="External"/><Relationship Id="rId30" Type="http://schemas.openxmlformats.org/officeDocument/2006/relationships/hyperlink" Target="https://educationendowmentfoundation.org.uk/education-evidence/teaching-learning-toolkit/outdoor-adventure-learning"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531A8AD79FD49A1C071BDDB0AA951" ma:contentTypeVersion="18" ma:contentTypeDescription="Create a new document." ma:contentTypeScope="" ma:versionID="0e2389ec601233baf51d793eb7ebaf98">
  <xsd:schema xmlns:xsd="http://www.w3.org/2001/XMLSchema" xmlns:xs="http://www.w3.org/2001/XMLSchema" xmlns:p="http://schemas.microsoft.com/office/2006/metadata/properties" xmlns:ns3="d20fd11f-5199-4117-a4c2-67ece163119c" xmlns:ns4="edd51301-4919-4ea6-af72-074ae21eaf07" targetNamespace="http://schemas.microsoft.com/office/2006/metadata/properties" ma:root="true" ma:fieldsID="2d22e92ba49ec8ce5b35f35c87f52fc1" ns3:_="" ns4:_="">
    <xsd:import namespace="d20fd11f-5199-4117-a4c2-67ece163119c"/>
    <xsd:import namespace="edd51301-4919-4ea6-af72-074ae21ea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d11f-5199-4117-a4c2-67ece1631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1301-4919-4ea6-af72-074ae21eaf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20fd11f-5199-4117-a4c2-67ece16311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BFC5-7A2F-4549-93CB-45C30D7C6C88}">
  <ds:schemaRefs>
    <ds:schemaRef ds:uri="http://schemas.microsoft.com/sharepoint/v3/contenttype/forms"/>
  </ds:schemaRefs>
</ds:datastoreItem>
</file>

<file path=customXml/itemProps2.xml><?xml version="1.0" encoding="utf-8"?>
<ds:datastoreItem xmlns:ds="http://schemas.openxmlformats.org/officeDocument/2006/customXml" ds:itemID="{18EF0CD7-1C5C-483D-8FE9-9BDDB40D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d11f-5199-4117-a4c2-67ece163119c"/>
    <ds:schemaRef ds:uri="edd51301-4919-4ea6-af72-074ae21e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E6396-54E2-44F2-9B6A-80FA35364539}">
  <ds:schemaRefs>
    <ds:schemaRef ds:uri="http://purl.org/dc/elements/1.1/"/>
    <ds:schemaRef ds:uri="http://purl.org/dc/terms/"/>
    <ds:schemaRef ds:uri="http://schemas.microsoft.com/office/2006/documentManagement/types"/>
    <ds:schemaRef ds:uri="d20fd11f-5199-4117-a4c2-67ece163119c"/>
    <ds:schemaRef ds:uri="http://schemas.microsoft.com/office/2006/metadata/properties"/>
    <ds:schemaRef ds:uri="http://schemas.microsoft.com/office/infopath/2007/PartnerControls"/>
    <ds:schemaRef ds:uri="edd51301-4919-4ea6-af72-074ae21eaf0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63A91C0-2B3D-455C-9784-CB9F00F4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Emma Moss</cp:lastModifiedBy>
  <cp:revision>48</cp:revision>
  <cp:lastPrinted>2025-12-12T13:31:00Z</cp:lastPrinted>
  <dcterms:created xsi:type="dcterms:W3CDTF">2025-12-12T13:44:00Z</dcterms:created>
  <dcterms:modified xsi:type="dcterms:W3CDTF">2025-12-16T14:51:00Z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0x0101009F2531A8AD79FD49A1C071BDDB0AA951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