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FE9B" w14:textId="4C987395"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307723E3" w14:textId="3F6C3681" w:rsidR="00AD6343" w:rsidRDefault="00B04788" w:rsidP="00B04788">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St William’s Catholic Academy</w:t>
      </w:r>
    </w:p>
    <w:p w14:paraId="5994D7B5" w14:textId="504FD2F3" w:rsidR="00E20AE4" w:rsidRDefault="00B04788" w:rsidP="00B04788">
      <w:pPr>
        <w:tabs>
          <w:tab w:val="left" w:pos="4770"/>
        </w:tabs>
        <w:spacing w:before="200"/>
        <w:jc w:val="center"/>
        <w:rPr>
          <w:rFonts w:eastAsiaTheme="minorEastAsia" w:cs="Arial"/>
          <w:b/>
          <w:bCs/>
          <w:sz w:val="32"/>
          <w:szCs w:val="32"/>
          <w:lang w:val="en-US" w:eastAsia="ja-JP"/>
        </w:rPr>
      </w:pPr>
      <w:r>
        <w:rPr>
          <w:rFonts w:eastAsiaTheme="minorEastAsia" w:cs="Arial"/>
          <w:b/>
          <w:bCs/>
          <w:noProof/>
          <w:sz w:val="32"/>
          <w:szCs w:val="32"/>
          <w:lang w:val="en-US" w:eastAsia="ja-JP"/>
        </w:rPr>
        <w:drawing>
          <wp:inline distT="0" distB="0" distL="0" distR="0" wp14:anchorId="039982D8" wp14:editId="26205CF7">
            <wp:extent cx="917445" cy="1318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20williams%20badge%20transparent.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18945" cy="1320593"/>
                    </a:xfrm>
                    <a:prstGeom prst="rect">
                      <a:avLst/>
                    </a:prstGeom>
                  </pic:spPr>
                </pic:pic>
              </a:graphicData>
            </a:graphic>
          </wp:inline>
        </w:drawing>
      </w:r>
    </w:p>
    <w:p w14:paraId="215CA68C" w14:textId="77777777" w:rsidR="00B04788" w:rsidRDefault="00B04788" w:rsidP="00B04788">
      <w:pPr>
        <w:tabs>
          <w:tab w:val="left" w:pos="4770"/>
        </w:tabs>
        <w:spacing w:before="200"/>
        <w:jc w:val="center"/>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7A6DFC68"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Bishop Hogarth Catholic Education Trust</w:t>
      </w:r>
    </w:p>
    <w:p w14:paraId="1EA44BBC" w14:textId="77777777" w:rsidR="00B04788" w:rsidRDefault="00B04788" w:rsidP="00B04788">
      <w:pPr>
        <w:tabs>
          <w:tab w:val="left" w:pos="4770"/>
        </w:tabs>
        <w:spacing w:before="200"/>
        <w:rPr>
          <w:rFonts w:eastAsiaTheme="minorEastAsia" w:cs="Arial"/>
          <w:b/>
          <w:bCs/>
          <w:sz w:val="32"/>
          <w:szCs w:val="32"/>
          <w:lang w:val="en-US" w:eastAsia="ja-JP"/>
        </w:rPr>
      </w:pPr>
    </w:p>
    <w:p w14:paraId="20538F61" w14:textId="77777777" w:rsidR="00AD6343" w:rsidRDefault="00AD6343" w:rsidP="00B04788">
      <w:pPr>
        <w:tabs>
          <w:tab w:val="left" w:pos="4770"/>
        </w:tabs>
        <w:spacing w:before="200"/>
        <w:jc w:val="center"/>
        <w:rPr>
          <w:rFonts w:eastAsiaTheme="minorEastAsia" w:cs="Arial"/>
          <w:b/>
          <w:bCs/>
          <w:sz w:val="32"/>
          <w:szCs w:val="32"/>
          <w:lang w:val="en-US" w:eastAsia="ja-JP"/>
        </w:rPr>
      </w:pPr>
    </w:p>
    <w:p w14:paraId="21EC22F7" w14:textId="6114E004" w:rsidR="00415BA3" w:rsidRPr="007715E5" w:rsidRDefault="006C670E" w:rsidP="00B04788">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lastRenderedPageBreak/>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69DA7028" w:rsidR="00F8478B" w:rsidRDefault="007E6060" w:rsidP="00F8478B">
      <w:pPr>
        <w:spacing w:before="200"/>
        <w:jc w:val="center"/>
        <w:rPr>
          <w:rFonts w:asciiTheme="minorHAnsi" w:hAnsiTheme="minorHAnsi" w:cstheme="minorHAnsi"/>
          <w:b/>
          <w:bCs/>
          <w:sz w:val="32"/>
          <w:szCs w:val="32"/>
        </w:rPr>
      </w:pPr>
      <w:r w:rsidRPr="00F8478B">
        <w:rPr>
          <w:rFonts w:asciiTheme="minorHAnsi" w:hAnsiTheme="minorHAnsi" w:cstheme="minorHAnsi"/>
          <w:b/>
          <w:bCs/>
          <w:sz w:val="32"/>
          <w:szCs w:val="32"/>
          <w:u w:val="single"/>
        </w:rPr>
        <w:lastRenderedPageBreak/>
        <w:t>Name of school</w:t>
      </w:r>
    </w:p>
    <w:p w14:paraId="4D095587" w14:textId="7AAD6A78"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5208" w:type="pct"/>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7E4594">
        <w:trPr>
          <w:cantSplit/>
          <w:trHeight w:val="567"/>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7E4594">
        <w:trPr>
          <w:cantSplit/>
          <w:trHeight w:val="20"/>
          <w:tblHead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007E4594">
        <w:trPr>
          <w:trHeight w:val="632"/>
        </w:trPr>
        <w:tc>
          <w:tcPr>
            <w:tcW w:w="2431" w:type="pct"/>
            <w:gridSpan w:val="2"/>
            <w:shd w:val="clear" w:color="auto" w:fill="D4E5FC" w:themeFill="accent2" w:themeFillTint="1A"/>
            <w:vAlign w:val="center"/>
          </w:tcPr>
          <w:p w14:paraId="14D3D04E" w14:textId="27B4932D" w:rsidR="00756B70" w:rsidRPr="00197769" w:rsidRDefault="00443C3D" w:rsidP="00825AEF">
            <w:pPr>
              <w:tabs>
                <w:tab w:val="left" w:pos="1560"/>
              </w:tabs>
              <w:spacing w:before="100" w:after="100" w:line="276" w:lineRule="auto"/>
              <w:rPr>
                <w:rFonts w:asciiTheme="minorHAnsi" w:hAnsiTheme="minorHAnsi" w:cstheme="minorHAnsi"/>
                <w:b/>
                <w:bCs/>
              </w:rPr>
            </w:pPr>
            <w:r w:rsidRPr="00197769">
              <w:rPr>
                <w:rFonts w:asciiTheme="minorHAnsi" w:hAnsiTheme="minorHAnsi" w:cstheme="minorHAnsi"/>
                <w:b/>
                <w:bCs/>
              </w:rPr>
              <w:t xml:space="preserve">Academic year that this </w:t>
            </w:r>
            <w:r w:rsidR="00BE7D80" w:rsidRPr="00197769">
              <w:rPr>
                <w:rFonts w:asciiTheme="minorHAnsi" w:hAnsiTheme="minorHAnsi" w:cstheme="minorHAnsi"/>
                <w:b/>
                <w:bCs/>
              </w:rPr>
              <w:t>development plan</w:t>
            </w:r>
            <w:r w:rsidRPr="00197769">
              <w:rPr>
                <w:rFonts w:asciiTheme="minorHAnsi" w:hAnsiTheme="minorHAnsi" w:cstheme="minorHAnsi"/>
                <w:b/>
                <w:bCs/>
              </w:rPr>
              <w:t xml:space="preserve"> cover</w:t>
            </w:r>
            <w:r w:rsidR="00EC08D3" w:rsidRPr="00197769">
              <w:rPr>
                <w:rFonts w:asciiTheme="minorHAnsi" w:hAnsiTheme="minorHAnsi" w:cstheme="minorHAnsi"/>
                <w:b/>
                <w:bCs/>
              </w:rPr>
              <w:t>s</w:t>
            </w:r>
          </w:p>
        </w:tc>
        <w:tc>
          <w:tcPr>
            <w:tcW w:w="2569" w:type="pct"/>
            <w:gridSpan w:val="4"/>
            <w:shd w:val="clear" w:color="auto" w:fill="auto"/>
            <w:vAlign w:val="center"/>
          </w:tcPr>
          <w:p w14:paraId="1CEAFFF4" w14:textId="45FD1BA4" w:rsidR="00756B70" w:rsidRPr="00197769" w:rsidRDefault="00197769" w:rsidP="004C39C9">
            <w:pPr>
              <w:spacing w:before="100" w:after="100" w:line="276" w:lineRule="auto"/>
              <w:jc w:val="center"/>
              <w:rPr>
                <w:rFonts w:asciiTheme="minorHAnsi" w:hAnsiTheme="minorHAnsi" w:cstheme="minorHAnsi"/>
                <w:bCs/>
              </w:rPr>
            </w:pPr>
            <w:r w:rsidRPr="00197769">
              <w:rPr>
                <w:rFonts w:asciiTheme="minorHAnsi" w:hAnsiTheme="minorHAnsi" w:cstheme="minorHAnsi"/>
                <w:bCs/>
              </w:rPr>
              <w:t>2024-</w:t>
            </w:r>
            <w:r>
              <w:rPr>
                <w:rFonts w:asciiTheme="minorHAnsi" w:hAnsiTheme="minorHAnsi" w:cstheme="minorHAnsi"/>
                <w:bCs/>
              </w:rPr>
              <w:t>2025</w:t>
            </w:r>
          </w:p>
        </w:tc>
      </w:tr>
      <w:tr w:rsidR="00EC08D3" w:rsidRPr="00F8478B" w14:paraId="53A253B5" w14:textId="77777777" w:rsidTr="007E4594">
        <w:trPr>
          <w:trHeight w:val="632"/>
        </w:trPr>
        <w:tc>
          <w:tcPr>
            <w:tcW w:w="2431" w:type="pct"/>
            <w:gridSpan w:val="2"/>
            <w:shd w:val="clear" w:color="auto" w:fill="D4E5FC" w:themeFill="accent2" w:themeFillTint="1A"/>
            <w:vAlign w:val="center"/>
          </w:tcPr>
          <w:p w14:paraId="6AA22A78" w14:textId="2F30C2C9" w:rsidR="00EC08D3" w:rsidRPr="00197769" w:rsidRDefault="00FF6E31" w:rsidP="00825AEF">
            <w:pPr>
              <w:tabs>
                <w:tab w:val="left" w:pos="1560"/>
              </w:tabs>
              <w:spacing w:before="100" w:after="100" w:line="276" w:lineRule="auto"/>
              <w:rPr>
                <w:rFonts w:asciiTheme="minorHAnsi" w:hAnsiTheme="minorHAnsi" w:cstheme="minorHAnsi"/>
                <w:b/>
                <w:bCs/>
              </w:rPr>
            </w:pPr>
            <w:r w:rsidRPr="00197769">
              <w:rPr>
                <w:rFonts w:asciiTheme="minorHAnsi" w:hAnsiTheme="minorHAnsi" w:cstheme="minorHAnsi"/>
                <w:b/>
                <w:bCs/>
              </w:rPr>
              <w:t xml:space="preserve">Date this </w:t>
            </w:r>
            <w:r w:rsidR="00BE7D80" w:rsidRPr="00197769">
              <w:rPr>
                <w:rFonts w:asciiTheme="minorHAnsi" w:hAnsiTheme="minorHAnsi" w:cstheme="minorHAnsi"/>
                <w:b/>
                <w:bCs/>
              </w:rPr>
              <w:t>development plan</w:t>
            </w:r>
            <w:r w:rsidRPr="00197769">
              <w:rPr>
                <w:rFonts w:asciiTheme="minorHAnsi" w:hAnsiTheme="minorHAnsi" w:cstheme="minorHAnsi"/>
                <w:b/>
                <w:bCs/>
              </w:rPr>
              <w:t xml:space="preserve"> was published</w:t>
            </w:r>
          </w:p>
        </w:tc>
        <w:tc>
          <w:tcPr>
            <w:tcW w:w="2569" w:type="pct"/>
            <w:gridSpan w:val="4"/>
            <w:shd w:val="clear" w:color="auto" w:fill="auto"/>
            <w:vAlign w:val="center"/>
          </w:tcPr>
          <w:p w14:paraId="6A44273E" w14:textId="4D447E14" w:rsidR="00EC08D3" w:rsidRPr="00197769" w:rsidRDefault="00197769" w:rsidP="004C39C9">
            <w:pPr>
              <w:spacing w:before="100" w:after="100" w:line="276" w:lineRule="auto"/>
              <w:jc w:val="center"/>
              <w:rPr>
                <w:rFonts w:asciiTheme="minorHAnsi" w:hAnsiTheme="minorHAnsi" w:cstheme="minorHAnsi"/>
                <w:bCs/>
              </w:rPr>
            </w:pPr>
            <w:r>
              <w:rPr>
                <w:rFonts w:asciiTheme="minorHAnsi" w:hAnsiTheme="minorHAnsi" w:cstheme="minorHAnsi"/>
                <w:bCs/>
              </w:rPr>
              <w:t>September 24</w:t>
            </w:r>
          </w:p>
        </w:tc>
      </w:tr>
      <w:tr w:rsidR="00EC08D3" w:rsidRPr="00F8478B" w14:paraId="7248E2AC" w14:textId="77777777" w:rsidTr="007E4594">
        <w:trPr>
          <w:trHeight w:val="632"/>
        </w:trPr>
        <w:tc>
          <w:tcPr>
            <w:tcW w:w="2431" w:type="pct"/>
            <w:gridSpan w:val="2"/>
            <w:shd w:val="clear" w:color="auto" w:fill="D4E5FC" w:themeFill="accent2" w:themeFillTint="1A"/>
            <w:vAlign w:val="center"/>
          </w:tcPr>
          <w:p w14:paraId="4B4A9C2D" w14:textId="18CE8D4F" w:rsidR="00EC08D3" w:rsidRPr="00197769" w:rsidRDefault="00B614A7" w:rsidP="00825AEF">
            <w:pPr>
              <w:tabs>
                <w:tab w:val="left" w:pos="1560"/>
              </w:tabs>
              <w:spacing w:before="100" w:after="100" w:line="276" w:lineRule="auto"/>
              <w:rPr>
                <w:rFonts w:asciiTheme="minorHAnsi" w:hAnsiTheme="minorHAnsi" w:cstheme="minorHAnsi"/>
                <w:b/>
                <w:bCs/>
              </w:rPr>
            </w:pPr>
            <w:r w:rsidRPr="00197769">
              <w:rPr>
                <w:rFonts w:asciiTheme="minorHAnsi" w:hAnsiTheme="minorHAnsi" w:cstheme="minorHAnsi"/>
                <w:b/>
                <w:bCs/>
              </w:rPr>
              <w:t>Date this</w:t>
            </w:r>
            <w:r w:rsidR="00BE7D80" w:rsidRPr="00197769">
              <w:rPr>
                <w:rFonts w:asciiTheme="minorHAnsi" w:hAnsiTheme="minorHAnsi" w:cstheme="minorHAnsi"/>
                <w:b/>
                <w:bCs/>
              </w:rPr>
              <w:t xml:space="preserve"> development plan</w:t>
            </w:r>
            <w:r w:rsidRPr="00197769">
              <w:rPr>
                <w:rFonts w:asciiTheme="minorHAnsi" w:hAnsiTheme="minorHAnsi" w:cstheme="minorHAnsi"/>
                <w:b/>
                <w:bCs/>
              </w:rPr>
              <w:t xml:space="preserve"> will be reviewed</w:t>
            </w:r>
          </w:p>
        </w:tc>
        <w:tc>
          <w:tcPr>
            <w:tcW w:w="2569" w:type="pct"/>
            <w:gridSpan w:val="4"/>
            <w:shd w:val="clear" w:color="auto" w:fill="auto"/>
            <w:vAlign w:val="center"/>
          </w:tcPr>
          <w:p w14:paraId="08565007" w14:textId="07F87D26" w:rsidR="00EC08D3" w:rsidRPr="00197769" w:rsidRDefault="00197769" w:rsidP="004C39C9">
            <w:pPr>
              <w:spacing w:before="100" w:after="100" w:line="276" w:lineRule="auto"/>
              <w:jc w:val="center"/>
              <w:rPr>
                <w:rFonts w:asciiTheme="minorHAnsi" w:hAnsiTheme="minorHAnsi" w:cstheme="minorHAnsi"/>
                <w:bCs/>
              </w:rPr>
            </w:pPr>
            <w:r>
              <w:rPr>
                <w:rFonts w:asciiTheme="minorHAnsi" w:hAnsiTheme="minorHAnsi" w:cstheme="minorHAnsi"/>
                <w:bCs/>
              </w:rPr>
              <w:t>July 25</w:t>
            </w:r>
          </w:p>
        </w:tc>
      </w:tr>
      <w:tr w:rsidR="00EC08D3" w:rsidRPr="00F8478B" w14:paraId="28F8036F" w14:textId="77777777" w:rsidTr="007E4594">
        <w:trPr>
          <w:trHeight w:val="632"/>
        </w:trPr>
        <w:tc>
          <w:tcPr>
            <w:tcW w:w="2431" w:type="pct"/>
            <w:gridSpan w:val="2"/>
            <w:shd w:val="clear" w:color="auto" w:fill="D4E5FC" w:themeFill="accent2" w:themeFillTint="1A"/>
            <w:vAlign w:val="center"/>
          </w:tcPr>
          <w:p w14:paraId="59791622" w14:textId="5D790AA2" w:rsidR="00EC08D3" w:rsidRPr="00197769" w:rsidRDefault="00B614A7" w:rsidP="00825AEF">
            <w:pPr>
              <w:tabs>
                <w:tab w:val="left" w:pos="1560"/>
              </w:tabs>
              <w:spacing w:before="100" w:after="100" w:line="276" w:lineRule="auto"/>
              <w:rPr>
                <w:rFonts w:asciiTheme="minorHAnsi" w:hAnsiTheme="minorHAnsi" w:cstheme="minorHAnsi"/>
                <w:b/>
                <w:bCs/>
              </w:rPr>
            </w:pPr>
            <w:r w:rsidRPr="00197769">
              <w:rPr>
                <w:rFonts w:asciiTheme="minorHAnsi" w:hAnsiTheme="minorHAnsi" w:cstheme="minorHAnsi"/>
                <w:b/>
                <w:bCs/>
              </w:rPr>
              <w:t>Name of the school music lead</w:t>
            </w:r>
          </w:p>
        </w:tc>
        <w:tc>
          <w:tcPr>
            <w:tcW w:w="2569" w:type="pct"/>
            <w:gridSpan w:val="4"/>
            <w:shd w:val="clear" w:color="auto" w:fill="auto"/>
            <w:vAlign w:val="center"/>
          </w:tcPr>
          <w:p w14:paraId="1552EA6D" w14:textId="1E043874" w:rsidR="00EC08D3" w:rsidRPr="00197769" w:rsidRDefault="00197769" w:rsidP="004C39C9">
            <w:pPr>
              <w:spacing w:before="100" w:after="100" w:line="276" w:lineRule="auto"/>
              <w:jc w:val="center"/>
              <w:rPr>
                <w:rFonts w:asciiTheme="minorHAnsi" w:hAnsiTheme="minorHAnsi" w:cstheme="minorHAnsi"/>
                <w:bCs/>
              </w:rPr>
            </w:pPr>
            <w:proofErr w:type="spellStart"/>
            <w:r>
              <w:rPr>
                <w:rFonts w:asciiTheme="minorHAnsi" w:hAnsiTheme="minorHAnsi" w:cstheme="minorHAnsi"/>
                <w:bCs/>
              </w:rPr>
              <w:t>Amii</w:t>
            </w:r>
            <w:proofErr w:type="spellEnd"/>
            <w:r>
              <w:rPr>
                <w:rFonts w:asciiTheme="minorHAnsi" w:hAnsiTheme="minorHAnsi" w:cstheme="minorHAnsi"/>
                <w:bCs/>
              </w:rPr>
              <w:t xml:space="preserve"> Oliver</w:t>
            </w:r>
          </w:p>
        </w:tc>
      </w:tr>
      <w:tr w:rsidR="00EC08D3" w:rsidRPr="00F8478B" w14:paraId="744B8122" w14:textId="77777777" w:rsidTr="007E4594">
        <w:trPr>
          <w:trHeight w:val="632"/>
        </w:trPr>
        <w:tc>
          <w:tcPr>
            <w:tcW w:w="2431" w:type="pct"/>
            <w:gridSpan w:val="2"/>
            <w:shd w:val="clear" w:color="auto" w:fill="D4E5FC" w:themeFill="accent2" w:themeFillTint="1A"/>
            <w:vAlign w:val="center"/>
          </w:tcPr>
          <w:p w14:paraId="1FED564B" w14:textId="4E920C9D" w:rsidR="00EC08D3" w:rsidRPr="00197769" w:rsidRDefault="00B614A7" w:rsidP="00476A66">
            <w:pPr>
              <w:tabs>
                <w:tab w:val="left" w:pos="1560"/>
              </w:tabs>
              <w:spacing w:before="100" w:after="100" w:line="276" w:lineRule="auto"/>
              <w:rPr>
                <w:rFonts w:asciiTheme="minorHAnsi" w:hAnsiTheme="minorHAnsi" w:cstheme="minorHAnsi"/>
                <w:b/>
                <w:bCs/>
              </w:rPr>
            </w:pPr>
            <w:r w:rsidRPr="00197769">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70BBFF1D" w:rsidR="00EC08D3" w:rsidRPr="00197769" w:rsidRDefault="00197769" w:rsidP="004C39C9">
            <w:pPr>
              <w:spacing w:before="100" w:after="100" w:line="276" w:lineRule="auto"/>
              <w:jc w:val="center"/>
              <w:rPr>
                <w:rFonts w:asciiTheme="minorHAnsi" w:hAnsiTheme="minorHAnsi" w:cstheme="minorHAnsi"/>
                <w:bCs/>
              </w:rPr>
            </w:pPr>
            <w:r>
              <w:rPr>
                <w:rFonts w:asciiTheme="minorHAnsi" w:hAnsiTheme="minorHAnsi" w:cstheme="minorHAnsi"/>
                <w:bCs/>
              </w:rPr>
              <w:t>Michael Tiplady / Peter Bostock</w:t>
            </w:r>
          </w:p>
        </w:tc>
      </w:tr>
      <w:tr w:rsidR="00EA62CF" w:rsidRPr="00F8478B" w14:paraId="03CE372B" w14:textId="77777777" w:rsidTr="007E4594">
        <w:trPr>
          <w:trHeight w:val="632"/>
        </w:trPr>
        <w:tc>
          <w:tcPr>
            <w:tcW w:w="2431" w:type="pct"/>
            <w:gridSpan w:val="2"/>
            <w:shd w:val="clear" w:color="auto" w:fill="D4E5FC" w:themeFill="accent2" w:themeFillTint="1A"/>
            <w:vAlign w:val="center"/>
          </w:tcPr>
          <w:p w14:paraId="170FEAD3" w14:textId="775DAC8D" w:rsidR="00EA62CF" w:rsidRPr="00197769" w:rsidRDefault="00EA62CF" w:rsidP="00476A66">
            <w:pPr>
              <w:tabs>
                <w:tab w:val="left" w:pos="1560"/>
              </w:tabs>
              <w:spacing w:before="100" w:after="100" w:line="276" w:lineRule="auto"/>
              <w:rPr>
                <w:rFonts w:asciiTheme="minorHAnsi" w:hAnsiTheme="minorHAnsi" w:cstheme="minorHAnsi"/>
                <w:b/>
                <w:bCs/>
              </w:rPr>
            </w:pPr>
            <w:r w:rsidRPr="00197769">
              <w:rPr>
                <w:rFonts w:asciiTheme="minorHAnsi" w:hAnsiTheme="minorHAnsi" w:cstheme="minorHAnsi"/>
                <w:b/>
                <w:bCs/>
              </w:rPr>
              <w:t>Name of local music hub</w:t>
            </w:r>
          </w:p>
        </w:tc>
        <w:tc>
          <w:tcPr>
            <w:tcW w:w="2569" w:type="pct"/>
            <w:gridSpan w:val="4"/>
            <w:shd w:val="clear" w:color="auto" w:fill="auto"/>
            <w:vAlign w:val="center"/>
          </w:tcPr>
          <w:p w14:paraId="58B0703A" w14:textId="0C62664E" w:rsidR="00EA62CF" w:rsidRPr="00197769" w:rsidRDefault="00197769" w:rsidP="004C39C9">
            <w:pPr>
              <w:spacing w:before="100" w:after="100" w:line="276" w:lineRule="auto"/>
              <w:jc w:val="center"/>
              <w:rPr>
                <w:rFonts w:asciiTheme="minorHAnsi" w:hAnsiTheme="minorHAnsi" w:cstheme="minorHAnsi"/>
                <w:bCs/>
              </w:rPr>
            </w:pPr>
            <w:r>
              <w:rPr>
                <w:rFonts w:asciiTheme="minorHAnsi" w:hAnsiTheme="minorHAnsi" w:cstheme="minorHAnsi"/>
                <w:bCs/>
              </w:rPr>
              <w:t>Durham Music Service</w:t>
            </w:r>
          </w:p>
        </w:tc>
      </w:tr>
      <w:tr w:rsidR="00EA62CF" w:rsidRPr="00F8478B" w14:paraId="65F08963" w14:textId="77777777" w:rsidTr="007E4594">
        <w:trPr>
          <w:trHeight w:val="632"/>
        </w:trPr>
        <w:tc>
          <w:tcPr>
            <w:tcW w:w="2431" w:type="pct"/>
            <w:gridSpan w:val="2"/>
            <w:shd w:val="clear" w:color="auto" w:fill="D4E5FC" w:themeFill="accent2" w:themeFillTint="1A"/>
            <w:vAlign w:val="center"/>
          </w:tcPr>
          <w:p w14:paraId="5C5DC003" w14:textId="65C8E764" w:rsidR="00EA62CF" w:rsidRPr="00197769" w:rsidRDefault="00EA62CF" w:rsidP="00476A66">
            <w:pPr>
              <w:tabs>
                <w:tab w:val="left" w:pos="1560"/>
              </w:tabs>
              <w:spacing w:before="100" w:after="100" w:line="276" w:lineRule="auto"/>
              <w:rPr>
                <w:rFonts w:asciiTheme="minorHAnsi" w:hAnsiTheme="minorHAnsi" w:cstheme="minorHAnsi"/>
                <w:b/>
                <w:bCs/>
              </w:rPr>
            </w:pPr>
            <w:r w:rsidRPr="00197769">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77777777" w:rsidR="00EA62CF" w:rsidRPr="00197769" w:rsidRDefault="00EA62CF" w:rsidP="004C39C9">
            <w:pPr>
              <w:spacing w:before="100" w:after="100" w:line="276" w:lineRule="auto"/>
              <w:jc w:val="center"/>
              <w:rPr>
                <w:rFonts w:asciiTheme="minorHAnsi" w:hAnsiTheme="minorHAnsi" w:cstheme="minorHAnsi"/>
                <w:bCs/>
              </w:rPr>
            </w:pPr>
          </w:p>
        </w:tc>
      </w:tr>
      <w:tr w:rsidR="002602B6" w:rsidRPr="00F8478B" w14:paraId="76DC9C03" w14:textId="77777777" w:rsidTr="007E4594">
        <w:trPr>
          <w:trHeight w:val="632"/>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7E4594">
        <w:trPr>
          <w:trHeight w:val="632"/>
        </w:trPr>
        <w:tc>
          <w:tcPr>
            <w:tcW w:w="5000" w:type="pct"/>
            <w:gridSpan w:val="6"/>
            <w:shd w:val="clear" w:color="auto" w:fill="D4E5FC" w:themeFill="accent2" w:themeFillTint="1A"/>
            <w:vAlign w:val="center"/>
          </w:tcPr>
          <w:p w14:paraId="36EF5E51" w14:textId="08BA9B9C" w:rsidR="007E4594" w:rsidRDefault="007E4594" w:rsidP="002602B6">
            <w:pPr>
              <w:spacing w:before="100" w:after="100"/>
              <w:jc w:val="both"/>
              <w:rPr>
                <w:rFonts w:asciiTheme="minorHAnsi" w:hAnsiTheme="minorHAnsi" w:cstheme="minorHAnsi"/>
                <w:i/>
                <w:iCs/>
                <w:color w:val="000000"/>
              </w:rPr>
            </w:pPr>
            <w:r w:rsidRPr="007E4594">
              <w:rPr>
                <w:rFonts w:asciiTheme="minorHAnsi" w:hAnsiTheme="minorHAnsi" w:cstheme="minorHAnsi"/>
                <w:i/>
                <w:iCs/>
                <w:color w:val="000000"/>
              </w:rPr>
              <w:t>At St William’s we promote and deliver music to all children regardless of background, ability or language.  The music curriculum develops pupils’ love of music, confidence and creativity, and provides children with a sense of pride and achievement through singing, playing, listening, evaluating and composing across a wide range of styles, periods, genres and traditions, resulting in the acquisition of knowledge.  Children will listen, perform and compose in a safe environment where they can express themselves and take risks. They are given the opportunity to progress their creative excellence.</w:t>
            </w:r>
          </w:p>
          <w:p w14:paraId="4258D07D" w14:textId="6C2D016F" w:rsidR="00F0553D" w:rsidRPr="00F0553D" w:rsidRDefault="007E4594" w:rsidP="002602B6">
            <w:pPr>
              <w:spacing w:before="100" w:after="100"/>
              <w:jc w:val="both"/>
              <w:rPr>
                <w:rFonts w:asciiTheme="minorHAnsi" w:hAnsiTheme="minorHAnsi" w:cstheme="minorHAnsi"/>
                <w:bCs/>
                <w:i/>
                <w:iCs/>
                <w:color w:val="FFD006"/>
              </w:rPr>
            </w:pPr>
            <w:r>
              <w:rPr>
                <w:rFonts w:asciiTheme="minorHAnsi" w:hAnsiTheme="minorHAnsi" w:cstheme="minorHAnsi"/>
                <w:i/>
                <w:iCs/>
                <w:color w:val="000000"/>
              </w:rPr>
              <w:t xml:space="preserve">Our vision is to </w:t>
            </w:r>
            <w:r w:rsidR="00F0553D" w:rsidRPr="00F0553D">
              <w:rPr>
                <w:rFonts w:asciiTheme="minorHAnsi" w:hAnsiTheme="minorHAnsi" w:cstheme="minorHAnsi"/>
                <w:i/>
                <w:iCs/>
                <w:color w:val="000000"/>
              </w:rPr>
              <w:t>provide a rich, diverse, and progressive music curriculum for all children. (including during school hours and before/after school). This will be delivered through outstanding music teaching and leadership. Opportunities to learn musical instruments, and participate in ensembles in school, along with regular performances, both in and out of school will showcase our children and make our school a leader in music education within the local community and beyond. This will also maximise cultural capital for all our children, their overall wellbeing and confidence, while creating a supportive community of music making.</w:t>
            </w:r>
          </w:p>
        </w:tc>
      </w:tr>
      <w:tr w:rsidR="00F0553D" w:rsidRPr="00F8478B" w14:paraId="40BECD2B" w14:textId="77777777" w:rsidTr="007E4594">
        <w:trPr>
          <w:trHeight w:val="632"/>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7E4594">
        <w:trPr>
          <w:trHeight w:val="632"/>
        </w:trPr>
        <w:tc>
          <w:tcPr>
            <w:tcW w:w="5000" w:type="pct"/>
            <w:gridSpan w:val="6"/>
            <w:shd w:val="clear" w:color="auto" w:fill="D4E5FC" w:themeFill="accent2" w:themeFillTint="1A"/>
            <w:vAlign w:val="center"/>
          </w:tcPr>
          <w:p w14:paraId="744FB13C" w14:textId="5A591165"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Music curriculum – minimum of 1hr per week per class Classroom instrumental teaching </w:t>
            </w:r>
          </w:p>
          <w:p w14:paraId="6BB07E54" w14:textId="1760097F"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Progression from classroom instrumental teaching</w:t>
            </w:r>
          </w:p>
          <w:p w14:paraId="6B914323" w14:textId="6720AD98"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Small group &amp; 1-1 teaching</w:t>
            </w:r>
          </w:p>
          <w:p w14:paraId="699A7FAB"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Visiting music teachers Links with external music organisations </w:t>
            </w:r>
          </w:p>
          <w:p w14:paraId="3BC83A81" w14:textId="68463CE1"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Pupil Premium student engagement </w:t>
            </w:r>
          </w:p>
          <w:p w14:paraId="52A3B6EB" w14:textId="4723FA82"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Succession planning and CPD Choirs &amp; instrumental ensembles</w:t>
            </w:r>
          </w:p>
          <w:p w14:paraId="05679187" w14:textId="43345D8C"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Whole school singing assemblies</w:t>
            </w:r>
            <w:r w:rsidR="007E4594">
              <w:rPr>
                <w:rFonts w:asciiTheme="minorHAnsi" w:hAnsiTheme="minorHAnsi" w:cstheme="minorHAnsi"/>
                <w:i/>
                <w:iCs/>
                <w:color w:val="000000"/>
                <w:sz w:val="22"/>
                <w:szCs w:val="22"/>
              </w:rPr>
              <w:t xml:space="preserve"> and hymn practices</w:t>
            </w:r>
          </w:p>
          <w:p w14:paraId="62DDC3E1"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Performance opportunities </w:t>
            </w:r>
          </w:p>
          <w:p w14:paraId="714694B3" w14:textId="47011934"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p>
          <w:p w14:paraId="76C65961" w14:textId="77777777" w:rsidR="00F0553D" w:rsidRPr="00F0553D" w:rsidRDefault="00F0553D" w:rsidP="007E4594">
            <w:pPr>
              <w:pStyle w:val="NormalWeb"/>
              <w:spacing w:before="0" w:beforeAutospacing="0" w:after="0" w:afterAutospacing="0"/>
              <w:rPr>
                <w:rFonts w:asciiTheme="minorHAnsi" w:hAnsiTheme="minorHAnsi" w:cstheme="minorHAnsi"/>
                <w:i/>
                <w:iCs/>
              </w:rPr>
            </w:pPr>
          </w:p>
        </w:tc>
      </w:tr>
      <w:tr w:rsidR="00A42657" w:rsidRPr="00F8478B" w14:paraId="6B0BFDE9" w14:textId="77777777" w:rsidTr="007E4594">
        <w:trPr>
          <w:cantSplit/>
          <w:trHeight w:val="20"/>
          <w:tblHead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007E4594">
        <w:trPr>
          <w:cantSplit/>
          <w:trHeight w:val="20"/>
          <w:tblHead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DA6FAB">
        <w:trPr>
          <w:trHeight w:val="264"/>
        </w:trPr>
        <w:tc>
          <w:tcPr>
            <w:tcW w:w="973" w:type="pct"/>
            <w:shd w:val="clear" w:color="auto" w:fill="auto"/>
            <w:vAlign w:val="center"/>
          </w:tcPr>
          <w:p w14:paraId="71B3DCCA" w14:textId="2522A39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Has the music curriculum been adjusted to make it more accessible for pupils with specific needs, e.g. SEND?</w:t>
            </w:r>
          </w:p>
        </w:tc>
        <w:tc>
          <w:tcPr>
            <w:tcW w:w="1953" w:type="pct"/>
            <w:gridSpan w:val="2"/>
            <w:shd w:val="clear" w:color="auto" w:fill="auto"/>
          </w:tcPr>
          <w:p w14:paraId="1D45DB22" w14:textId="77777777" w:rsidR="00DA6FAB" w:rsidRDefault="00DA6FAB" w:rsidP="007E4594">
            <w:pPr>
              <w:spacing w:before="100" w:after="100"/>
              <w:rPr>
                <w:rFonts w:asciiTheme="minorHAnsi" w:hAnsiTheme="minorHAnsi" w:cstheme="minorHAnsi"/>
                <w:bCs/>
                <w:noProof/>
              </w:rPr>
            </w:pPr>
            <w:r>
              <w:rPr>
                <w:rFonts w:asciiTheme="minorHAnsi" w:hAnsiTheme="minorHAnsi" w:cstheme="minorHAnsi"/>
                <w:bCs/>
                <w:noProof/>
              </w:rPr>
              <w:t>Use of schools ‘5 a day’ SEN strategies (EEF)</w:t>
            </w:r>
          </w:p>
          <w:p w14:paraId="3F9ECF52" w14:textId="55121C0C" w:rsidR="00DA6FAB" w:rsidRPr="00F8478B" w:rsidRDefault="00DA6FAB" w:rsidP="007E4594">
            <w:pPr>
              <w:spacing w:before="100" w:after="100"/>
              <w:rPr>
                <w:rFonts w:asciiTheme="minorHAnsi" w:hAnsiTheme="minorHAnsi" w:cstheme="minorHAnsi"/>
                <w:bCs/>
                <w:noProof/>
              </w:rPr>
            </w:pPr>
            <w:r>
              <w:rPr>
                <w:rFonts w:asciiTheme="minorHAnsi" w:hAnsiTheme="minorHAnsi" w:cstheme="minorHAnsi"/>
                <w:bCs/>
                <w:noProof/>
              </w:rPr>
              <w:t>Support plans</w:t>
            </w:r>
          </w:p>
        </w:tc>
        <w:tc>
          <w:tcPr>
            <w:tcW w:w="830" w:type="pct"/>
            <w:shd w:val="clear" w:color="auto" w:fill="auto"/>
          </w:tcPr>
          <w:p w14:paraId="1C2A278C" w14:textId="270D2DB2" w:rsidR="00796CC4" w:rsidRPr="00F8478B" w:rsidRDefault="00796CC4" w:rsidP="007E4594">
            <w:pPr>
              <w:spacing w:before="100" w:after="100" w:line="276" w:lineRule="auto"/>
              <w:rPr>
                <w:rFonts w:asciiTheme="minorHAnsi" w:hAnsiTheme="minorHAnsi" w:cstheme="minorHAnsi"/>
                <w:bCs/>
              </w:rPr>
            </w:pPr>
          </w:p>
        </w:tc>
        <w:tc>
          <w:tcPr>
            <w:tcW w:w="732" w:type="pct"/>
            <w:shd w:val="clear" w:color="auto" w:fill="auto"/>
          </w:tcPr>
          <w:p w14:paraId="4DA2AC2B" w14:textId="5B4B3599" w:rsidR="00796CC4" w:rsidRPr="00F8478B" w:rsidRDefault="00796CC4" w:rsidP="00E74247">
            <w:pPr>
              <w:spacing w:before="100" w:after="100" w:line="276" w:lineRule="auto"/>
              <w:ind w:right="85"/>
              <w:jc w:val="center"/>
              <w:rPr>
                <w:rFonts w:asciiTheme="minorHAnsi" w:hAnsiTheme="minorHAnsi" w:cstheme="minorHAnsi"/>
              </w:rPr>
            </w:pPr>
          </w:p>
        </w:tc>
        <w:tc>
          <w:tcPr>
            <w:tcW w:w="512" w:type="pct"/>
            <w:shd w:val="clear" w:color="auto" w:fill="auto"/>
          </w:tcPr>
          <w:p w14:paraId="74B3D23F"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242FAB65" w14:textId="77777777" w:rsidTr="007E4594">
        <w:trPr>
          <w:trHeight w:val="1205"/>
        </w:trPr>
        <w:tc>
          <w:tcPr>
            <w:tcW w:w="973" w:type="pct"/>
            <w:shd w:val="clear" w:color="auto" w:fill="auto"/>
            <w:vAlign w:val="center"/>
          </w:tcPr>
          <w:p w14:paraId="5E2A7F78" w14:textId="61935D88" w:rsidR="00796CC4" w:rsidRPr="00DA6FAB" w:rsidRDefault="00796CC4" w:rsidP="00434A1C">
            <w:pPr>
              <w:tabs>
                <w:tab w:val="left" w:pos="1560"/>
              </w:tabs>
              <w:spacing w:before="100" w:after="100" w:line="276" w:lineRule="auto"/>
              <w:jc w:val="both"/>
              <w:rPr>
                <w:rFonts w:asciiTheme="minorHAnsi" w:hAnsiTheme="minorHAnsi" w:cstheme="minorHAnsi"/>
                <w:i/>
                <w:iCs/>
              </w:rPr>
            </w:pPr>
            <w:r w:rsidRPr="00DA6FAB">
              <w:rPr>
                <w:rFonts w:asciiTheme="minorHAnsi" w:hAnsiTheme="minorHAnsi" w:cstheme="minorHAnsi"/>
                <w:i/>
                <w:iCs/>
              </w:rPr>
              <w:t>Does the curriculum clarify how much time is allocated per week for music teaching across all key stages?</w:t>
            </w:r>
          </w:p>
        </w:tc>
        <w:tc>
          <w:tcPr>
            <w:tcW w:w="1953" w:type="pct"/>
            <w:gridSpan w:val="2"/>
            <w:shd w:val="clear" w:color="auto" w:fill="auto"/>
          </w:tcPr>
          <w:p w14:paraId="54443D62" w14:textId="5BE3E9D1" w:rsidR="00796CC4" w:rsidRPr="00DA6FAB" w:rsidRDefault="007E4594" w:rsidP="007E4594">
            <w:pPr>
              <w:spacing w:before="100" w:after="100"/>
              <w:rPr>
                <w:rFonts w:asciiTheme="minorHAnsi" w:hAnsiTheme="minorHAnsi" w:cstheme="minorHAnsi"/>
              </w:rPr>
            </w:pPr>
            <w:r w:rsidRPr="00DA6FAB">
              <w:rPr>
                <w:rFonts w:asciiTheme="minorHAnsi" w:hAnsiTheme="minorHAnsi" w:cstheme="minorHAnsi"/>
              </w:rPr>
              <w:t>Newly developed curriculum and culture document and curriculum map specify a minimum of 1 hour of music teaching per week</w:t>
            </w:r>
          </w:p>
        </w:tc>
        <w:tc>
          <w:tcPr>
            <w:tcW w:w="830" w:type="pct"/>
            <w:shd w:val="clear" w:color="auto" w:fill="auto"/>
          </w:tcPr>
          <w:p w14:paraId="1F6916B5" w14:textId="181920FC" w:rsidR="00796CC4" w:rsidRPr="00F8478B" w:rsidRDefault="00796CC4" w:rsidP="007E4594">
            <w:pPr>
              <w:spacing w:before="100" w:after="100" w:line="276" w:lineRule="auto"/>
              <w:rPr>
                <w:rFonts w:asciiTheme="minorHAnsi" w:hAnsiTheme="minorHAnsi" w:cstheme="minorHAnsi"/>
                <w:b/>
              </w:rPr>
            </w:pPr>
          </w:p>
        </w:tc>
        <w:tc>
          <w:tcPr>
            <w:tcW w:w="732" w:type="pct"/>
            <w:shd w:val="clear" w:color="auto" w:fill="auto"/>
          </w:tcPr>
          <w:p w14:paraId="0B99AADC" w14:textId="00B78EF1" w:rsidR="00796CC4" w:rsidRPr="007E4594" w:rsidRDefault="007E4594" w:rsidP="007E4594">
            <w:pPr>
              <w:ind w:right="83"/>
              <w:rPr>
                <w:rFonts w:asciiTheme="minorHAnsi" w:hAnsiTheme="minorHAnsi" w:cstheme="minorHAnsi"/>
              </w:rPr>
            </w:pPr>
            <w:r>
              <w:rPr>
                <w:rFonts w:asciiTheme="minorHAnsi" w:hAnsiTheme="minorHAnsi" w:cstheme="minorHAnsi"/>
              </w:rPr>
              <w:t>All teaching staff</w:t>
            </w:r>
          </w:p>
        </w:tc>
        <w:tc>
          <w:tcPr>
            <w:tcW w:w="512" w:type="pct"/>
            <w:shd w:val="clear" w:color="auto" w:fill="auto"/>
          </w:tcPr>
          <w:p w14:paraId="213C5FB0" w14:textId="41776D80" w:rsidR="00796CC4" w:rsidRPr="00DA6FAB" w:rsidRDefault="007E4594" w:rsidP="00DA6FAB">
            <w:pPr>
              <w:ind w:left="358" w:right="86" w:hanging="284"/>
              <w:rPr>
                <w:rFonts w:asciiTheme="minorHAnsi" w:hAnsiTheme="minorHAnsi" w:cstheme="minorHAnsi"/>
                <w:b/>
                <w:bCs/>
              </w:rPr>
            </w:pPr>
            <w:r w:rsidRPr="00DA6FAB">
              <w:rPr>
                <w:rFonts w:asciiTheme="minorHAnsi" w:hAnsiTheme="minorHAnsi" w:cstheme="minorHAnsi"/>
                <w:b/>
                <w:bCs/>
              </w:rPr>
              <w:t>Ongoing</w:t>
            </w:r>
          </w:p>
        </w:tc>
      </w:tr>
      <w:tr w:rsidR="00796CC4" w:rsidRPr="00F8478B" w14:paraId="13ED1C29" w14:textId="77777777" w:rsidTr="00DA6FAB">
        <w:trPr>
          <w:trHeight w:val="1205"/>
        </w:trPr>
        <w:tc>
          <w:tcPr>
            <w:tcW w:w="973" w:type="pct"/>
            <w:shd w:val="clear" w:color="auto" w:fill="auto"/>
            <w:vAlign w:val="center"/>
          </w:tcPr>
          <w:p w14:paraId="27613459" w14:textId="1D813CA2"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Is the music curriculum informed by the model music curriculum or any other non-statutory guidance for teaching music?</w:t>
            </w:r>
          </w:p>
        </w:tc>
        <w:tc>
          <w:tcPr>
            <w:tcW w:w="1953" w:type="pct"/>
            <w:gridSpan w:val="2"/>
            <w:shd w:val="clear" w:color="auto" w:fill="auto"/>
          </w:tcPr>
          <w:p w14:paraId="206A7944" w14:textId="684603AC" w:rsidR="00796CC4" w:rsidRPr="00F8478B" w:rsidRDefault="00DA6FAB" w:rsidP="007E4594">
            <w:pPr>
              <w:spacing w:before="100" w:after="100"/>
              <w:rPr>
                <w:rFonts w:asciiTheme="minorHAnsi" w:hAnsiTheme="minorHAnsi" w:cstheme="minorHAnsi"/>
                <w:bCs/>
              </w:rPr>
            </w:pPr>
            <w:r>
              <w:rPr>
                <w:rFonts w:asciiTheme="minorHAnsi" w:hAnsiTheme="minorHAnsi" w:cstheme="minorHAnsi"/>
                <w:bCs/>
              </w:rPr>
              <w:t>Modelled on National Curriculum</w:t>
            </w:r>
          </w:p>
        </w:tc>
        <w:tc>
          <w:tcPr>
            <w:tcW w:w="830" w:type="pct"/>
            <w:shd w:val="clear" w:color="auto" w:fill="auto"/>
          </w:tcPr>
          <w:p w14:paraId="572200FD" w14:textId="47C60C22" w:rsidR="00796CC4" w:rsidRPr="00F8478B" w:rsidRDefault="00796CC4" w:rsidP="007E4594">
            <w:pPr>
              <w:spacing w:before="100" w:after="100" w:line="276" w:lineRule="auto"/>
              <w:rPr>
                <w:rFonts w:asciiTheme="minorHAnsi" w:hAnsiTheme="minorHAnsi" w:cstheme="minorHAnsi"/>
                <w:bCs/>
              </w:rPr>
            </w:pPr>
          </w:p>
        </w:tc>
        <w:tc>
          <w:tcPr>
            <w:tcW w:w="732" w:type="pct"/>
            <w:shd w:val="clear" w:color="auto" w:fill="auto"/>
          </w:tcPr>
          <w:p w14:paraId="0AE4FB6A" w14:textId="432293AD" w:rsidR="00796CC4" w:rsidRPr="00DA6FAB" w:rsidRDefault="00DA6FAB" w:rsidP="00DA6FAB">
            <w:pPr>
              <w:ind w:left="358" w:right="83" w:hanging="284"/>
              <w:rPr>
                <w:rFonts w:asciiTheme="minorHAnsi" w:hAnsiTheme="minorHAnsi" w:cstheme="minorHAnsi"/>
              </w:rPr>
            </w:pPr>
            <w:r>
              <w:rPr>
                <w:rFonts w:asciiTheme="minorHAnsi" w:hAnsiTheme="minorHAnsi" w:cstheme="minorHAnsi"/>
              </w:rPr>
              <w:t>Music Lead</w:t>
            </w:r>
          </w:p>
        </w:tc>
        <w:tc>
          <w:tcPr>
            <w:tcW w:w="512" w:type="pct"/>
            <w:shd w:val="clear" w:color="auto" w:fill="auto"/>
          </w:tcPr>
          <w:p w14:paraId="0D8DCC8E"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5FB39604" w14:textId="77777777" w:rsidTr="00DA6FAB">
        <w:trPr>
          <w:trHeight w:val="1205"/>
        </w:trPr>
        <w:tc>
          <w:tcPr>
            <w:tcW w:w="973" w:type="pct"/>
            <w:shd w:val="clear" w:color="auto" w:fill="auto"/>
            <w:vAlign w:val="center"/>
          </w:tcPr>
          <w:p w14:paraId="12CCC472" w14:textId="1F9EB1D0"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lastRenderedPageBreak/>
              <w:t>What opportunities do pupils have to learn to sing or play an instrument during lesson times?</w:t>
            </w:r>
          </w:p>
        </w:tc>
        <w:tc>
          <w:tcPr>
            <w:tcW w:w="1953" w:type="pct"/>
            <w:gridSpan w:val="2"/>
            <w:shd w:val="clear" w:color="auto" w:fill="auto"/>
          </w:tcPr>
          <w:p w14:paraId="3397B523" w14:textId="77777777" w:rsidR="00796CC4" w:rsidRDefault="00DA6FAB" w:rsidP="00DA6FAB">
            <w:pPr>
              <w:spacing w:before="100" w:after="100"/>
              <w:rPr>
                <w:rFonts w:asciiTheme="minorHAnsi" w:hAnsiTheme="minorHAnsi" w:cstheme="minorHAnsi"/>
                <w:bCs/>
              </w:rPr>
            </w:pPr>
            <w:r>
              <w:rPr>
                <w:rFonts w:asciiTheme="minorHAnsi" w:hAnsiTheme="minorHAnsi" w:cstheme="minorHAnsi"/>
                <w:bCs/>
              </w:rPr>
              <w:t>School curriculum covers a broad range of musical knowledge including singing and instruments.</w:t>
            </w:r>
          </w:p>
          <w:p w14:paraId="4A5EF16C" w14:textId="6B5D7E91" w:rsidR="00DA6FAB" w:rsidRPr="00F8478B" w:rsidRDefault="00DA6FAB" w:rsidP="00DA6FAB">
            <w:pPr>
              <w:spacing w:before="100" w:after="100"/>
              <w:rPr>
                <w:rFonts w:asciiTheme="minorHAnsi" w:hAnsiTheme="minorHAnsi" w:cstheme="minorHAnsi"/>
                <w:bCs/>
              </w:rPr>
            </w:pPr>
            <w:r>
              <w:rPr>
                <w:rFonts w:asciiTheme="minorHAnsi" w:hAnsiTheme="minorHAnsi" w:cstheme="minorHAnsi"/>
                <w:bCs/>
              </w:rPr>
              <w:t>School developing pupil passports to monitor coverage</w:t>
            </w:r>
          </w:p>
        </w:tc>
        <w:tc>
          <w:tcPr>
            <w:tcW w:w="830" w:type="pct"/>
            <w:shd w:val="clear" w:color="auto" w:fill="auto"/>
          </w:tcPr>
          <w:p w14:paraId="54990D60" w14:textId="0A4422BD" w:rsidR="00796CC4" w:rsidRPr="00F8478B" w:rsidRDefault="00796CC4" w:rsidP="007E4594">
            <w:pPr>
              <w:spacing w:before="100" w:after="100" w:line="276" w:lineRule="auto"/>
              <w:rPr>
                <w:rFonts w:asciiTheme="minorHAnsi" w:hAnsiTheme="minorHAnsi" w:cstheme="minorHAnsi"/>
                <w:bCs/>
              </w:rPr>
            </w:pPr>
          </w:p>
        </w:tc>
        <w:tc>
          <w:tcPr>
            <w:tcW w:w="732" w:type="pct"/>
            <w:shd w:val="clear" w:color="auto" w:fill="auto"/>
            <w:vAlign w:val="center"/>
          </w:tcPr>
          <w:p w14:paraId="1B466FD7" w14:textId="2D59D1E0" w:rsidR="00796CC4" w:rsidRPr="00DA6FAB" w:rsidRDefault="00DA6FAB" w:rsidP="00DA6FAB">
            <w:pPr>
              <w:ind w:right="83"/>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783D38A9" w14:textId="2295391B" w:rsidR="00796CC4" w:rsidRPr="00DA6FAB" w:rsidRDefault="00DA6FAB" w:rsidP="00DA6FAB">
            <w:pPr>
              <w:ind w:right="86"/>
              <w:rPr>
                <w:rFonts w:asciiTheme="minorHAnsi" w:hAnsiTheme="minorHAnsi" w:cstheme="minorHAnsi"/>
                <w:b/>
                <w:bCs/>
              </w:rPr>
            </w:pPr>
            <w:r w:rsidRPr="00DA6FAB">
              <w:rPr>
                <w:rFonts w:asciiTheme="minorHAnsi" w:hAnsiTheme="minorHAnsi" w:cstheme="minorHAnsi"/>
                <w:b/>
                <w:bCs/>
              </w:rPr>
              <w:t>December 24</w:t>
            </w:r>
          </w:p>
        </w:tc>
      </w:tr>
      <w:tr w:rsidR="00796CC4" w:rsidRPr="00F8478B" w14:paraId="1BF193C7" w14:textId="77777777" w:rsidTr="007E4594">
        <w:trPr>
          <w:trHeight w:val="1205"/>
        </w:trPr>
        <w:tc>
          <w:tcPr>
            <w:tcW w:w="973" w:type="pct"/>
            <w:shd w:val="clear" w:color="auto" w:fill="auto"/>
            <w:vAlign w:val="center"/>
          </w:tcPr>
          <w:p w14:paraId="31520925" w14:textId="492909DF"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partnerships support the </w:t>
            </w:r>
            <w:proofErr w:type="gramStart"/>
            <w:r w:rsidRPr="00F0553D">
              <w:rPr>
                <w:rFonts w:asciiTheme="minorHAnsi" w:hAnsiTheme="minorHAnsi" w:cstheme="minorHAnsi"/>
                <w:i/>
                <w:iCs/>
              </w:rPr>
              <w:t>school’s  music</w:t>
            </w:r>
            <w:proofErr w:type="gramEnd"/>
            <w:r w:rsidRPr="00F0553D">
              <w:rPr>
                <w:rFonts w:asciiTheme="minorHAnsi" w:hAnsiTheme="minorHAnsi" w:cstheme="minorHAnsi"/>
                <w:i/>
                <w:iCs/>
              </w:rPr>
              <w:t xml:space="preserve"> curriculum, e.g. a local music hub?</w:t>
            </w:r>
          </w:p>
        </w:tc>
        <w:tc>
          <w:tcPr>
            <w:tcW w:w="1953" w:type="pct"/>
            <w:gridSpan w:val="2"/>
            <w:shd w:val="clear" w:color="auto" w:fill="auto"/>
          </w:tcPr>
          <w:p w14:paraId="6D4B6DB2" w14:textId="5B6C426D" w:rsidR="00796CC4" w:rsidRPr="00DA6FAB" w:rsidRDefault="007E4594" w:rsidP="007E4594">
            <w:pPr>
              <w:spacing w:before="100" w:after="100"/>
              <w:rPr>
                <w:rFonts w:asciiTheme="minorHAnsi" w:hAnsiTheme="minorHAnsi" w:cstheme="minorHAnsi"/>
              </w:rPr>
            </w:pPr>
            <w:r w:rsidRPr="00DA6FAB">
              <w:rPr>
                <w:rFonts w:asciiTheme="minorHAnsi" w:hAnsiTheme="minorHAnsi" w:cstheme="minorHAnsi"/>
              </w:rPr>
              <w:t>Durham music SLA provide whole class teaching and individual and small group tuition.</w:t>
            </w:r>
          </w:p>
        </w:tc>
        <w:tc>
          <w:tcPr>
            <w:tcW w:w="830" w:type="pct"/>
            <w:shd w:val="clear" w:color="auto" w:fill="auto"/>
          </w:tcPr>
          <w:p w14:paraId="4BA3ED4B" w14:textId="77777777" w:rsidR="00796CC4" w:rsidRPr="00DA6FAB" w:rsidRDefault="007E4594" w:rsidP="007E4594">
            <w:pPr>
              <w:spacing w:before="100" w:after="100" w:line="276" w:lineRule="auto"/>
              <w:rPr>
                <w:rFonts w:asciiTheme="minorHAnsi" w:hAnsiTheme="minorHAnsi" w:cstheme="minorHAnsi"/>
              </w:rPr>
            </w:pPr>
            <w:r w:rsidRPr="00DA6FAB">
              <w:rPr>
                <w:rFonts w:asciiTheme="minorHAnsi" w:hAnsiTheme="minorHAnsi" w:cstheme="minorHAnsi"/>
              </w:rPr>
              <w:t>Access to music teaching expert teachers and exposure to more instruments.</w:t>
            </w:r>
          </w:p>
          <w:p w14:paraId="33359A19" w14:textId="7F8EE362" w:rsidR="007E4594" w:rsidRPr="00DA6FAB" w:rsidRDefault="007E4594" w:rsidP="007E4594">
            <w:pPr>
              <w:spacing w:before="100" w:after="100" w:line="276" w:lineRule="auto"/>
              <w:rPr>
                <w:rFonts w:asciiTheme="minorHAnsi" w:hAnsiTheme="minorHAnsi" w:cstheme="minorHAnsi"/>
              </w:rPr>
            </w:pPr>
            <w:r w:rsidRPr="00DA6FAB">
              <w:rPr>
                <w:rFonts w:asciiTheme="minorHAnsi" w:hAnsiTheme="minorHAnsi" w:cstheme="minorHAnsi"/>
              </w:rPr>
              <w:t>Opportunity for personal development</w:t>
            </w:r>
          </w:p>
        </w:tc>
        <w:tc>
          <w:tcPr>
            <w:tcW w:w="732" w:type="pct"/>
            <w:shd w:val="clear" w:color="auto" w:fill="auto"/>
            <w:vAlign w:val="center"/>
          </w:tcPr>
          <w:p w14:paraId="11FD0F06" w14:textId="77777777" w:rsidR="00796CC4" w:rsidRPr="00DA6FA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4362336"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3CC14AA3" w14:textId="77777777" w:rsidTr="007E4594">
        <w:tblPrEx>
          <w:tblLook w:val="0620" w:firstRow="1" w:lastRow="0" w:firstColumn="0" w:lastColumn="0" w:noHBand="1" w:noVBand="1"/>
        </w:tblPrEx>
        <w:trPr>
          <w:cantSplit/>
          <w:trHeight w:val="20"/>
          <w:tblHeader/>
        </w:trPr>
        <w:tc>
          <w:tcPr>
            <w:tcW w:w="5000" w:type="pct"/>
            <w:gridSpan w:val="6"/>
            <w:tcBorders>
              <w:bottom w:val="single" w:sz="4" w:space="0" w:color="auto"/>
            </w:tcBorders>
            <w:shd w:val="clear" w:color="auto" w:fill="041E42"/>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7E4594">
        <w:tblPrEx>
          <w:tblLook w:val="0620" w:firstRow="1" w:lastRow="0" w:firstColumn="0" w:lastColumn="0" w:noHBand="1" w:noVBand="1"/>
        </w:tblPrEx>
        <w:trPr>
          <w:cantSplit/>
          <w:trHeight w:val="1965"/>
          <w:tblHead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7E4594">
        <w:tblPrEx>
          <w:tblLook w:val="0620" w:firstRow="1" w:lastRow="0" w:firstColumn="0" w:lastColumn="0" w:noHBand="1" w:noVBand="1"/>
        </w:tblPrEx>
        <w:trPr>
          <w:trHeight w:val="1205"/>
        </w:trPr>
        <w:tc>
          <w:tcPr>
            <w:tcW w:w="973" w:type="pct"/>
            <w:shd w:val="clear" w:color="auto" w:fill="auto"/>
            <w:vAlign w:val="center"/>
          </w:tcPr>
          <w:p w14:paraId="2755E88D" w14:textId="15086965"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tc>
        <w:tc>
          <w:tcPr>
            <w:tcW w:w="1953" w:type="pct"/>
            <w:gridSpan w:val="2"/>
            <w:shd w:val="clear" w:color="auto" w:fill="auto"/>
          </w:tcPr>
          <w:p w14:paraId="5A4187F9" w14:textId="1F0A3393" w:rsidR="00F342B2" w:rsidRPr="007E4594" w:rsidRDefault="007E4594" w:rsidP="007E4594">
            <w:pPr>
              <w:pStyle w:val="ListParagraph"/>
              <w:numPr>
                <w:ilvl w:val="1"/>
                <w:numId w:val="16"/>
              </w:numPr>
              <w:rPr>
                <w:rFonts w:asciiTheme="minorHAnsi" w:hAnsiTheme="minorHAnsi" w:cstheme="minorHAnsi"/>
                <w:bCs/>
              </w:rPr>
            </w:pPr>
            <w:r w:rsidRPr="007E4594">
              <w:rPr>
                <w:rFonts w:asciiTheme="minorHAnsi" w:hAnsiTheme="minorHAnsi" w:cstheme="minorHAnsi"/>
                <w:bCs/>
              </w:rPr>
              <w:t xml:space="preserve">and small group music </w:t>
            </w:r>
            <w:proofErr w:type="spellStart"/>
            <w:r w:rsidRPr="007E4594">
              <w:rPr>
                <w:rFonts w:asciiTheme="minorHAnsi" w:hAnsiTheme="minorHAnsi" w:cstheme="minorHAnsi"/>
                <w:bCs/>
              </w:rPr>
              <w:t>tution</w:t>
            </w:r>
            <w:proofErr w:type="spellEnd"/>
          </w:p>
          <w:p w14:paraId="5D8CA755" w14:textId="77777777" w:rsidR="007E4594" w:rsidRDefault="007E4594" w:rsidP="007E4594">
            <w:pPr>
              <w:rPr>
                <w:rFonts w:asciiTheme="minorHAnsi" w:hAnsiTheme="minorHAnsi" w:cstheme="minorHAnsi"/>
                <w:bCs/>
              </w:rPr>
            </w:pPr>
            <w:proofErr w:type="spellStart"/>
            <w:r>
              <w:rPr>
                <w:rFonts w:asciiTheme="minorHAnsi" w:hAnsiTheme="minorHAnsi" w:cstheme="minorHAnsi"/>
                <w:bCs/>
              </w:rPr>
              <w:t>Extra curricular</w:t>
            </w:r>
            <w:proofErr w:type="spellEnd"/>
            <w:r>
              <w:rPr>
                <w:rFonts w:asciiTheme="minorHAnsi" w:hAnsiTheme="minorHAnsi" w:cstheme="minorHAnsi"/>
                <w:bCs/>
              </w:rPr>
              <w:t xml:space="preserve"> choir club</w:t>
            </w:r>
          </w:p>
          <w:p w14:paraId="5077F0C7" w14:textId="77777777" w:rsidR="007E4594" w:rsidRDefault="007E4594" w:rsidP="007E4594">
            <w:pPr>
              <w:rPr>
                <w:rFonts w:asciiTheme="minorHAnsi" w:hAnsiTheme="minorHAnsi" w:cstheme="minorHAnsi"/>
                <w:bCs/>
              </w:rPr>
            </w:pPr>
            <w:proofErr w:type="spellStart"/>
            <w:r>
              <w:rPr>
                <w:rFonts w:asciiTheme="minorHAnsi" w:hAnsiTheme="minorHAnsi" w:cstheme="minorHAnsi"/>
                <w:bCs/>
              </w:rPr>
              <w:t>Extra curricular</w:t>
            </w:r>
            <w:proofErr w:type="spellEnd"/>
            <w:r>
              <w:rPr>
                <w:rFonts w:asciiTheme="minorHAnsi" w:hAnsiTheme="minorHAnsi" w:cstheme="minorHAnsi"/>
                <w:bCs/>
              </w:rPr>
              <w:t xml:space="preserve"> ukulele club</w:t>
            </w:r>
          </w:p>
          <w:p w14:paraId="0EC7590D" w14:textId="5B39B8EB" w:rsidR="007E4594" w:rsidRPr="007E4594" w:rsidRDefault="007E4594" w:rsidP="007E4594">
            <w:pPr>
              <w:rPr>
                <w:rFonts w:asciiTheme="minorHAnsi" w:hAnsiTheme="minorHAnsi" w:cstheme="minorHAnsi"/>
                <w:bCs/>
              </w:rPr>
            </w:pPr>
          </w:p>
        </w:tc>
        <w:tc>
          <w:tcPr>
            <w:tcW w:w="830" w:type="pct"/>
            <w:shd w:val="clear" w:color="auto" w:fill="auto"/>
          </w:tcPr>
          <w:p w14:paraId="25C73594" w14:textId="62FBAA58" w:rsidR="00F342B2" w:rsidRPr="00F8478B" w:rsidRDefault="00DA6FAB" w:rsidP="00DA6FAB">
            <w:pPr>
              <w:spacing w:before="100" w:after="100" w:line="276" w:lineRule="auto"/>
              <w:rPr>
                <w:rFonts w:asciiTheme="minorHAnsi" w:hAnsiTheme="minorHAnsi" w:cstheme="minorHAnsi"/>
                <w:bCs/>
              </w:rPr>
            </w:pPr>
            <w:r>
              <w:rPr>
                <w:rFonts w:asciiTheme="minorHAnsi" w:hAnsiTheme="minorHAnsi" w:cstheme="minorHAnsi"/>
                <w:bCs/>
              </w:rPr>
              <w:t xml:space="preserve">More children accessing </w:t>
            </w:r>
            <w:proofErr w:type="spellStart"/>
            <w:r>
              <w:rPr>
                <w:rFonts w:asciiTheme="minorHAnsi" w:hAnsiTheme="minorHAnsi" w:cstheme="minorHAnsi"/>
                <w:bCs/>
              </w:rPr>
              <w:t>extra curricular</w:t>
            </w:r>
            <w:proofErr w:type="spellEnd"/>
            <w:r>
              <w:rPr>
                <w:rFonts w:asciiTheme="minorHAnsi" w:hAnsiTheme="minorHAnsi" w:cstheme="minorHAnsi"/>
                <w:bCs/>
              </w:rPr>
              <w:t xml:space="preserve"> music activities including SEN and PP</w:t>
            </w:r>
          </w:p>
        </w:tc>
        <w:tc>
          <w:tcPr>
            <w:tcW w:w="732" w:type="pct"/>
            <w:shd w:val="clear" w:color="auto" w:fill="auto"/>
          </w:tcPr>
          <w:p w14:paraId="64F98BE8" w14:textId="77777777" w:rsidR="00F342B2" w:rsidRPr="00DA6FAB" w:rsidRDefault="00DA6FAB" w:rsidP="00DA6FAB">
            <w:pPr>
              <w:ind w:left="358" w:right="83" w:hanging="284"/>
              <w:rPr>
                <w:rFonts w:asciiTheme="minorHAnsi" w:hAnsiTheme="minorHAnsi" w:cstheme="minorHAnsi"/>
              </w:rPr>
            </w:pPr>
            <w:r w:rsidRPr="00DA6FAB">
              <w:rPr>
                <w:rFonts w:asciiTheme="minorHAnsi" w:hAnsiTheme="minorHAnsi" w:cstheme="minorHAnsi"/>
              </w:rPr>
              <w:t>Music Lead</w:t>
            </w:r>
          </w:p>
          <w:p w14:paraId="2943DD98" w14:textId="77777777" w:rsidR="00DA6FAB" w:rsidRPr="00DA6FAB" w:rsidRDefault="00DA6FAB" w:rsidP="00DA6FAB">
            <w:pPr>
              <w:ind w:left="358" w:right="83" w:hanging="284"/>
              <w:rPr>
                <w:rFonts w:asciiTheme="minorHAnsi" w:hAnsiTheme="minorHAnsi" w:cstheme="minorHAnsi"/>
              </w:rPr>
            </w:pPr>
          </w:p>
          <w:p w14:paraId="6EAB0869" w14:textId="16F7C8BF" w:rsidR="00DA6FAB" w:rsidRPr="00DA6FAB" w:rsidRDefault="00DA6FAB" w:rsidP="00DA6FAB">
            <w:pPr>
              <w:ind w:left="358" w:right="83" w:hanging="284"/>
              <w:rPr>
                <w:rFonts w:asciiTheme="minorHAnsi" w:hAnsiTheme="minorHAnsi" w:cstheme="minorHAnsi"/>
              </w:rPr>
            </w:pPr>
            <w:r w:rsidRPr="00DA6FAB">
              <w:rPr>
                <w:rFonts w:asciiTheme="minorHAnsi" w:hAnsiTheme="minorHAnsi" w:cstheme="minorHAnsi"/>
              </w:rPr>
              <w:t>No Cost</w:t>
            </w:r>
          </w:p>
        </w:tc>
        <w:tc>
          <w:tcPr>
            <w:tcW w:w="512" w:type="pct"/>
            <w:shd w:val="clear" w:color="auto" w:fill="auto"/>
          </w:tcPr>
          <w:p w14:paraId="326EA2D9" w14:textId="43FA7710" w:rsidR="00F342B2" w:rsidRPr="00DA6FAB" w:rsidRDefault="00DA6FAB" w:rsidP="00DA6FAB">
            <w:pPr>
              <w:ind w:left="358" w:right="86" w:hanging="284"/>
              <w:rPr>
                <w:rFonts w:asciiTheme="minorHAnsi" w:hAnsiTheme="minorHAnsi" w:cstheme="minorHAnsi"/>
                <w:bCs/>
              </w:rPr>
            </w:pPr>
            <w:r w:rsidRPr="00DA6FAB">
              <w:rPr>
                <w:rFonts w:asciiTheme="minorHAnsi" w:hAnsiTheme="minorHAnsi" w:cstheme="minorHAnsi"/>
                <w:bCs/>
              </w:rPr>
              <w:t>Ongoing</w:t>
            </w:r>
          </w:p>
        </w:tc>
      </w:tr>
      <w:tr w:rsidR="00F342B2" w:rsidRPr="00F8478B" w14:paraId="2D165D8D" w14:textId="77777777" w:rsidTr="007E4594">
        <w:tblPrEx>
          <w:tblLook w:val="0620" w:firstRow="1" w:lastRow="0" w:firstColumn="0" w:lastColumn="0" w:noHBand="1" w:noVBand="1"/>
        </w:tblPrEx>
        <w:trPr>
          <w:trHeight w:val="1205"/>
        </w:trPr>
        <w:tc>
          <w:tcPr>
            <w:tcW w:w="973" w:type="pct"/>
            <w:shd w:val="clear" w:color="auto" w:fill="auto"/>
            <w:vAlign w:val="center"/>
          </w:tcPr>
          <w:p w14:paraId="5BF2E5CF" w14:textId="017DADE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ensembles can pupils join outside of lesson time?</w:t>
            </w:r>
          </w:p>
        </w:tc>
        <w:tc>
          <w:tcPr>
            <w:tcW w:w="1953" w:type="pct"/>
            <w:gridSpan w:val="2"/>
            <w:shd w:val="clear" w:color="auto" w:fill="auto"/>
          </w:tcPr>
          <w:p w14:paraId="5212EE3B" w14:textId="77777777" w:rsidR="00F342B2" w:rsidRPr="00DA6FAB" w:rsidRDefault="007E4594" w:rsidP="007E4594">
            <w:pPr>
              <w:spacing w:before="100" w:after="100"/>
              <w:rPr>
                <w:rFonts w:asciiTheme="minorHAnsi" w:hAnsiTheme="minorHAnsi" w:cstheme="minorHAnsi"/>
              </w:rPr>
            </w:pPr>
            <w:r w:rsidRPr="00DA6FAB">
              <w:rPr>
                <w:rFonts w:asciiTheme="minorHAnsi" w:hAnsiTheme="minorHAnsi" w:cstheme="minorHAnsi"/>
              </w:rPr>
              <w:t>Regular singing in ‘Celebrations of the Word’ and assemblies</w:t>
            </w:r>
          </w:p>
          <w:p w14:paraId="0D31A776" w14:textId="4ACCC825" w:rsidR="007E4594" w:rsidRPr="00F8478B" w:rsidRDefault="007E4594" w:rsidP="007E4594">
            <w:pPr>
              <w:spacing w:before="100" w:after="100"/>
              <w:rPr>
                <w:rFonts w:asciiTheme="minorHAnsi" w:hAnsiTheme="minorHAnsi" w:cstheme="minorHAnsi"/>
                <w:b/>
              </w:rPr>
            </w:pPr>
            <w:r w:rsidRPr="00DA6FAB">
              <w:rPr>
                <w:rFonts w:asciiTheme="minorHAnsi" w:hAnsiTheme="minorHAnsi" w:cstheme="minorHAnsi"/>
              </w:rPr>
              <w:t>Hymn Practice</w:t>
            </w:r>
          </w:p>
        </w:tc>
        <w:tc>
          <w:tcPr>
            <w:tcW w:w="830" w:type="pct"/>
            <w:shd w:val="clear" w:color="auto" w:fill="auto"/>
          </w:tcPr>
          <w:p w14:paraId="10671F2D" w14:textId="11E15975" w:rsidR="00F342B2" w:rsidRPr="00F8478B" w:rsidRDefault="00F342B2" w:rsidP="00F71EDF">
            <w:pPr>
              <w:spacing w:before="100" w:after="100" w:line="276" w:lineRule="auto"/>
              <w:jc w:val="center"/>
              <w:rPr>
                <w:rFonts w:asciiTheme="minorHAnsi" w:hAnsiTheme="minorHAnsi" w:cstheme="minorHAnsi"/>
                <w:b/>
              </w:rPr>
            </w:pPr>
          </w:p>
        </w:tc>
        <w:tc>
          <w:tcPr>
            <w:tcW w:w="732" w:type="pct"/>
            <w:shd w:val="clear" w:color="auto" w:fill="auto"/>
          </w:tcPr>
          <w:p w14:paraId="7A9D14A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tcPr>
          <w:p w14:paraId="772DA4C0"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44265B65" w14:textId="77777777" w:rsidTr="00DA6FAB">
        <w:tblPrEx>
          <w:tblLook w:val="0620" w:firstRow="1" w:lastRow="0" w:firstColumn="0" w:lastColumn="0" w:noHBand="1" w:noVBand="1"/>
        </w:tblPrEx>
        <w:trPr>
          <w:trHeight w:val="1205"/>
        </w:trPr>
        <w:tc>
          <w:tcPr>
            <w:tcW w:w="973" w:type="pct"/>
            <w:shd w:val="clear" w:color="auto" w:fill="auto"/>
            <w:vAlign w:val="center"/>
          </w:tcPr>
          <w:p w14:paraId="4E0FB12E" w14:textId="00C51231"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how they can make progress in music outside of lesson time?</w:t>
            </w:r>
            <w:r w:rsidRPr="00F8478B" w:rsidDel="001361AB">
              <w:rPr>
                <w:rFonts w:asciiTheme="minorHAnsi" w:hAnsiTheme="minorHAnsi" w:cstheme="minorHAnsi"/>
              </w:rPr>
              <w:t xml:space="preserve"> </w:t>
            </w:r>
          </w:p>
        </w:tc>
        <w:tc>
          <w:tcPr>
            <w:tcW w:w="1953" w:type="pct"/>
            <w:gridSpan w:val="2"/>
            <w:shd w:val="clear" w:color="auto" w:fill="auto"/>
          </w:tcPr>
          <w:p w14:paraId="4FE395D1" w14:textId="30F86ED3" w:rsidR="00F342B2" w:rsidRPr="00F8478B" w:rsidRDefault="00DA6FAB" w:rsidP="007E4594">
            <w:pPr>
              <w:spacing w:before="100" w:after="100"/>
              <w:rPr>
                <w:rFonts w:asciiTheme="minorHAnsi" w:hAnsiTheme="minorHAnsi" w:cstheme="minorHAnsi"/>
                <w:bCs/>
              </w:rPr>
            </w:pPr>
            <w:r>
              <w:rPr>
                <w:rFonts w:asciiTheme="minorHAnsi" w:hAnsiTheme="minorHAnsi" w:cstheme="minorHAnsi"/>
                <w:bCs/>
              </w:rPr>
              <w:t>Music lead to develop this awareness through focused pupil activities and leading whole school activities</w:t>
            </w:r>
          </w:p>
        </w:tc>
        <w:tc>
          <w:tcPr>
            <w:tcW w:w="830" w:type="pct"/>
            <w:shd w:val="clear" w:color="auto" w:fill="auto"/>
          </w:tcPr>
          <w:p w14:paraId="4B0D0C13" w14:textId="4E312EF7" w:rsidR="00F342B2" w:rsidRPr="00F8478B" w:rsidRDefault="00F342B2" w:rsidP="00836A0A">
            <w:pPr>
              <w:spacing w:before="100" w:after="100" w:line="276" w:lineRule="auto"/>
              <w:jc w:val="center"/>
              <w:rPr>
                <w:rFonts w:asciiTheme="minorHAnsi" w:hAnsiTheme="minorHAnsi" w:cstheme="minorHAnsi"/>
                <w:bCs/>
              </w:rPr>
            </w:pPr>
          </w:p>
        </w:tc>
        <w:tc>
          <w:tcPr>
            <w:tcW w:w="732" w:type="pct"/>
            <w:shd w:val="clear" w:color="auto" w:fill="auto"/>
          </w:tcPr>
          <w:p w14:paraId="47B99CD1" w14:textId="77777777" w:rsidR="00F342B2" w:rsidRPr="00DA6FAB" w:rsidRDefault="00F342B2" w:rsidP="00DA6FAB">
            <w:pPr>
              <w:ind w:left="358" w:right="83" w:hanging="284"/>
              <w:rPr>
                <w:rFonts w:asciiTheme="minorHAnsi" w:hAnsiTheme="minorHAnsi" w:cstheme="minorHAnsi"/>
              </w:rPr>
            </w:pPr>
          </w:p>
        </w:tc>
        <w:tc>
          <w:tcPr>
            <w:tcW w:w="512" w:type="pct"/>
            <w:shd w:val="clear" w:color="auto" w:fill="auto"/>
          </w:tcPr>
          <w:p w14:paraId="36C1CEC6" w14:textId="674FE190" w:rsidR="00F342B2" w:rsidRPr="00DA6FAB" w:rsidRDefault="00DA6FAB" w:rsidP="00DA6FAB">
            <w:pPr>
              <w:ind w:left="74" w:right="86"/>
              <w:rPr>
                <w:rFonts w:asciiTheme="minorHAnsi" w:hAnsiTheme="minorHAnsi" w:cstheme="minorHAnsi"/>
                <w:b/>
                <w:bCs/>
              </w:rPr>
            </w:pPr>
            <w:r w:rsidRPr="00DA6FAB">
              <w:rPr>
                <w:rFonts w:asciiTheme="minorHAnsi" w:hAnsiTheme="minorHAnsi" w:cstheme="minorHAnsi"/>
                <w:b/>
                <w:bCs/>
              </w:rPr>
              <w:t>By</w:t>
            </w:r>
            <w:r>
              <w:rPr>
                <w:rFonts w:asciiTheme="minorHAnsi" w:hAnsiTheme="minorHAnsi" w:cstheme="minorHAnsi"/>
                <w:b/>
                <w:bCs/>
              </w:rPr>
              <w:t xml:space="preserve"> </w:t>
            </w:r>
            <w:r w:rsidRPr="00DA6FAB">
              <w:rPr>
                <w:rFonts w:asciiTheme="minorHAnsi" w:hAnsiTheme="minorHAnsi" w:cstheme="minorHAnsi"/>
                <w:b/>
                <w:bCs/>
              </w:rPr>
              <w:t>December 24</w:t>
            </w:r>
          </w:p>
        </w:tc>
      </w:tr>
      <w:tr w:rsidR="00F342B2" w:rsidRPr="00F8478B" w14:paraId="5CD3AEFB" w14:textId="77777777" w:rsidTr="00DA6FAB">
        <w:tblPrEx>
          <w:tblLook w:val="0620" w:firstRow="1" w:lastRow="0" w:firstColumn="0" w:lastColumn="0" w:noHBand="1" w:noVBand="1"/>
        </w:tblPrEx>
        <w:trPr>
          <w:trHeight w:val="1205"/>
        </w:trPr>
        <w:tc>
          <w:tcPr>
            <w:tcW w:w="973" w:type="pct"/>
            <w:shd w:val="clear" w:color="auto" w:fill="auto"/>
            <w:vAlign w:val="center"/>
          </w:tcPr>
          <w:p w14:paraId="61C4E5CF" w14:textId="7ECCEF4B"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Are pupils aware of what music qualifications and awards they can receive outside of lesson time?</w:t>
            </w:r>
          </w:p>
        </w:tc>
        <w:tc>
          <w:tcPr>
            <w:tcW w:w="1953" w:type="pct"/>
            <w:gridSpan w:val="2"/>
            <w:shd w:val="clear" w:color="auto" w:fill="auto"/>
            <w:vAlign w:val="center"/>
          </w:tcPr>
          <w:p w14:paraId="1F943A7C" w14:textId="2CC91B66" w:rsidR="00F342B2" w:rsidRPr="00F8478B" w:rsidRDefault="00DA6FAB" w:rsidP="00DA6FAB">
            <w:pPr>
              <w:spacing w:before="100" w:after="100"/>
              <w:rPr>
                <w:rFonts w:asciiTheme="minorHAnsi" w:hAnsiTheme="minorHAnsi" w:cstheme="minorHAnsi"/>
                <w:bCs/>
              </w:rPr>
            </w:pPr>
            <w:proofErr w:type="spellStart"/>
            <w:r>
              <w:rPr>
                <w:rFonts w:asciiTheme="minorHAnsi" w:hAnsiTheme="minorHAnsi" w:cstheme="minorHAnsi"/>
                <w:bCs/>
              </w:rPr>
              <w:t>Furthe</w:t>
            </w:r>
            <w:proofErr w:type="spellEnd"/>
            <w:r>
              <w:rPr>
                <w:rFonts w:asciiTheme="minorHAnsi" w:hAnsiTheme="minorHAnsi" w:cstheme="minorHAnsi"/>
                <w:bCs/>
              </w:rPr>
              <w:t xml:space="preserve"> information to be sought from DMS to share with pupils and families.</w:t>
            </w:r>
          </w:p>
        </w:tc>
        <w:tc>
          <w:tcPr>
            <w:tcW w:w="830" w:type="pct"/>
            <w:shd w:val="clear" w:color="auto" w:fill="auto"/>
            <w:vAlign w:val="center"/>
          </w:tcPr>
          <w:p w14:paraId="59B123BE" w14:textId="7B774AFB" w:rsidR="00F342B2" w:rsidRPr="00F8478B" w:rsidRDefault="00DA6FAB" w:rsidP="00DA6FAB">
            <w:pPr>
              <w:spacing w:before="100" w:after="100" w:line="276" w:lineRule="auto"/>
              <w:rPr>
                <w:rFonts w:asciiTheme="minorHAnsi" w:hAnsiTheme="minorHAnsi" w:cstheme="minorHAnsi"/>
                <w:bCs/>
              </w:rPr>
            </w:pPr>
            <w:r>
              <w:rPr>
                <w:rFonts w:asciiTheme="minorHAnsi" w:hAnsiTheme="minorHAnsi" w:cstheme="minorHAnsi"/>
                <w:bCs/>
              </w:rPr>
              <w:t>Children more aware of potential qualifications</w:t>
            </w:r>
          </w:p>
        </w:tc>
        <w:tc>
          <w:tcPr>
            <w:tcW w:w="732" w:type="pct"/>
            <w:shd w:val="clear" w:color="auto" w:fill="auto"/>
            <w:vAlign w:val="center"/>
          </w:tcPr>
          <w:p w14:paraId="6E7E4FF8" w14:textId="2C2A31A9" w:rsidR="00F342B2" w:rsidRPr="00DA6FAB" w:rsidRDefault="00DA6FAB" w:rsidP="00DA6FAB">
            <w:pPr>
              <w:ind w:right="83"/>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7ECEC11F" w14:textId="361D0047" w:rsidR="00F342B2" w:rsidRPr="00DA6FAB" w:rsidRDefault="00DA6FAB" w:rsidP="00DA6FAB">
            <w:pPr>
              <w:ind w:right="86"/>
              <w:rPr>
                <w:rFonts w:asciiTheme="minorHAnsi" w:hAnsiTheme="minorHAnsi" w:cstheme="minorHAnsi"/>
                <w:b/>
                <w:bCs/>
              </w:rPr>
            </w:pPr>
            <w:r>
              <w:rPr>
                <w:rFonts w:asciiTheme="minorHAnsi" w:hAnsiTheme="minorHAnsi" w:cstheme="minorHAnsi"/>
                <w:b/>
                <w:bCs/>
              </w:rPr>
              <w:t>By December 24</w:t>
            </w:r>
          </w:p>
        </w:tc>
      </w:tr>
      <w:tr w:rsidR="00F342B2" w:rsidRPr="00F8478B" w14:paraId="40190D74" w14:textId="77777777" w:rsidTr="007E4594">
        <w:tblPrEx>
          <w:tblLook w:val="0620" w:firstRow="1" w:lastRow="0" w:firstColumn="0" w:lastColumn="0" w:noHBand="1" w:noVBand="1"/>
        </w:tblPrEx>
        <w:trPr>
          <w:trHeight w:val="1205"/>
        </w:trPr>
        <w:tc>
          <w:tcPr>
            <w:tcW w:w="973" w:type="pct"/>
            <w:shd w:val="clear" w:color="auto" w:fill="auto"/>
            <w:vAlign w:val="center"/>
          </w:tcPr>
          <w:p w14:paraId="0E8D06E3" w14:textId="42502353" w:rsidR="00F342B2" w:rsidRPr="00DA6FAB" w:rsidRDefault="00F342B2" w:rsidP="00836A0A">
            <w:pPr>
              <w:tabs>
                <w:tab w:val="left" w:pos="1560"/>
              </w:tabs>
              <w:spacing w:before="100" w:after="100" w:line="276" w:lineRule="auto"/>
              <w:jc w:val="both"/>
              <w:rPr>
                <w:rFonts w:asciiTheme="minorHAnsi" w:hAnsiTheme="minorHAnsi" w:cstheme="minorHAnsi"/>
              </w:rPr>
            </w:pPr>
            <w:r w:rsidRPr="00DA6FAB">
              <w:rPr>
                <w:rFonts w:asciiTheme="minorHAnsi" w:hAnsiTheme="minorHAnsi" w:cstheme="minorHAnsi"/>
              </w:rPr>
              <w:t>What instruments are offered for extra-curricular activities, and what is the charging and remissions information for this?</w:t>
            </w:r>
          </w:p>
        </w:tc>
        <w:tc>
          <w:tcPr>
            <w:tcW w:w="1953" w:type="pct"/>
            <w:gridSpan w:val="2"/>
            <w:shd w:val="clear" w:color="auto" w:fill="auto"/>
          </w:tcPr>
          <w:p w14:paraId="15A2931B" w14:textId="77777777" w:rsidR="00F342B2" w:rsidRPr="00DA6FAB" w:rsidRDefault="007E4594" w:rsidP="007E4594">
            <w:pPr>
              <w:spacing w:before="100" w:after="100"/>
              <w:rPr>
                <w:rFonts w:asciiTheme="minorHAnsi" w:hAnsiTheme="minorHAnsi" w:cstheme="minorHAnsi"/>
              </w:rPr>
            </w:pPr>
            <w:r w:rsidRPr="00DA6FAB">
              <w:rPr>
                <w:rFonts w:asciiTheme="minorHAnsi" w:hAnsiTheme="minorHAnsi" w:cstheme="minorHAnsi"/>
              </w:rPr>
              <w:t xml:space="preserve">At St William’s children have access to </w:t>
            </w:r>
            <w:proofErr w:type="spellStart"/>
            <w:r w:rsidRPr="00DA6FAB">
              <w:rPr>
                <w:rFonts w:asciiTheme="minorHAnsi" w:hAnsiTheme="minorHAnsi" w:cstheme="minorHAnsi"/>
              </w:rPr>
              <w:t>extra curricular</w:t>
            </w:r>
            <w:proofErr w:type="spellEnd"/>
            <w:r w:rsidRPr="00DA6FAB">
              <w:rPr>
                <w:rFonts w:asciiTheme="minorHAnsi" w:hAnsiTheme="minorHAnsi" w:cstheme="minorHAnsi"/>
              </w:rPr>
              <w:t xml:space="preserve"> activities with the following instruments:</w:t>
            </w:r>
          </w:p>
          <w:p w14:paraId="70BC4526" w14:textId="34773BF1" w:rsidR="007E4594" w:rsidRPr="00DA6FAB" w:rsidRDefault="007E4594" w:rsidP="007E4594">
            <w:pPr>
              <w:spacing w:before="100" w:after="100"/>
              <w:rPr>
                <w:rFonts w:asciiTheme="minorHAnsi" w:hAnsiTheme="minorHAnsi" w:cstheme="minorHAnsi"/>
              </w:rPr>
            </w:pPr>
            <w:r w:rsidRPr="00DA6FAB">
              <w:rPr>
                <w:rFonts w:asciiTheme="minorHAnsi" w:hAnsiTheme="minorHAnsi" w:cstheme="minorHAnsi"/>
              </w:rPr>
              <w:t>Flute</w:t>
            </w:r>
          </w:p>
          <w:p w14:paraId="423C96C7" w14:textId="748FB5D9" w:rsidR="007E4594" w:rsidRPr="00DA6FAB" w:rsidRDefault="007E4594" w:rsidP="007E4594">
            <w:pPr>
              <w:spacing w:before="100" w:after="100"/>
              <w:rPr>
                <w:rFonts w:asciiTheme="minorHAnsi" w:hAnsiTheme="minorHAnsi" w:cstheme="minorHAnsi"/>
              </w:rPr>
            </w:pPr>
            <w:r w:rsidRPr="00DA6FAB">
              <w:rPr>
                <w:rFonts w:asciiTheme="minorHAnsi" w:hAnsiTheme="minorHAnsi" w:cstheme="minorHAnsi"/>
              </w:rPr>
              <w:t>Clarinet</w:t>
            </w:r>
          </w:p>
          <w:p w14:paraId="491B8130" w14:textId="5EDB5445" w:rsidR="007E4594" w:rsidRPr="00DA6FAB" w:rsidRDefault="00582CA0" w:rsidP="007E4594">
            <w:pPr>
              <w:spacing w:before="100" w:after="100"/>
              <w:rPr>
                <w:rFonts w:asciiTheme="minorHAnsi" w:hAnsiTheme="minorHAnsi" w:cstheme="minorHAnsi"/>
              </w:rPr>
            </w:pPr>
            <w:r w:rsidRPr="00DA6FAB">
              <w:rPr>
                <w:rFonts w:asciiTheme="minorHAnsi" w:hAnsiTheme="minorHAnsi" w:cstheme="minorHAnsi"/>
              </w:rPr>
              <w:t>Ukulele</w:t>
            </w:r>
          </w:p>
          <w:p w14:paraId="36CC1BCD" w14:textId="77777777" w:rsidR="007E4594" w:rsidRPr="00DA6FAB" w:rsidRDefault="00582CA0" w:rsidP="007E4594">
            <w:pPr>
              <w:spacing w:before="100" w:after="100"/>
              <w:rPr>
                <w:rFonts w:asciiTheme="minorHAnsi" w:hAnsiTheme="minorHAnsi" w:cstheme="minorHAnsi"/>
              </w:rPr>
            </w:pPr>
            <w:r w:rsidRPr="00DA6FAB">
              <w:rPr>
                <w:rFonts w:asciiTheme="minorHAnsi" w:hAnsiTheme="minorHAnsi" w:cstheme="minorHAnsi"/>
              </w:rPr>
              <w:t xml:space="preserve">School led </w:t>
            </w:r>
            <w:proofErr w:type="spellStart"/>
            <w:r w:rsidRPr="00DA6FAB">
              <w:rPr>
                <w:rFonts w:asciiTheme="minorHAnsi" w:hAnsiTheme="minorHAnsi" w:cstheme="minorHAnsi"/>
              </w:rPr>
              <w:t>extra curricular</w:t>
            </w:r>
            <w:proofErr w:type="spellEnd"/>
            <w:r w:rsidRPr="00DA6FAB">
              <w:rPr>
                <w:rFonts w:asciiTheme="minorHAnsi" w:hAnsiTheme="minorHAnsi" w:cstheme="minorHAnsi"/>
              </w:rPr>
              <w:t xml:space="preserve"> options are charged at £2 per session.</w:t>
            </w:r>
          </w:p>
          <w:p w14:paraId="2553AA53" w14:textId="36C83965" w:rsidR="00582CA0" w:rsidRPr="00DA6FAB" w:rsidRDefault="00582CA0" w:rsidP="007E4594">
            <w:pPr>
              <w:spacing w:before="100" w:after="100"/>
              <w:rPr>
                <w:rFonts w:asciiTheme="minorHAnsi" w:hAnsiTheme="minorHAnsi" w:cstheme="minorHAnsi"/>
              </w:rPr>
            </w:pPr>
            <w:r w:rsidRPr="00DA6FAB">
              <w:rPr>
                <w:rFonts w:asciiTheme="minorHAnsi" w:hAnsiTheme="minorHAnsi" w:cstheme="minorHAnsi"/>
              </w:rPr>
              <w:t>Provision organised by Durham Music Service is charged at £64 per term.</w:t>
            </w:r>
          </w:p>
        </w:tc>
        <w:tc>
          <w:tcPr>
            <w:tcW w:w="830" w:type="pct"/>
            <w:shd w:val="clear" w:color="auto" w:fill="auto"/>
            <w:vAlign w:val="center"/>
          </w:tcPr>
          <w:p w14:paraId="534DFA18" w14:textId="75D32E26" w:rsidR="00F342B2" w:rsidRPr="00DA6FAB" w:rsidRDefault="00DA6FAB" w:rsidP="00DA6FAB">
            <w:pPr>
              <w:spacing w:before="100" w:after="100" w:line="276" w:lineRule="auto"/>
              <w:rPr>
                <w:rFonts w:asciiTheme="minorHAnsi" w:hAnsiTheme="minorHAnsi" w:cstheme="minorHAnsi"/>
              </w:rPr>
            </w:pPr>
            <w:r w:rsidRPr="00DA6FAB">
              <w:rPr>
                <w:rFonts w:asciiTheme="minorHAnsi" w:hAnsiTheme="minorHAnsi" w:cstheme="minorHAnsi"/>
              </w:rPr>
              <w:t xml:space="preserve">Increase in the </w:t>
            </w:r>
            <w:proofErr w:type="spellStart"/>
            <w:r w:rsidRPr="00DA6FAB">
              <w:rPr>
                <w:rFonts w:asciiTheme="minorHAnsi" w:hAnsiTheme="minorHAnsi" w:cstheme="minorHAnsi"/>
              </w:rPr>
              <w:t>numberof</w:t>
            </w:r>
            <w:proofErr w:type="spellEnd"/>
            <w:r w:rsidRPr="00DA6FAB">
              <w:rPr>
                <w:rFonts w:asciiTheme="minorHAnsi" w:hAnsiTheme="minorHAnsi" w:cstheme="minorHAnsi"/>
              </w:rPr>
              <w:t xml:space="preserve"> children accessing </w:t>
            </w:r>
            <w:proofErr w:type="spellStart"/>
            <w:r w:rsidRPr="00DA6FAB">
              <w:rPr>
                <w:rFonts w:asciiTheme="minorHAnsi" w:hAnsiTheme="minorHAnsi" w:cstheme="minorHAnsi"/>
              </w:rPr>
              <w:t>extra curricular</w:t>
            </w:r>
            <w:proofErr w:type="spellEnd"/>
            <w:r w:rsidRPr="00DA6FAB">
              <w:rPr>
                <w:rFonts w:asciiTheme="minorHAnsi" w:hAnsiTheme="minorHAnsi" w:cstheme="minorHAnsi"/>
              </w:rPr>
              <w:t xml:space="preserve"> instrument tuition.</w:t>
            </w:r>
          </w:p>
        </w:tc>
        <w:tc>
          <w:tcPr>
            <w:tcW w:w="732" w:type="pct"/>
            <w:shd w:val="clear" w:color="auto" w:fill="auto"/>
            <w:vAlign w:val="center"/>
          </w:tcPr>
          <w:p w14:paraId="648D48AF"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1B2A4801"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7C4CA812" w14:textId="77777777" w:rsidTr="007E4594">
        <w:tblPrEx>
          <w:tblLook w:val="0620" w:firstRow="1" w:lastRow="0" w:firstColumn="0" w:lastColumn="0" w:noHBand="1" w:noVBand="1"/>
        </w:tblPrEx>
        <w:trPr>
          <w:trHeight w:val="1205"/>
        </w:trPr>
        <w:tc>
          <w:tcPr>
            <w:tcW w:w="973" w:type="pct"/>
            <w:shd w:val="clear" w:color="auto" w:fill="auto"/>
            <w:vAlign w:val="center"/>
          </w:tcPr>
          <w:p w14:paraId="1C25F2BC" w14:textId="09164F2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How can pupils join choirs or ensembles, and what is the charging and remissions information for this? </w:t>
            </w:r>
          </w:p>
        </w:tc>
        <w:tc>
          <w:tcPr>
            <w:tcW w:w="1953" w:type="pct"/>
            <w:gridSpan w:val="2"/>
            <w:shd w:val="clear" w:color="auto" w:fill="auto"/>
            <w:vAlign w:val="center"/>
          </w:tcPr>
          <w:p w14:paraId="67956BFE" w14:textId="77777777" w:rsidR="00F342B2" w:rsidRDefault="00582CA0" w:rsidP="007E4594">
            <w:pPr>
              <w:spacing w:before="100" w:after="100"/>
              <w:rPr>
                <w:rFonts w:asciiTheme="minorHAnsi" w:hAnsiTheme="minorHAnsi" w:cstheme="minorHAnsi"/>
                <w:bCs/>
              </w:rPr>
            </w:pPr>
            <w:r>
              <w:rPr>
                <w:rFonts w:asciiTheme="minorHAnsi" w:hAnsiTheme="minorHAnsi" w:cstheme="minorHAnsi"/>
                <w:bCs/>
              </w:rPr>
              <w:t>Choir is currently open to all children in Key Stage 2 – 71 children</w:t>
            </w:r>
          </w:p>
          <w:p w14:paraId="798CDCC0" w14:textId="72BE80DA" w:rsidR="00582CA0" w:rsidRPr="00F8478B" w:rsidRDefault="00582CA0" w:rsidP="007E4594">
            <w:pPr>
              <w:spacing w:before="100" w:after="100"/>
              <w:rPr>
                <w:rFonts w:asciiTheme="minorHAnsi" w:hAnsiTheme="minorHAnsi" w:cstheme="minorHAnsi"/>
                <w:bCs/>
              </w:rPr>
            </w:pPr>
            <w:r>
              <w:rPr>
                <w:rFonts w:asciiTheme="minorHAnsi" w:hAnsiTheme="minorHAnsi" w:cstheme="minorHAnsi"/>
                <w:bCs/>
              </w:rPr>
              <w:t>Cost i</w:t>
            </w:r>
            <w:r w:rsidR="00DA6FAB">
              <w:rPr>
                <w:rFonts w:asciiTheme="minorHAnsi" w:hAnsiTheme="minorHAnsi" w:cstheme="minorHAnsi"/>
                <w:bCs/>
              </w:rPr>
              <w:t>s</w:t>
            </w:r>
            <w:r>
              <w:rPr>
                <w:rFonts w:asciiTheme="minorHAnsi" w:hAnsiTheme="minorHAnsi" w:cstheme="minorHAnsi"/>
                <w:bCs/>
              </w:rPr>
              <w:t xml:space="preserve"> £2 per session</w:t>
            </w:r>
          </w:p>
        </w:tc>
        <w:tc>
          <w:tcPr>
            <w:tcW w:w="830" w:type="pct"/>
            <w:shd w:val="clear" w:color="auto" w:fill="auto"/>
            <w:vAlign w:val="center"/>
          </w:tcPr>
          <w:p w14:paraId="76DDD6BB" w14:textId="54206343"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563EB67E"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EEBEF6B"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1C20AE9" w14:textId="77777777" w:rsidTr="007E4594">
        <w:tblPrEx>
          <w:tblLook w:val="0620" w:firstRow="1" w:lastRow="0" w:firstColumn="0" w:lastColumn="0" w:noHBand="1" w:noVBand="1"/>
        </w:tblPrEx>
        <w:trPr>
          <w:trHeight w:val="1205"/>
        </w:trPr>
        <w:tc>
          <w:tcPr>
            <w:tcW w:w="973" w:type="pct"/>
            <w:shd w:val="clear" w:color="auto" w:fill="auto"/>
            <w:vAlign w:val="center"/>
          </w:tcPr>
          <w:p w14:paraId="23D8B054" w14:textId="3E4484A7"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Where can pupils rehearse or practice individually or as part of a group?</w:t>
            </w:r>
          </w:p>
        </w:tc>
        <w:tc>
          <w:tcPr>
            <w:tcW w:w="1953" w:type="pct"/>
            <w:gridSpan w:val="2"/>
            <w:shd w:val="clear" w:color="auto" w:fill="auto"/>
            <w:vAlign w:val="center"/>
          </w:tcPr>
          <w:p w14:paraId="2FD0CC8C" w14:textId="73B69F0B" w:rsidR="00F342B2" w:rsidRPr="00F8478B" w:rsidRDefault="00DA6FAB" w:rsidP="00DA6FAB">
            <w:pPr>
              <w:spacing w:before="100" w:after="100"/>
              <w:rPr>
                <w:rFonts w:asciiTheme="minorHAnsi" w:hAnsiTheme="minorHAnsi" w:cstheme="minorHAnsi"/>
                <w:bCs/>
              </w:rPr>
            </w:pPr>
            <w:r>
              <w:rPr>
                <w:rFonts w:asciiTheme="minorHAnsi" w:hAnsiTheme="minorHAnsi" w:cstheme="minorHAnsi"/>
                <w:bCs/>
              </w:rPr>
              <w:t>School hall, classrooms, playground.</w:t>
            </w:r>
          </w:p>
        </w:tc>
        <w:tc>
          <w:tcPr>
            <w:tcW w:w="830" w:type="pct"/>
            <w:shd w:val="clear" w:color="auto" w:fill="auto"/>
            <w:vAlign w:val="center"/>
          </w:tcPr>
          <w:p w14:paraId="6ABF5C0C" w14:textId="77777777" w:rsidR="00F342B2" w:rsidRDefault="00F342B2" w:rsidP="00F71EDF">
            <w:pPr>
              <w:spacing w:before="100" w:after="100" w:line="276" w:lineRule="auto"/>
              <w:jc w:val="center"/>
              <w:rPr>
                <w:rFonts w:asciiTheme="minorHAnsi" w:hAnsiTheme="minorHAnsi" w:cstheme="minorHAnsi"/>
                <w:bCs/>
              </w:rPr>
            </w:pPr>
          </w:p>
          <w:p w14:paraId="5BE4AA45" w14:textId="77777777" w:rsidR="00DA6FAB" w:rsidRDefault="00DA6FAB" w:rsidP="00F71EDF">
            <w:pPr>
              <w:spacing w:before="100" w:after="100" w:line="276" w:lineRule="auto"/>
              <w:jc w:val="center"/>
              <w:rPr>
                <w:rFonts w:asciiTheme="minorHAnsi" w:hAnsiTheme="minorHAnsi" w:cstheme="minorHAnsi"/>
                <w:bCs/>
              </w:rPr>
            </w:pPr>
          </w:p>
          <w:p w14:paraId="32E41327" w14:textId="77777777" w:rsidR="00DA6FAB" w:rsidRDefault="00DA6FAB" w:rsidP="00F71EDF">
            <w:pPr>
              <w:spacing w:before="100" w:after="100" w:line="276" w:lineRule="auto"/>
              <w:jc w:val="center"/>
              <w:rPr>
                <w:rFonts w:asciiTheme="minorHAnsi" w:hAnsiTheme="minorHAnsi" w:cstheme="minorHAnsi"/>
                <w:bCs/>
              </w:rPr>
            </w:pPr>
          </w:p>
          <w:p w14:paraId="37A91E14" w14:textId="77777777" w:rsidR="00DA6FAB" w:rsidRDefault="00DA6FAB" w:rsidP="00F71EDF">
            <w:pPr>
              <w:spacing w:before="100" w:after="100" w:line="276" w:lineRule="auto"/>
              <w:jc w:val="center"/>
              <w:rPr>
                <w:rFonts w:asciiTheme="minorHAnsi" w:hAnsiTheme="minorHAnsi" w:cstheme="minorHAnsi"/>
                <w:bCs/>
              </w:rPr>
            </w:pPr>
          </w:p>
          <w:p w14:paraId="37BB65BA" w14:textId="77777777" w:rsidR="00DA6FAB" w:rsidRDefault="00DA6FAB" w:rsidP="00F71EDF">
            <w:pPr>
              <w:spacing w:before="100" w:after="100" w:line="276" w:lineRule="auto"/>
              <w:jc w:val="center"/>
              <w:rPr>
                <w:rFonts w:asciiTheme="minorHAnsi" w:hAnsiTheme="minorHAnsi" w:cstheme="minorHAnsi"/>
                <w:bCs/>
              </w:rPr>
            </w:pPr>
          </w:p>
          <w:p w14:paraId="7AA99478" w14:textId="77777777" w:rsidR="00DA6FAB" w:rsidRDefault="00DA6FAB" w:rsidP="00F71EDF">
            <w:pPr>
              <w:spacing w:before="100" w:after="100" w:line="276" w:lineRule="auto"/>
              <w:jc w:val="center"/>
              <w:rPr>
                <w:rFonts w:asciiTheme="minorHAnsi" w:hAnsiTheme="minorHAnsi" w:cstheme="minorHAnsi"/>
                <w:bCs/>
              </w:rPr>
            </w:pPr>
          </w:p>
          <w:p w14:paraId="7B43106C" w14:textId="77777777" w:rsidR="00DA6FAB" w:rsidRDefault="00DA6FAB" w:rsidP="00F71EDF">
            <w:pPr>
              <w:spacing w:before="100" w:after="100" w:line="276" w:lineRule="auto"/>
              <w:jc w:val="center"/>
              <w:rPr>
                <w:rFonts w:asciiTheme="minorHAnsi" w:hAnsiTheme="minorHAnsi" w:cstheme="minorHAnsi"/>
                <w:bCs/>
              </w:rPr>
            </w:pPr>
          </w:p>
          <w:p w14:paraId="04D89579" w14:textId="77777777" w:rsidR="00DA6FAB" w:rsidRDefault="00DA6FAB" w:rsidP="00F71EDF">
            <w:pPr>
              <w:spacing w:before="100" w:after="100" w:line="276" w:lineRule="auto"/>
              <w:jc w:val="center"/>
              <w:rPr>
                <w:rFonts w:asciiTheme="minorHAnsi" w:hAnsiTheme="minorHAnsi" w:cstheme="minorHAnsi"/>
                <w:bCs/>
              </w:rPr>
            </w:pPr>
          </w:p>
          <w:p w14:paraId="4AF14EAC" w14:textId="56DA0402" w:rsidR="00DA6FAB" w:rsidRPr="00F8478B" w:rsidRDefault="00DA6FAB"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6377C520"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4D24587"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0C216C91" w14:textId="77777777" w:rsidTr="007E4594">
        <w:trPr>
          <w:cantSplit/>
          <w:trHeight w:val="20"/>
          <w:tblHeader/>
        </w:trPr>
        <w:tc>
          <w:tcPr>
            <w:tcW w:w="5000" w:type="pct"/>
            <w:gridSpan w:val="6"/>
            <w:tcBorders>
              <w:bottom w:val="single" w:sz="4" w:space="0" w:color="auto"/>
            </w:tcBorders>
            <w:shd w:val="clear" w:color="auto" w:fill="041E42"/>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lastRenderedPageBreak/>
              <w:t>Part C: Musical experiences</w:t>
            </w:r>
          </w:p>
        </w:tc>
      </w:tr>
      <w:tr w:rsidR="00F342B2" w:rsidRPr="00F8478B" w14:paraId="2AA0D452" w14:textId="77777777" w:rsidTr="007E4594">
        <w:trPr>
          <w:cantSplit/>
          <w:trHeight w:val="20"/>
          <w:tblHead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07E4594">
        <w:trPr>
          <w:trHeight w:val="1205"/>
        </w:trPr>
        <w:tc>
          <w:tcPr>
            <w:tcW w:w="973" w:type="pct"/>
            <w:shd w:val="clear" w:color="auto" w:fill="auto"/>
            <w:vAlign w:val="center"/>
          </w:tcPr>
          <w:p w14:paraId="76FE18F0" w14:textId="6CBC61F2"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musical experiences are planned for the academic year?</w:t>
            </w:r>
          </w:p>
        </w:tc>
        <w:tc>
          <w:tcPr>
            <w:tcW w:w="1953" w:type="pct"/>
            <w:gridSpan w:val="2"/>
            <w:shd w:val="clear" w:color="auto" w:fill="auto"/>
            <w:vAlign w:val="center"/>
          </w:tcPr>
          <w:p w14:paraId="4B4FBE02" w14:textId="77777777" w:rsidR="00F342B2" w:rsidRPr="00D17E3C" w:rsidRDefault="00D17E3C" w:rsidP="00D17E3C">
            <w:pPr>
              <w:spacing w:before="100" w:after="100"/>
              <w:rPr>
                <w:rFonts w:asciiTheme="minorHAnsi" w:hAnsiTheme="minorHAnsi" w:cstheme="minorHAnsi"/>
                <w:shd w:val="clear" w:color="auto" w:fill="ECECEC" w:themeFill="background2"/>
              </w:rPr>
            </w:pPr>
            <w:r w:rsidRPr="00D17E3C">
              <w:rPr>
                <w:rFonts w:asciiTheme="minorHAnsi" w:hAnsiTheme="minorHAnsi" w:cstheme="minorHAnsi"/>
                <w:shd w:val="clear" w:color="auto" w:fill="ECECEC" w:themeFill="background2"/>
              </w:rPr>
              <w:t>Pantomime Trip</w:t>
            </w:r>
          </w:p>
          <w:p w14:paraId="17818919" w14:textId="77777777" w:rsidR="00D17E3C" w:rsidRPr="00D17E3C" w:rsidRDefault="00D17E3C" w:rsidP="00D17E3C">
            <w:pPr>
              <w:spacing w:before="100" w:after="100"/>
              <w:rPr>
                <w:rFonts w:asciiTheme="minorHAnsi" w:hAnsiTheme="minorHAnsi" w:cstheme="minorHAnsi"/>
                <w:bCs/>
              </w:rPr>
            </w:pPr>
            <w:r w:rsidRPr="00D17E3C">
              <w:rPr>
                <w:rFonts w:asciiTheme="minorHAnsi" w:hAnsiTheme="minorHAnsi" w:cstheme="minorHAnsi"/>
                <w:bCs/>
              </w:rPr>
              <w:t>Visiting Singers</w:t>
            </w:r>
          </w:p>
          <w:p w14:paraId="3E4A3BAC" w14:textId="32FD59BD" w:rsidR="00D17E3C" w:rsidRPr="00F8478B" w:rsidRDefault="00D17E3C" w:rsidP="00D17E3C">
            <w:pPr>
              <w:spacing w:before="100" w:after="100"/>
              <w:rPr>
                <w:rFonts w:asciiTheme="minorHAnsi" w:hAnsiTheme="minorHAnsi" w:cstheme="minorHAnsi"/>
                <w:bCs/>
              </w:rPr>
            </w:pPr>
            <w:r w:rsidRPr="00D17E3C">
              <w:rPr>
                <w:rFonts w:asciiTheme="minorHAnsi" w:hAnsiTheme="minorHAnsi" w:cstheme="minorHAnsi"/>
                <w:bCs/>
              </w:rPr>
              <w:t>St William’s Got Talent</w:t>
            </w:r>
          </w:p>
        </w:tc>
        <w:tc>
          <w:tcPr>
            <w:tcW w:w="830" w:type="pct"/>
            <w:shd w:val="clear" w:color="auto" w:fill="auto"/>
            <w:vAlign w:val="center"/>
          </w:tcPr>
          <w:p w14:paraId="0D0FB683" w14:textId="19F9D12E" w:rsidR="00F342B2" w:rsidRPr="00F8478B" w:rsidRDefault="00DA6FAB" w:rsidP="00DA6FAB">
            <w:pPr>
              <w:spacing w:before="100" w:after="100" w:line="276" w:lineRule="auto"/>
              <w:rPr>
                <w:rFonts w:asciiTheme="minorHAnsi" w:hAnsiTheme="minorHAnsi" w:cstheme="minorHAnsi"/>
                <w:bCs/>
              </w:rPr>
            </w:pPr>
            <w:r>
              <w:rPr>
                <w:rFonts w:asciiTheme="minorHAnsi" w:hAnsiTheme="minorHAnsi" w:cstheme="minorHAnsi"/>
                <w:bCs/>
              </w:rPr>
              <w:t>Pupil voice – pupils speaking positively about these events</w:t>
            </w:r>
          </w:p>
        </w:tc>
        <w:tc>
          <w:tcPr>
            <w:tcW w:w="732" w:type="pct"/>
            <w:shd w:val="clear" w:color="auto" w:fill="auto"/>
            <w:vAlign w:val="center"/>
          </w:tcPr>
          <w:p w14:paraId="676521BE"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DCC5F99"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54C67CB" w14:textId="77777777" w:rsidTr="007E4594">
        <w:trPr>
          <w:trHeight w:val="1205"/>
        </w:trPr>
        <w:tc>
          <w:tcPr>
            <w:tcW w:w="973" w:type="pct"/>
            <w:shd w:val="clear" w:color="auto" w:fill="auto"/>
            <w:vAlign w:val="center"/>
          </w:tcPr>
          <w:p w14:paraId="7EDB476E" w14:textId="706793A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How can pupils get involved with musical performances and concerts in and outside of the school?</w:t>
            </w:r>
          </w:p>
        </w:tc>
        <w:tc>
          <w:tcPr>
            <w:tcW w:w="1953" w:type="pct"/>
            <w:gridSpan w:val="2"/>
            <w:shd w:val="clear" w:color="auto" w:fill="auto"/>
            <w:vAlign w:val="center"/>
          </w:tcPr>
          <w:p w14:paraId="23AE438E" w14:textId="61D071AD" w:rsidR="00F342B2" w:rsidRPr="00F8478B" w:rsidRDefault="00D17E3C" w:rsidP="00D17E3C">
            <w:pPr>
              <w:spacing w:before="100" w:after="100"/>
              <w:rPr>
                <w:rFonts w:asciiTheme="minorHAnsi" w:hAnsiTheme="minorHAnsi" w:cstheme="minorHAnsi"/>
                <w:bCs/>
              </w:rPr>
            </w:pPr>
            <w:r>
              <w:rPr>
                <w:rFonts w:asciiTheme="minorHAnsi" w:hAnsiTheme="minorHAnsi" w:cstheme="minorHAnsi"/>
                <w:bCs/>
              </w:rPr>
              <w:t xml:space="preserve">All children in school who express an interest are able to participate in performances and </w:t>
            </w:r>
            <w:proofErr w:type="spellStart"/>
            <w:r>
              <w:rPr>
                <w:rFonts w:asciiTheme="minorHAnsi" w:hAnsiTheme="minorHAnsi" w:cstheme="minorHAnsi"/>
                <w:bCs/>
              </w:rPr>
              <w:t>extra curricular</w:t>
            </w:r>
            <w:proofErr w:type="spellEnd"/>
            <w:r>
              <w:rPr>
                <w:rFonts w:asciiTheme="minorHAnsi" w:hAnsiTheme="minorHAnsi" w:cstheme="minorHAnsi"/>
                <w:bCs/>
              </w:rPr>
              <w:t xml:space="preserve"> opportunities.</w:t>
            </w:r>
          </w:p>
        </w:tc>
        <w:tc>
          <w:tcPr>
            <w:tcW w:w="830" w:type="pct"/>
            <w:shd w:val="clear" w:color="auto" w:fill="auto"/>
            <w:vAlign w:val="center"/>
          </w:tcPr>
          <w:p w14:paraId="3D503D7F" w14:textId="4E62BAB5" w:rsidR="00F342B2" w:rsidRPr="00F8478B" w:rsidRDefault="00DA6FAB" w:rsidP="00DA6FAB">
            <w:pPr>
              <w:spacing w:before="100" w:after="100" w:line="276" w:lineRule="auto"/>
              <w:rPr>
                <w:rFonts w:asciiTheme="minorHAnsi" w:hAnsiTheme="minorHAnsi" w:cstheme="minorHAnsi"/>
                <w:bCs/>
              </w:rPr>
            </w:pPr>
            <w:r>
              <w:rPr>
                <w:rFonts w:asciiTheme="minorHAnsi" w:hAnsiTheme="minorHAnsi" w:cstheme="minorHAnsi"/>
                <w:bCs/>
              </w:rPr>
              <w:t xml:space="preserve">Range of children including PP and SEN accessing </w:t>
            </w:r>
          </w:p>
        </w:tc>
        <w:tc>
          <w:tcPr>
            <w:tcW w:w="732" w:type="pct"/>
            <w:shd w:val="clear" w:color="auto" w:fill="auto"/>
            <w:vAlign w:val="center"/>
          </w:tcPr>
          <w:p w14:paraId="1746D2B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130DD90C"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03E5183A" w14:textId="77777777" w:rsidTr="00D17E3C">
        <w:trPr>
          <w:trHeight w:val="1269"/>
        </w:trPr>
        <w:tc>
          <w:tcPr>
            <w:tcW w:w="973" w:type="pct"/>
            <w:shd w:val="clear" w:color="auto" w:fill="auto"/>
            <w:vAlign w:val="center"/>
          </w:tcPr>
          <w:p w14:paraId="2F36A6B2" w14:textId="6E14401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vAlign w:val="center"/>
          </w:tcPr>
          <w:p w14:paraId="73A2EA1E" w14:textId="484CCFF3" w:rsidR="00F342B2" w:rsidRPr="00F8478B" w:rsidRDefault="00D17E3C" w:rsidP="00D17E3C">
            <w:pPr>
              <w:spacing w:before="100" w:after="100"/>
              <w:rPr>
                <w:rFonts w:asciiTheme="minorHAnsi" w:hAnsiTheme="minorHAnsi" w:cstheme="minorHAnsi"/>
                <w:bCs/>
              </w:rPr>
            </w:pPr>
            <w:r>
              <w:rPr>
                <w:rFonts w:asciiTheme="minorHAnsi" w:hAnsiTheme="minorHAnsi" w:cstheme="minorHAnsi"/>
                <w:bCs/>
              </w:rPr>
              <w:t>Pupil Premium children are subsidised for musical opportunities.</w:t>
            </w:r>
          </w:p>
        </w:tc>
        <w:tc>
          <w:tcPr>
            <w:tcW w:w="830" w:type="pct"/>
            <w:shd w:val="clear" w:color="auto" w:fill="auto"/>
            <w:vAlign w:val="center"/>
          </w:tcPr>
          <w:p w14:paraId="5EA5CD3C" w14:textId="2826CD68"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5C7C83C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FD7C674"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6693E" w:rsidRPr="00F8478B" w14:paraId="77F8F264" w14:textId="77777777" w:rsidTr="007E4594">
        <w:trPr>
          <w:trHeight w:val="1205"/>
        </w:trPr>
        <w:tc>
          <w:tcPr>
            <w:tcW w:w="973" w:type="pct"/>
            <w:shd w:val="clear" w:color="auto" w:fill="auto"/>
            <w:vAlign w:val="center"/>
          </w:tcPr>
          <w:p w14:paraId="5A725207" w14:textId="4C3A6D81" w:rsidR="00F6693E" w:rsidRPr="00F8478B" w:rsidRDefault="00F6693E" w:rsidP="00434A1C">
            <w:pPr>
              <w:tabs>
                <w:tab w:val="left" w:pos="1560"/>
              </w:tabs>
              <w:spacing w:before="100" w:after="100"/>
              <w:jc w:val="both"/>
              <w:rPr>
                <w:rFonts w:asciiTheme="minorHAnsi" w:hAnsiTheme="minorHAnsi" w:cstheme="minorHAnsi"/>
              </w:rPr>
            </w:pPr>
            <w:r>
              <w:rPr>
                <w:rFonts w:asciiTheme="minorHAnsi" w:hAnsiTheme="minorHAnsi" w:cstheme="minorHAnsi"/>
              </w:rPr>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6EC1B972" w14:textId="3CA19350" w:rsidR="00F6693E" w:rsidRPr="00DA6FAB" w:rsidRDefault="00F6693E" w:rsidP="00F6693E">
            <w:pPr>
              <w:spacing w:before="100" w:after="100"/>
              <w:jc w:val="both"/>
              <w:rPr>
                <w:rFonts w:asciiTheme="minorHAnsi" w:hAnsiTheme="minorHAnsi" w:cstheme="minorHAnsi"/>
                <w:b/>
                <w:shd w:val="clear" w:color="auto" w:fill="ECECEC" w:themeFill="background2"/>
              </w:rPr>
            </w:pPr>
            <w:proofErr w:type="gramStart"/>
            <w:r w:rsidRPr="00DA6FAB">
              <w:rPr>
                <w:rFonts w:ascii="Calibri" w:eastAsia="Calibri" w:hAnsi="Calibri" w:cs="Calibri"/>
                <w:iCs/>
              </w:rPr>
              <w:t>Make contact with</w:t>
            </w:r>
            <w:proofErr w:type="gramEnd"/>
            <w:r w:rsidRPr="00DA6FAB">
              <w:rPr>
                <w:rFonts w:ascii="Calibri" w:eastAsia="Calibri" w:hAnsi="Calibri" w:cs="Calibri"/>
                <w:iCs/>
              </w:rPr>
              <w:t xml:space="preserve"> local secondary schools for a conversation about transition arrangements for this academic year; </w:t>
            </w:r>
          </w:p>
        </w:tc>
        <w:tc>
          <w:tcPr>
            <w:tcW w:w="830" w:type="pct"/>
            <w:shd w:val="clear" w:color="auto" w:fill="auto"/>
            <w:vAlign w:val="center"/>
          </w:tcPr>
          <w:p w14:paraId="18F441A1" w14:textId="77777777" w:rsidR="00F6693E" w:rsidRPr="00D17E3C" w:rsidRDefault="00F6693E" w:rsidP="00F71EDF">
            <w:pPr>
              <w:spacing w:before="100" w:after="100"/>
              <w:jc w:val="center"/>
              <w:rPr>
                <w:rFonts w:asciiTheme="minorHAnsi" w:hAnsiTheme="minorHAnsi" w:cstheme="minorHAnsi"/>
                <w:bCs/>
              </w:rPr>
            </w:pPr>
          </w:p>
        </w:tc>
        <w:tc>
          <w:tcPr>
            <w:tcW w:w="732" w:type="pct"/>
            <w:shd w:val="clear" w:color="auto" w:fill="auto"/>
            <w:vAlign w:val="center"/>
          </w:tcPr>
          <w:p w14:paraId="6D8670A9" w14:textId="77777777" w:rsidR="00F6693E" w:rsidRPr="00F8478B" w:rsidRDefault="00F6693E" w:rsidP="00F71EDF">
            <w:pPr>
              <w:pStyle w:val="ListParagraph"/>
              <w:numPr>
                <w:ilvl w:val="0"/>
                <w:numId w:val="0"/>
              </w:numPr>
              <w:ind w:left="357" w:right="83"/>
              <w:jc w:val="center"/>
              <w:rPr>
                <w:rFonts w:asciiTheme="minorHAnsi" w:hAnsiTheme="minorHAnsi" w:cstheme="minorHAnsi"/>
              </w:rPr>
            </w:pPr>
          </w:p>
        </w:tc>
        <w:tc>
          <w:tcPr>
            <w:tcW w:w="512" w:type="pct"/>
            <w:shd w:val="clear" w:color="auto" w:fill="auto"/>
            <w:vAlign w:val="center"/>
          </w:tcPr>
          <w:p w14:paraId="599D05EB" w14:textId="77777777" w:rsidR="00F6693E" w:rsidRPr="00F8478B" w:rsidRDefault="00F6693E" w:rsidP="00F71EDF">
            <w:pPr>
              <w:pStyle w:val="ListParagraph"/>
              <w:numPr>
                <w:ilvl w:val="0"/>
                <w:numId w:val="0"/>
              </w:numPr>
              <w:ind w:left="358" w:right="86"/>
              <w:jc w:val="center"/>
              <w:rPr>
                <w:rFonts w:asciiTheme="minorHAnsi" w:hAnsiTheme="minorHAnsi" w:cstheme="minorHAnsi"/>
                <w:b/>
                <w:bCs/>
              </w:rPr>
            </w:pPr>
          </w:p>
        </w:tc>
      </w:tr>
      <w:tr w:rsidR="004C39C9" w:rsidRPr="00F8478B" w14:paraId="64F01F43" w14:textId="77777777" w:rsidTr="007E4594">
        <w:tblPrEx>
          <w:tblLook w:val="0620" w:firstRow="1" w:lastRow="0" w:firstColumn="0" w:lastColumn="0" w:noHBand="1" w:noVBand="1"/>
        </w:tblPrEx>
        <w:trPr>
          <w:cantSplit/>
          <w:trHeight w:val="20"/>
          <w:tblHeader/>
        </w:trPr>
        <w:tc>
          <w:tcPr>
            <w:tcW w:w="5000" w:type="pct"/>
            <w:gridSpan w:val="6"/>
            <w:tcBorders>
              <w:bottom w:val="single" w:sz="4" w:space="0" w:color="auto"/>
            </w:tcBorders>
            <w:shd w:val="clear" w:color="auto" w:fill="041E42"/>
            <w:vAlign w:val="center"/>
          </w:tcPr>
          <w:p w14:paraId="615A6C0D" w14:textId="7A4C2774" w:rsidR="004C39C9" w:rsidRPr="00D17E3C" w:rsidRDefault="004C39C9" w:rsidP="004C39C9">
            <w:pPr>
              <w:spacing w:before="100" w:after="100" w:line="276" w:lineRule="auto"/>
              <w:jc w:val="center"/>
              <w:rPr>
                <w:rFonts w:asciiTheme="minorHAnsi" w:hAnsiTheme="minorHAnsi" w:cstheme="minorHAnsi"/>
                <w:b/>
                <w:bCs/>
              </w:rPr>
            </w:pPr>
            <w:r w:rsidRPr="00D17E3C">
              <w:rPr>
                <w:rFonts w:asciiTheme="minorHAnsi" w:hAnsiTheme="minorHAnsi" w:cstheme="minorHAnsi"/>
                <w:b/>
                <w:bCs/>
                <w:sz w:val="24"/>
                <w:szCs w:val="24"/>
              </w:rPr>
              <w:t>Part D: Improvements</w:t>
            </w:r>
          </w:p>
        </w:tc>
      </w:tr>
      <w:tr w:rsidR="00F342B2" w:rsidRPr="00F8478B" w14:paraId="3F38CE8A" w14:textId="77777777" w:rsidTr="007E4594">
        <w:tblPrEx>
          <w:tblLook w:val="0620" w:firstRow="1" w:lastRow="0" w:firstColumn="0" w:lastColumn="0" w:noHBand="1" w:noVBand="1"/>
        </w:tblPrEx>
        <w:trPr>
          <w:cantSplit/>
          <w:trHeight w:val="20"/>
          <w:tblHeader/>
        </w:trPr>
        <w:tc>
          <w:tcPr>
            <w:tcW w:w="973" w:type="pct"/>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Pr="00D17E3C" w:rsidRDefault="00F342B2" w:rsidP="00F342B2">
            <w:pPr>
              <w:spacing w:before="100" w:after="100"/>
              <w:jc w:val="center"/>
              <w:rPr>
                <w:rFonts w:asciiTheme="minorHAnsi" w:eastAsia="Calibri" w:hAnsiTheme="minorHAnsi" w:cstheme="minorHAnsi"/>
                <w:b/>
                <w:bCs/>
              </w:rPr>
            </w:pPr>
            <w:r w:rsidRPr="00D17E3C">
              <w:rPr>
                <w:rFonts w:asciiTheme="minorHAnsi" w:eastAsia="Calibri" w:hAnsiTheme="minorHAnsi" w:cstheme="minorHAnsi"/>
                <w:b/>
                <w:bCs/>
              </w:rPr>
              <w:t>Action</w:t>
            </w:r>
          </w:p>
          <w:p w14:paraId="72124A05" w14:textId="77777777" w:rsidR="00F342B2" w:rsidRPr="00D17E3C" w:rsidRDefault="00F342B2" w:rsidP="00F342B2">
            <w:pPr>
              <w:jc w:val="center"/>
              <w:rPr>
                <w:rFonts w:asciiTheme="minorHAnsi" w:hAnsiTheme="minorHAnsi" w:cstheme="minorHAnsi"/>
                <w:b/>
                <w:bCs/>
              </w:rPr>
            </w:pPr>
            <w:r w:rsidRPr="00D17E3C">
              <w:rPr>
                <w:rFonts w:asciiTheme="minorHAnsi" w:hAnsiTheme="minorHAnsi" w:cstheme="minorHAnsi"/>
                <w:b/>
                <w:bCs/>
              </w:rPr>
              <w:t>Implementation</w:t>
            </w:r>
          </w:p>
          <w:p w14:paraId="11AB3CFD" w14:textId="42AE85B2" w:rsidR="00F342B2" w:rsidRPr="00D17E3C" w:rsidRDefault="00F342B2" w:rsidP="00F342B2">
            <w:pPr>
              <w:spacing w:before="100" w:after="100"/>
              <w:jc w:val="center"/>
              <w:rPr>
                <w:rFonts w:asciiTheme="minorHAnsi" w:hAnsiTheme="minorHAnsi" w:cstheme="minorHAnsi"/>
                <w:b/>
                <w:bCs/>
              </w:rPr>
            </w:pPr>
            <w:r w:rsidRPr="00D17E3C">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D17E3C" w:rsidRDefault="00F342B2" w:rsidP="00F342B2">
            <w:pPr>
              <w:spacing w:before="100" w:after="100" w:line="276" w:lineRule="auto"/>
              <w:jc w:val="center"/>
              <w:rPr>
                <w:rFonts w:asciiTheme="minorHAnsi" w:hAnsiTheme="minorHAnsi" w:cstheme="minorHAnsi"/>
                <w:b/>
                <w:bCs/>
              </w:rPr>
            </w:pPr>
            <w:r w:rsidRPr="00D17E3C">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CAF7339" w14:textId="77777777" w:rsidTr="007E4594">
        <w:tblPrEx>
          <w:tblLook w:val="0620" w:firstRow="1" w:lastRow="0" w:firstColumn="0" w:lastColumn="0" w:noHBand="1" w:noVBand="1"/>
        </w:tblPrEx>
        <w:trPr>
          <w:trHeight w:val="1205"/>
        </w:trPr>
        <w:tc>
          <w:tcPr>
            <w:tcW w:w="973" w:type="pct"/>
            <w:shd w:val="clear" w:color="auto" w:fill="auto"/>
            <w:vAlign w:val="center"/>
          </w:tcPr>
          <w:p w14:paraId="015858BB" w14:textId="7DC70AC8" w:rsidR="006D6867" w:rsidRPr="00F8478B" w:rsidRDefault="006D6867" w:rsidP="00DA6FAB">
            <w:pPr>
              <w:tabs>
                <w:tab w:val="left" w:pos="1560"/>
              </w:tabs>
              <w:spacing w:before="100" w:after="100" w:line="276" w:lineRule="auto"/>
              <w:jc w:val="both"/>
              <w:rPr>
                <w:rFonts w:asciiTheme="minorHAnsi" w:hAnsiTheme="minorHAnsi" w:cstheme="minorHAnsi"/>
                <w:b/>
                <w:bCs/>
                <w:u w:val="single"/>
              </w:rPr>
            </w:pPr>
            <w:r w:rsidRPr="008A67CB">
              <w:rPr>
                <w:rFonts w:asciiTheme="minorHAnsi" w:hAnsiTheme="minorHAnsi" w:cstheme="minorHAnsi"/>
                <w:b/>
                <w:bCs/>
                <w:color w:val="FF6900" w:themeColor="accent5"/>
                <w:u w:val="single"/>
              </w:rPr>
              <w:t>What improvements can be made to the music curriculum?</w:t>
            </w:r>
          </w:p>
        </w:tc>
        <w:tc>
          <w:tcPr>
            <w:tcW w:w="1953" w:type="pct"/>
            <w:gridSpan w:val="2"/>
            <w:shd w:val="clear" w:color="auto" w:fill="auto"/>
            <w:vAlign w:val="center"/>
          </w:tcPr>
          <w:p w14:paraId="7482599F" w14:textId="7B3EE306" w:rsidR="006D6867" w:rsidRPr="00F8478B" w:rsidRDefault="00DA6FAB" w:rsidP="00DA6FAB">
            <w:pPr>
              <w:spacing w:before="100" w:after="100"/>
              <w:rPr>
                <w:rFonts w:asciiTheme="minorHAnsi" w:hAnsiTheme="minorHAnsi" w:cstheme="minorHAnsi"/>
                <w:bCs/>
              </w:rPr>
            </w:pPr>
            <w:r>
              <w:rPr>
                <w:rFonts w:asciiTheme="minorHAnsi" w:hAnsiTheme="minorHAnsi" w:cstheme="minorHAnsi"/>
                <w:bCs/>
              </w:rPr>
              <w:t>Development of ‘pupil learning passports’ in line with other foundation subjects to ensure that coverage is sufficient for mixed aged classes and that gaps are identified and filled.</w:t>
            </w:r>
          </w:p>
        </w:tc>
        <w:tc>
          <w:tcPr>
            <w:tcW w:w="830" w:type="pct"/>
            <w:shd w:val="clear" w:color="auto" w:fill="auto"/>
            <w:vAlign w:val="center"/>
          </w:tcPr>
          <w:p w14:paraId="3550B42F" w14:textId="3832BFCD" w:rsidR="006D6867" w:rsidRPr="00F8478B" w:rsidRDefault="006D6867" w:rsidP="00DA6FAB">
            <w:pPr>
              <w:spacing w:before="100" w:after="100" w:line="276" w:lineRule="auto"/>
              <w:rPr>
                <w:rFonts w:asciiTheme="minorHAnsi" w:hAnsiTheme="minorHAnsi" w:cstheme="minorHAnsi"/>
                <w:bCs/>
              </w:rPr>
            </w:pPr>
          </w:p>
        </w:tc>
        <w:tc>
          <w:tcPr>
            <w:tcW w:w="732" w:type="pct"/>
            <w:shd w:val="clear" w:color="auto" w:fill="auto"/>
            <w:vAlign w:val="center"/>
          </w:tcPr>
          <w:p w14:paraId="2379268E" w14:textId="77777777" w:rsidR="006D6867" w:rsidRDefault="00CF6415" w:rsidP="00CF6415">
            <w:pPr>
              <w:ind w:left="358" w:right="83" w:hanging="284"/>
              <w:rPr>
                <w:rFonts w:asciiTheme="minorHAnsi" w:hAnsiTheme="minorHAnsi" w:cstheme="minorHAnsi"/>
              </w:rPr>
            </w:pPr>
            <w:r>
              <w:rPr>
                <w:rFonts w:asciiTheme="minorHAnsi" w:hAnsiTheme="minorHAnsi" w:cstheme="minorHAnsi"/>
              </w:rPr>
              <w:t>MT</w:t>
            </w:r>
          </w:p>
          <w:p w14:paraId="032C800F" w14:textId="77777777" w:rsidR="00CF6415" w:rsidRDefault="00CF6415" w:rsidP="00CF6415">
            <w:pPr>
              <w:ind w:left="358" w:right="83" w:hanging="284"/>
              <w:rPr>
                <w:rFonts w:asciiTheme="minorHAnsi" w:hAnsiTheme="minorHAnsi" w:cstheme="minorHAnsi"/>
              </w:rPr>
            </w:pPr>
            <w:r>
              <w:rPr>
                <w:rFonts w:asciiTheme="minorHAnsi" w:hAnsiTheme="minorHAnsi" w:cstheme="minorHAnsi"/>
              </w:rPr>
              <w:t>Music Lead</w:t>
            </w:r>
          </w:p>
          <w:p w14:paraId="1FAEB6C6" w14:textId="68CC0632" w:rsidR="00CF6415" w:rsidRPr="00CF6415" w:rsidRDefault="00CF6415" w:rsidP="00CF6415">
            <w:pPr>
              <w:ind w:left="358" w:right="83" w:hanging="284"/>
              <w:rPr>
                <w:rFonts w:asciiTheme="minorHAnsi" w:hAnsiTheme="minorHAnsi" w:cstheme="minorHAnsi"/>
              </w:rPr>
            </w:pPr>
            <w:r>
              <w:rPr>
                <w:rFonts w:asciiTheme="minorHAnsi" w:hAnsiTheme="minorHAnsi" w:cstheme="minorHAnsi"/>
              </w:rPr>
              <w:t>All Staff</w:t>
            </w:r>
          </w:p>
        </w:tc>
        <w:tc>
          <w:tcPr>
            <w:tcW w:w="512" w:type="pct"/>
            <w:shd w:val="clear" w:color="auto" w:fill="auto"/>
            <w:vAlign w:val="center"/>
          </w:tcPr>
          <w:p w14:paraId="0CA68E58" w14:textId="2B0CC7B7" w:rsidR="006D6867" w:rsidRPr="00CF6415" w:rsidRDefault="00CF6415" w:rsidP="00CF6415">
            <w:pPr>
              <w:ind w:left="358" w:right="86" w:hanging="284"/>
              <w:rPr>
                <w:rFonts w:asciiTheme="minorHAnsi" w:hAnsiTheme="minorHAnsi" w:cstheme="minorHAnsi"/>
                <w:b/>
                <w:bCs/>
              </w:rPr>
            </w:pPr>
            <w:r w:rsidRPr="00CF6415">
              <w:rPr>
                <w:rFonts w:asciiTheme="minorHAnsi" w:hAnsiTheme="minorHAnsi" w:cstheme="minorHAnsi"/>
                <w:b/>
                <w:bCs/>
              </w:rPr>
              <w:t>Ongoing</w:t>
            </w:r>
          </w:p>
        </w:tc>
      </w:tr>
      <w:tr w:rsidR="006D6867" w:rsidRPr="00F8478B" w14:paraId="53EDEDBB" w14:textId="77777777" w:rsidTr="007E4594">
        <w:tblPrEx>
          <w:tblLook w:val="0620" w:firstRow="1" w:lastRow="0" w:firstColumn="0" w:lastColumn="0" w:noHBand="1" w:noVBand="1"/>
        </w:tblPrEx>
        <w:trPr>
          <w:trHeight w:val="1205"/>
        </w:trPr>
        <w:tc>
          <w:tcPr>
            <w:tcW w:w="973" w:type="pct"/>
            <w:shd w:val="clear" w:color="auto" w:fill="auto"/>
            <w:vAlign w:val="center"/>
          </w:tcPr>
          <w:p w14:paraId="523DEC13" w14:textId="0983F836" w:rsidR="006D6867" w:rsidRPr="008A67CB" w:rsidRDefault="006D6867"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8A67CB">
              <w:rPr>
                <w:rFonts w:asciiTheme="minorHAnsi" w:hAnsiTheme="minorHAnsi" w:cstheme="minorHAnsi"/>
                <w:b/>
                <w:bCs/>
                <w:color w:val="FF6900" w:themeColor="accent5"/>
                <w:u w:val="single"/>
              </w:rPr>
              <w:lastRenderedPageBreak/>
              <w:t>What improvements can be made to extra-curricular music provision?</w:t>
            </w:r>
          </w:p>
        </w:tc>
        <w:tc>
          <w:tcPr>
            <w:tcW w:w="1953" w:type="pct"/>
            <w:gridSpan w:val="2"/>
            <w:shd w:val="clear" w:color="auto" w:fill="auto"/>
            <w:vAlign w:val="center"/>
          </w:tcPr>
          <w:p w14:paraId="3B8D16C0" w14:textId="460CB961" w:rsidR="006D6867" w:rsidRPr="00F8478B" w:rsidRDefault="00DA6FAB" w:rsidP="00DA6FAB">
            <w:pPr>
              <w:spacing w:before="100" w:after="100"/>
              <w:rPr>
                <w:rFonts w:asciiTheme="minorHAnsi" w:hAnsiTheme="minorHAnsi" w:cstheme="minorHAnsi"/>
                <w:bCs/>
              </w:rPr>
            </w:pPr>
            <w:r>
              <w:rPr>
                <w:rFonts w:asciiTheme="minorHAnsi" w:hAnsiTheme="minorHAnsi" w:cstheme="minorHAnsi"/>
                <w:bCs/>
              </w:rPr>
              <w:t>Additional opportunities for children. i.e. introduction of ukulele club.</w:t>
            </w:r>
          </w:p>
        </w:tc>
        <w:tc>
          <w:tcPr>
            <w:tcW w:w="830" w:type="pct"/>
            <w:shd w:val="clear" w:color="auto" w:fill="auto"/>
            <w:vAlign w:val="center"/>
          </w:tcPr>
          <w:p w14:paraId="2C967F61" w14:textId="589086B8" w:rsidR="006D6867" w:rsidRPr="00F8478B" w:rsidRDefault="006D6867" w:rsidP="00734C70">
            <w:pPr>
              <w:spacing w:before="100" w:after="100" w:line="276" w:lineRule="auto"/>
              <w:jc w:val="center"/>
              <w:rPr>
                <w:rFonts w:asciiTheme="minorHAnsi" w:hAnsiTheme="minorHAnsi" w:cstheme="minorHAnsi"/>
                <w:bCs/>
              </w:rPr>
            </w:pPr>
          </w:p>
        </w:tc>
        <w:tc>
          <w:tcPr>
            <w:tcW w:w="732" w:type="pct"/>
            <w:shd w:val="clear" w:color="auto" w:fill="auto"/>
            <w:vAlign w:val="center"/>
          </w:tcPr>
          <w:p w14:paraId="5E8599C7" w14:textId="2199CB97" w:rsidR="006D6867" w:rsidRPr="00F8478B" w:rsidRDefault="00CF6415" w:rsidP="00CF6415">
            <w:pPr>
              <w:pStyle w:val="ListParagraph"/>
              <w:numPr>
                <w:ilvl w:val="0"/>
                <w:numId w:val="0"/>
              </w:numPr>
              <w:spacing w:line="276" w:lineRule="auto"/>
              <w:ind w:left="357" w:right="83"/>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46696253" w14:textId="4E7F6B2B" w:rsidR="006D6867" w:rsidRPr="00CF6415" w:rsidRDefault="00CF6415" w:rsidP="00CF6415">
            <w:pPr>
              <w:ind w:left="358" w:right="86" w:hanging="284"/>
              <w:rPr>
                <w:rFonts w:asciiTheme="minorHAnsi" w:hAnsiTheme="minorHAnsi" w:cstheme="minorHAnsi"/>
                <w:b/>
                <w:bCs/>
              </w:rPr>
            </w:pPr>
            <w:r>
              <w:rPr>
                <w:rFonts w:asciiTheme="minorHAnsi" w:hAnsiTheme="minorHAnsi" w:cstheme="minorHAnsi"/>
                <w:b/>
                <w:bCs/>
              </w:rPr>
              <w:t>Ongoing</w:t>
            </w:r>
          </w:p>
        </w:tc>
      </w:tr>
      <w:tr w:rsidR="006D6867" w:rsidRPr="00F8478B" w14:paraId="6A68BDAB" w14:textId="77777777" w:rsidTr="007E4594">
        <w:tblPrEx>
          <w:tblLook w:val="0620" w:firstRow="1" w:lastRow="0" w:firstColumn="0" w:lastColumn="0" w:noHBand="1" w:noVBand="1"/>
        </w:tblPrEx>
        <w:trPr>
          <w:trHeight w:val="1205"/>
        </w:trPr>
        <w:tc>
          <w:tcPr>
            <w:tcW w:w="973" w:type="pct"/>
            <w:shd w:val="clear" w:color="auto" w:fill="auto"/>
            <w:vAlign w:val="center"/>
          </w:tcPr>
          <w:p w14:paraId="5F5913E9" w14:textId="290C9553" w:rsidR="006D6867" w:rsidRPr="008A67CB" w:rsidRDefault="006D6867"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8A67CB">
              <w:rPr>
                <w:rFonts w:asciiTheme="minorHAnsi" w:hAnsiTheme="minorHAnsi" w:cstheme="minorHAnsi"/>
                <w:b/>
                <w:bCs/>
                <w:color w:val="FF6900" w:themeColor="accent5"/>
                <w:u w:val="single"/>
              </w:rPr>
              <w:t>What improvements can be made to external musical experiences?</w:t>
            </w:r>
          </w:p>
        </w:tc>
        <w:tc>
          <w:tcPr>
            <w:tcW w:w="1953" w:type="pct"/>
            <w:gridSpan w:val="2"/>
            <w:shd w:val="clear" w:color="auto" w:fill="auto"/>
            <w:vAlign w:val="center"/>
          </w:tcPr>
          <w:p w14:paraId="32A16E49" w14:textId="58C79E63" w:rsidR="006D6867" w:rsidRPr="00F8478B" w:rsidRDefault="00DA6FAB" w:rsidP="00DA6FAB">
            <w:pPr>
              <w:spacing w:before="100" w:after="100"/>
              <w:rPr>
                <w:rFonts w:asciiTheme="minorHAnsi" w:hAnsiTheme="minorHAnsi" w:cstheme="minorHAnsi"/>
                <w:bCs/>
              </w:rPr>
            </w:pPr>
            <w:r>
              <w:rPr>
                <w:rFonts w:asciiTheme="minorHAnsi" w:hAnsiTheme="minorHAnsi" w:cstheme="minorHAnsi"/>
                <w:bCs/>
              </w:rPr>
              <w:t>Meet with DMS representative to identify additional opportunities that can be provided by the service.</w:t>
            </w:r>
          </w:p>
        </w:tc>
        <w:tc>
          <w:tcPr>
            <w:tcW w:w="830" w:type="pct"/>
            <w:shd w:val="clear" w:color="auto" w:fill="auto"/>
            <w:vAlign w:val="center"/>
          </w:tcPr>
          <w:p w14:paraId="775DB3B9" w14:textId="386C6D14" w:rsidR="006D6867" w:rsidRPr="00F8478B" w:rsidRDefault="006D6867" w:rsidP="00DA6FAB">
            <w:pPr>
              <w:spacing w:before="100" w:after="100" w:line="276" w:lineRule="auto"/>
              <w:rPr>
                <w:rFonts w:asciiTheme="minorHAnsi" w:hAnsiTheme="minorHAnsi" w:cstheme="minorHAnsi"/>
                <w:bCs/>
              </w:rPr>
            </w:pPr>
          </w:p>
        </w:tc>
        <w:tc>
          <w:tcPr>
            <w:tcW w:w="732" w:type="pct"/>
            <w:shd w:val="clear" w:color="auto" w:fill="auto"/>
            <w:vAlign w:val="center"/>
          </w:tcPr>
          <w:p w14:paraId="631B9E87" w14:textId="77777777" w:rsidR="006D6867" w:rsidRDefault="00CF6415" w:rsidP="00CF6415">
            <w:pPr>
              <w:ind w:left="358" w:right="83" w:hanging="284"/>
              <w:rPr>
                <w:rFonts w:asciiTheme="minorHAnsi" w:hAnsiTheme="minorHAnsi" w:cstheme="minorHAnsi"/>
              </w:rPr>
            </w:pPr>
            <w:r>
              <w:rPr>
                <w:rFonts w:asciiTheme="minorHAnsi" w:hAnsiTheme="minorHAnsi" w:cstheme="minorHAnsi"/>
              </w:rPr>
              <w:t>MT</w:t>
            </w:r>
          </w:p>
          <w:p w14:paraId="796A3BB2" w14:textId="77777777" w:rsidR="00CF6415" w:rsidRDefault="00CF6415" w:rsidP="00CF6415">
            <w:pPr>
              <w:ind w:left="358" w:right="83" w:hanging="284"/>
              <w:rPr>
                <w:rFonts w:asciiTheme="minorHAnsi" w:hAnsiTheme="minorHAnsi" w:cstheme="minorHAnsi"/>
              </w:rPr>
            </w:pPr>
            <w:r>
              <w:rPr>
                <w:rFonts w:asciiTheme="minorHAnsi" w:hAnsiTheme="minorHAnsi" w:cstheme="minorHAnsi"/>
              </w:rPr>
              <w:t>Music Lead</w:t>
            </w:r>
          </w:p>
          <w:p w14:paraId="75C03D34" w14:textId="4306DD72" w:rsidR="00CF6415" w:rsidRPr="00CF6415" w:rsidRDefault="00CF6415" w:rsidP="00CF6415">
            <w:pPr>
              <w:ind w:left="358" w:right="83" w:hanging="284"/>
              <w:rPr>
                <w:rFonts w:asciiTheme="minorHAnsi" w:hAnsiTheme="minorHAnsi" w:cstheme="minorHAnsi"/>
              </w:rPr>
            </w:pPr>
          </w:p>
        </w:tc>
        <w:tc>
          <w:tcPr>
            <w:tcW w:w="512" w:type="pct"/>
            <w:shd w:val="clear" w:color="auto" w:fill="auto"/>
            <w:vAlign w:val="center"/>
          </w:tcPr>
          <w:p w14:paraId="6AF8EB53" w14:textId="7AA2F894" w:rsidR="006D6867" w:rsidRPr="00CF6415" w:rsidRDefault="00CF6415" w:rsidP="00CF6415">
            <w:pPr>
              <w:ind w:left="358" w:right="86" w:hanging="284"/>
              <w:rPr>
                <w:rFonts w:asciiTheme="minorHAnsi" w:hAnsiTheme="minorHAnsi" w:cstheme="minorHAnsi"/>
                <w:b/>
                <w:bCs/>
              </w:rPr>
            </w:pPr>
            <w:r w:rsidRPr="00CF6415">
              <w:rPr>
                <w:rFonts w:asciiTheme="minorHAnsi" w:hAnsiTheme="minorHAnsi" w:cstheme="minorHAnsi"/>
                <w:b/>
                <w:bCs/>
              </w:rPr>
              <w:t>By Dec 24</w:t>
            </w: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8E57" w14:textId="77777777" w:rsidR="00B712B0" w:rsidRDefault="00B712B0">
      <w:pPr>
        <w:spacing w:after="0" w:line="240" w:lineRule="auto"/>
      </w:pPr>
      <w:r>
        <w:separator/>
      </w:r>
    </w:p>
  </w:endnote>
  <w:endnote w:type="continuationSeparator" w:id="0">
    <w:p w14:paraId="741AF4F8" w14:textId="77777777" w:rsidR="00B712B0" w:rsidRDefault="00B712B0">
      <w:pPr>
        <w:spacing w:after="0" w:line="240" w:lineRule="auto"/>
      </w:pPr>
      <w:r>
        <w:continuationSeparator/>
      </w:r>
    </w:p>
  </w:endnote>
  <w:endnote w:type="continuationNotice" w:id="1">
    <w:p w14:paraId="0A50E5FC" w14:textId="77777777" w:rsidR="00B712B0" w:rsidRDefault="00B71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5856" w14:textId="77777777" w:rsidR="00B712B0" w:rsidRDefault="00B712B0">
      <w:pPr>
        <w:spacing w:after="0" w:line="240" w:lineRule="auto"/>
      </w:pPr>
      <w:r>
        <w:separator/>
      </w:r>
    </w:p>
  </w:footnote>
  <w:footnote w:type="continuationSeparator" w:id="0">
    <w:p w14:paraId="4080A073" w14:textId="77777777" w:rsidR="00B712B0" w:rsidRDefault="00B712B0">
      <w:pPr>
        <w:spacing w:after="0" w:line="240" w:lineRule="auto"/>
      </w:pPr>
      <w:r>
        <w:continuationSeparator/>
      </w:r>
    </w:p>
  </w:footnote>
  <w:footnote w:type="continuationNotice" w:id="1">
    <w:p w14:paraId="65E6703C" w14:textId="77777777" w:rsidR="00B712B0" w:rsidRDefault="00B71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681591"/>
    <w:multiLevelType w:val="multilevel"/>
    <w:tmpl w:val="3998D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9295607">
    <w:abstractNumId w:val="2"/>
  </w:num>
  <w:num w:numId="2" w16cid:durableId="466748453">
    <w:abstractNumId w:val="12"/>
  </w:num>
  <w:num w:numId="3" w16cid:durableId="1471558600">
    <w:abstractNumId w:val="9"/>
  </w:num>
  <w:num w:numId="4" w16cid:durableId="1395154552">
    <w:abstractNumId w:val="0"/>
  </w:num>
  <w:num w:numId="5" w16cid:durableId="1386636309">
    <w:abstractNumId w:val="3"/>
  </w:num>
  <w:num w:numId="6" w16cid:durableId="1745027314">
    <w:abstractNumId w:val="14"/>
  </w:num>
  <w:num w:numId="7" w16cid:durableId="1053961665">
    <w:abstractNumId w:val="4"/>
  </w:num>
  <w:num w:numId="8" w16cid:durableId="1206023873">
    <w:abstractNumId w:val="6"/>
  </w:num>
  <w:num w:numId="9" w16cid:durableId="1629165816">
    <w:abstractNumId w:val="10"/>
  </w:num>
  <w:num w:numId="10" w16cid:durableId="2128817228">
    <w:abstractNumId w:val="5"/>
  </w:num>
  <w:num w:numId="11" w16cid:durableId="1060249172">
    <w:abstractNumId w:val="13"/>
  </w:num>
  <w:num w:numId="12" w16cid:durableId="899558465">
    <w:abstractNumId w:val="1"/>
  </w:num>
  <w:num w:numId="13" w16cid:durableId="148131367">
    <w:abstractNumId w:val="11"/>
  </w:num>
  <w:num w:numId="14" w16cid:durableId="1923248227">
    <w:abstractNumId w:val="7"/>
  </w:num>
  <w:num w:numId="15" w16cid:durableId="1473325065">
    <w:abstractNumId w:val="8"/>
  </w:num>
  <w:num w:numId="16" w16cid:durableId="6121304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963"/>
    <w:rsid w:val="000E7803"/>
    <w:rsid w:val="000E7A6C"/>
    <w:rsid w:val="000E7F79"/>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97769"/>
    <w:rsid w:val="001A0E7D"/>
    <w:rsid w:val="001A436A"/>
    <w:rsid w:val="001A5D4C"/>
    <w:rsid w:val="001A75C3"/>
    <w:rsid w:val="001B50D4"/>
    <w:rsid w:val="001B7727"/>
    <w:rsid w:val="001C3A42"/>
    <w:rsid w:val="001C3AED"/>
    <w:rsid w:val="001C6B50"/>
    <w:rsid w:val="001C7368"/>
    <w:rsid w:val="001D08FF"/>
    <w:rsid w:val="001D3E06"/>
    <w:rsid w:val="001E1A40"/>
    <w:rsid w:val="001E3158"/>
    <w:rsid w:val="001E530E"/>
    <w:rsid w:val="001F0193"/>
    <w:rsid w:val="001F5175"/>
    <w:rsid w:val="0020305A"/>
    <w:rsid w:val="00210593"/>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7E94"/>
    <w:rsid w:val="005360D5"/>
    <w:rsid w:val="005443EB"/>
    <w:rsid w:val="005477AD"/>
    <w:rsid w:val="00550E4F"/>
    <w:rsid w:val="00551E82"/>
    <w:rsid w:val="00554B59"/>
    <w:rsid w:val="00554E11"/>
    <w:rsid w:val="005564D9"/>
    <w:rsid w:val="00582CA0"/>
    <w:rsid w:val="00591817"/>
    <w:rsid w:val="00591DC5"/>
    <w:rsid w:val="0059265E"/>
    <w:rsid w:val="00595387"/>
    <w:rsid w:val="005974E0"/>
    <w:rsid w:val="0059752D"/>
    <w:rsid w:val="005A0367"/>
    <w:rsid w:val="005A5C9D"/>
    <w:rsid w:val="005B2F16"/>
    <w:rsid w:val="005B31CF"/>
    <w:rsid w:val="005C1916"/>
    <w:rsid w:val="005C347D"/>
    <w:rsid w:val="005C7463"/>
    <w:rsid w:val="005D1755"/>
    <w:rsid w:val="005D1FEB"/>
    <w:rsid w:val="005D703C"/>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1F30"/>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4594"/>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818FF"/>
    <w:rsid w:val="00A85867"/>
    <w:rsid w:val="00A85F91"/>
    <w:rsid w:val="00A87F3C"/>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F1F64"/>
    <w:rsid w:val="00B01CD8"/>
    <w:rsid w:val="00B04638"/>
    <w:rsid w:val="00B04788"/>
    <w:rsid w:val="00B0480B"/>
    <w:rsid w:val="00B13F6E"/>
    <w:rsid w:val="00B26852"/>
    <w:rsid w:val="00B3528C"/>
    <w:rsid w:val="00B37060"/>
    <w:rsid w:val="00B427EF"/>
    <w:rsid w:val="00B4368A"/>
    <w:rsid w:val="00B44BE1"/>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1D02"/>
    <w:rsid w:val="00C6244E"/>
    <w:rsid w:val="00C63F99"/>
    <w:rsid w:val="00C67451"/>
    <w:rsid w:val="00C741A8"/>
    <w:rsid w:val="00C75822"/>
    <w:rsid w:val="00C80954"/>
    <w:rsid w:val="00C84CE8"/>
    <w:rsid w:val="00C87AAB"/>
    <w:rsid w:val="00C94DF0"/>
    <w:rsid w:val="00C97EF9"/>
    <w:rsid w:val="00CB453F"/>
    <w:rsid w:val="00CB51A6"/>
    <w:rsid w:val="00CB6207"/>
    <w:rsid w:val="00CC0229"/>
    <w:rsid w:val="00CD1880"/>
    <w:rsid w:val="00CD3066"/>
    <w:rsid w:val="00CD68E0"/>
    <w:rsid w:val="00CE391F"/>
    <w:rsid w:val="00CE56E2"/>
    <w:rsid w:val="00CE6F83"/>
    <w:rsid w:val="00CF005F"/>
    <w:rsid w:val="00CF6415"/>
    <w:rsid w:val="00D01BCB"/>
    <w:rsid w:val="00D0517C"/>
    <w:rsid w:val="00D1125F"/>
    <w:rsid w:val="00D127CB"/>
    <w:rsid w:val="00D12EF6"/>
    <w:rsid w:val="00D14BA0"/>
    <w:rsid w:val="00D161DA"/>
    <w:rsid w:val="00D16887"/>
    <w:rsid w:val="00D17E3C"/>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A6FAB"/>
    <w:rsid w:val="00DB03FE"/>
    <w:rsid w:val="00DB63E3"/>
    <w:rsid w:val="00DD4E2B"/>
    <w:rsid w:val="00DD6D8B"/>
    <w:rsid w:val="00DE1F69"/>
    <w:rsid w:val="00DE2836"/>
    <w:rsid w:val="00DF02AE"/>
    <w:rsid w:val="00DF78DA"/>
    <w:rsid w:val="00E0057A"/>
    <w:rsid w:val="00E026D6"/>
    <w:rsid w:val="00E02B6E"/>
    <w:rsid w:val="00E04ECC"/>
    <w:rsid w:val="00E05BA9"/>
    <w:rsid w:val="00E07204"/>
    <w:rsid w:val="00E078A6"/>
    <w:rsid w:val="00E11FD2"/>
    <w:rsid w:val="00E13667"/>
    <w:rsid w:val="00E20AE4"/>
    <w:rsid w:val="00E266E2"/>
    <w:rsid w:val="00E30FE6"/>
    <w:rsid w:val="00E3181A"/>
    <w:rsid w:val="00E37D6F"/>
    <w:rsid w:val="00E56D6A"/>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12" ma:contentTypeDescription="Create a new document." ma:contentTypeScope="" ma:versionID="0622be0285e1a9659683e679309f888f">
  <xsd:schema xmlns:xsd="http://www.w3.org/2001/XMLSchema" xmlns:xs="http://www.w3.org/2001/XMLSchema" xmlns:p="http://schemas.microsoft.com/office/2006/metadata/properties" xmlns:ns2="9b279410-099b-436f-9c9c-898b8a2044d0" xmlns:ns3="d2bc54db-303f-4be4-925f-2f0ceeda7675" targetNamespace="http://schemas.microsoft.com/office/2006/metadata/properties" ma:root="true" ma:fieldsID="1705dbdabe88a13b72d7924ce73801d8" ns2:_="" ns3:_="">
    <xsd:import namespace="9b279410-099b-436f-9c9c-898b8a2044d0"/>
    <xsd:import namespace="d2bc54db-303f-4be4-925f-2f0ceeda7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c54db-303f-4be4-925f-2f0ceeda7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8163B-9987-4DB9-872F-7FEACECEF7D7}"/>
</file>

<file path=customXml/itemProps2.xml><?xml version="1.0" encoding="utf-8"?>
<ds:datastoreItem xmlns:ds="http://schemas.openxmlformats.org/officeDocument/2006/customXml" ds:itemID="{250D366F-C918-491E-AD3C-40A8F5D9C341}">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7937486d-7f89-48a9-a51a-8d49fe8c52cb"/>
    <ds:schemaRef ds:uri="7903bf21-003d-466f-aa85-6982c38cb629"/>
    <ds:schemaRef ds:uri="http://purl.org/dc/elements/1.1/"/>
  </ds:schemaRefs>
</ds:datastoreItem>
</file>

<file path=customXml/itemProps3.xml><?xml version="1.0" encoding="utf-8"?>
<ds:datastoreItem xmlns:ds="http://schemas.openxmlformats.org/officeDocument/2006/customXml" ds:itemID="{1A5E5F19-0379-461B-BBAB-1BA1E81D593C}">
  <ds:schemaRefs>
    <ds:schemaRef ds:uri="http://schemas.openxmlformats.org/officeDocument/2006/bibliography"/>
  </ds:schemaRefs>
</ds:datastoreItem>
</file>

<file path=customXml/itemProps4.xml><?xml version="1.0" encoding="utf-8"?>
<ds:datastoreItem xmlns:ds="http://schemas.openxmlformats.org/officeDocument/2006/customXml" ds:itemID="{DF5FE6B4-68D6-4AED-865C-CD98F13F9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8300</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Stephen Petch</cp:lastModifiedBy>
  <cp:revision>9</cp:revision>
  <cp:lastPrinted>2017-11-13T18:02:00Z</cp:lastPrinted>
  <dcterms:created xsi:type="dcterms:W3CDTF">2024-06-27T15:18:00Z</dcterms:created>
  <dcterms:modified xsi:type="dcterms:W3CDTF">2024-10-09T16:31:00Z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0x010100B79081CEDFA5A54098115AD32FCBDAA1</vt:lpwstr>
  </property>
</Properties>
</file>