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:rsidRPr="00A87B37" w14:paraId="48DA69E5" w14:textId="77777777" w:rsidTr="00EF02E0">
        <w:trPr>
          <w:trHeight w:val="713"/>
        </w:trPr>
        <w:tc>
          <w:tcPr>
            <w:tcW w:w="15388" w:type="dxa"/>
            <w:shd w:val="clear" w:color="auto" w:fill="FFF2CC" w:themeFill="accent4" w:themeFillTint="33"/>
            <w:vAlign w:val="center"/>
          </w:tcPr>
          <w:p w14:paraId="48DA69E2" w14:textId="772A75A4" w:rsidR="009E682D" w:rsidRPr="0075771F" w:rsidRDefault="00DC5686" w:rsidP="00260A3E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A87B37">
              <w:rPr>
                <w:rFonts w:cstheme="minorHAnsi"/>
                <w:b/>
                <w:sz w:val="40"/>
              </w:rPr>
              <w:t xml:space="preserve">Stakesby </w:t>
            </w:r>
            <w:r w:rsidR="00671C96">
              <w:rPr>
                <w:rFonts w:cstheme="minorHAnsi"/>
                <w:b/>
                <w:sz w:val="40"/>
              </w:rPr>
              <w:t xml:space="preserve">Music </w:t>
            </w:r>
          </w:p>
          <w:p w14:paraId="48DA69E4" w14:textId="7B00B65C" w:rsidR="000C3A6F" w:rsidRPr="00A87B37" w:rsidRDefault="00577190" w:rsidP="00260A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Overview and Vocabulary</w:t>
            </w:r>
          </w:p>
        </w:tc>
      </w:tr>
    </w:tbl>
    <w:p w14:paraId="2EA8BDFD" w14:textId="47E3F6F7" w:rsidR="006E0EE2" w:rsidRPr="00A87B37" w:rsidRDefault="006E0EE2" w:rsidP="007F49B3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:rsidRPr="00A87B37" w14:paraId="48DA69F4" w14:textId="77777777" w:rsidTr="209B6D92">
        <w:trPr>
          <w:trHeight w:val="350"/>
        </w:trPr>
        <w:tc>
          <w:tcPr>
            <w:tcW w:w="10456" w:type="dxa"/>
            <w:shd w:val="clear" w:color="auto" w:fill="FBE4D5" w:themeFill="accent2" w:themeFillTint="33"/>
          </w:tcPr>
          <w:p w14:paraId="48DA69F3" w14:textId="40402EC1" w:rsidR="00260A3E" w:rsidRPr="000D34A8" w:rsidRDefault="000D34A8" w:rsidP="00F30FE0">
            <w:pPr>
              <w:pStyle w:val="Default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0D34A8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 xml:space="preserve">Scheme Overview </w:t>
            </w:r>
          </w:p>
        </w:tc>
      </w:tr>
      <w:tr w:rsidR="000D34A8" w:rsidRPr="00A87B37" w14:paraId="54E062ED" w14:textId="77777777" w:rsidTr="001A6616">
        <w:trPr>
          <w:trHeight w:val="2329"/>
        </w:trPr>
        <w:tc>
          <w:tcPr>
            <w:tcW w:w="10456" w:type="dxa"/>
          </w:tcPr>
          <w:p w14:paraId="3717FCF6" w14:textId="77777777" w:rsidR="000D34A8" w:rsidRPr="000D34A8" w:rsidRDefault="000D34A8" w:rsidP="00E9201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0D34A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1FC00C00" w14:textId="20601C45" w:rsidR="00E92019" w:rsidRPr="00577190" w:rsidRDefault="00E92019" w:rsidP="00E92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At Stakesby </w:t>
            </w:r>
            <w:proofErr w:type="gramStart"/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Academy</w:t>
            </w:r>
            <w:proofErr w:type="gramEnd"/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we have taken the decision to use the Charanga Music School Scheme of learning in Music. </w:t>
            </w:r>
          </w:p>
          <w:p w14:paraId="66E65681" w14:textId="226620F0" w:rsidR="000D34A8" w:rsidRPr="00577190" w:rsidRDefault="000D34A8" w:rsidP="00E92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The </w:t>
            </w:r>
            <w:r w:rsidR="00E92019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s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cheme provides teachers with week-by-week lesson support for</w:t>
            </w:r>
            <w:r w:rsidR="00E92019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each year group in the school. It is ideal for specialist and non-specialist teachers and provides</w:t>
            </w:r>
            <w:r w:rsidR="00E92019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lesson plans, assessment, clear progression, and engaging and exciting whiteboard resources to</w:t>
            </w:r>
            <w:r w:rsidR="00E92019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support every lesson. The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Scheme supports all the requirements of the national curriculum.</w:t>
            </w:r>
            <w:r w:rsidR="00E92019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In line with the curriculum for music and guidance from Ofsted, this Scheme moves away from the</w:t>
            </w:r>
            <w:r w:rsidR="00E92019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previous levels and learning objective/outcome concepts to an integrated, practical, exploratory</w:t>
            </w:r>
            <w:r w:rsidR="00E92019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and child-led approach to musical learning.</w:t>
            </w:r>
            <w:r w:rsidR="00E92019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Ofsted have </w:t>
            </w:r>
            <w:proofErr w:type="gramStart"/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stated that</w:t>
            </w:r>
            <w:proofErr w:type="gramEnd"/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“We will not always know the learning outcomes” so segregated learning</w:t>
            </w:r>
            <w:r w:rsidR="00E92019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objectives at the start of each lesson are not appropriate. </w:t>
            </w:r>
            <w:proofErr w:type="gramStart"/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Instead</w:t>
            </w:r>
            <w:proofErr w:type="gramEnd"/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the interrelated dimensions of</w:t>
            </w:r>
            <w:r w:rsidR="00E92019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music weave through the units to encourage the development of musical skills as the learning</w:t>
            </w:r>
            <w:r w:rsidR="00E92019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progresses through listening and appraising, differing musical activities (including creating and</w:t>
            </w:r>
            <w:r w:rsidR="00E92019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exploring) and performing.</w:t>
            </w:r>
          </w:p>
          <w:p w14:paraId="2D9176E5" w14:textId="77777777" w:rsidR="000D34A8" w:rsidRPr="00577190" w:rsidRDefault="000D34A8" w:rsidP="00E92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12426"/>
                <w:sz w:val="18"/>
                <w:szCs w:val="16"/>
              </w:rPr>
            </w:pPr>
            <w:r w:rsidRPr="00577190">
              <w:rPr>
                <w:rFonts w:asciiTheme="majorHAnsi" w:hAnsiTheme="majorHAnsi" w:cstheme="majorHAnsi"/>
                <w:bCs/>
                <w:color w:val="212426"/>
                <w:sz w:val="18"/>
                <w:szCs w:val="16"/>
              </w:rPr>
              <w:t>How the Scheme is structured</w:t>
            </w:r>
          </w:p>
          <w:p w14:paraId="408AF579" w14:textId="77777777" w:rsidR="000D34A8" w:rsidRPr="00577190" w:rsidRDefault="000D34A8" w:rsidP="00E92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Each Unit of Work comprises the of strands of musical learning which correspond with the national</w:t>
            </w:r>
          </w:p>
          <w:p w14:paraId="2DF80B55" w14:textId="77777777" w:rsidR="000D34A8" w:rsidRPr="00577190" w:rsidRDefault="000D34A8" w:rsidP="00E92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curriculum for music:</w:t>
            </w:r>
          </w:p>
          <w:p w14:paraId="1FD796B2" w14:textId="77777777" w:rsidR="000D34A8" w:rsidRPr="00577190" w:rsidRDefault="000D34A8" w:rsidP="00E92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1. Listening and Appraising</w:t>
            </w:r>
          </w:p>
          <w:p w14:paraId="2CBCE3D6" w14:textId="77777777" w:rsidR="000D34A8" w:rsidRPr="00577190" w:rsidRDefault="000D34A8" w:rsidP="00E92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2. Musical Activities</w:t>
            </w:r>
          </w:p>
          <w:p w14:paraId="657D52EB" w14:textId="77777777" w:rsidR="000D34A8" w:rsidRPr="00577190" w:rsidRDefault="000D34A8" w:rsidP="00E92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a. Warm-up Games</w:t>
            </w:r>
          </w:p>
          <w:p w14:paraId="13E2FAD5" w14:textId="77777777" w:rsidR="000D34A8" w:rsidRPr="00577190" w:rsidRDefault="000D34A8" w:rsidP="00E92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b. Optional Flexible Games</w:t>
            </w:r>
          </w:p>
          <w:p w14:paraId="05BD81B8" w14:textId="77777777" w:rsidR="000D34A8" w:rsidRPr="00577190" w:rsidRDefault="000D34A8" w:rsidP="00E92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c. Singing</w:t>
            </w:r>
          </w:p>
          <w:p w14:paraId="52261622" w14:textId="77777777" w:rsidR="000D34A8" w:rsidRPr="00577190" w:rsidRDefault="000D34A8" w:rsidP="00E92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d. Playing instruments</w:t>
            </w:r>
          </w:p>
          <w:p w14:paraId="1A2BE93A" w14:textId="77777777" w:rsidR="000D34A8" w:rsidRPr="00577190" w:rsidRDefault="000D34A8" w:rsidP="00E92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e. Improvisation</w:t>
            </w:r>
          </w:p>
          <w:p w14:paraId="219F0581" w14:textId="77777777" w:rsidR="000D34A8" w:rsidRPr="00577190" w:rsidRDefault="000D34A8" w:rsidP="00E92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f. Composition</w:t>
            </w:r>
          </w:p>
          <w:p w14:paraId="39FC9189" w14:textId="77777777" w:rsidR="000D34A8" w:rsidRPr="00577190" w:rsidRDefault="000D34A8" w:rsidP="00E92019">
            <w:pPr>
              <w:pStyle w:val="NoSpacing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3. Performing</w:t>
            </w:r>
          </w:p>
          <w:p w14:paraId="18CB9F6C" w14:textId="77777777" w:rsidR="000D34A8" w:rsidRPr="00577190" w:rsidRDefault="000D34A8" w:rsidP="00E92019">
            <w:pPr>
              <w:pStyle w:val="NoSpacing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</w:p>
          <w:p w14:paraId="567F0023" w14:textId="00C88392" w:rsidR="000D34A8" w:rsidRPr="00577190" w:rsidRDefault="000D34A8" w:rsidP="00E92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Charanga Musical School Units of Work enable children to understand musical concepts through a</w:t>
            </w:r>
            <w:r w:rsidR="00254224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repetition-based approach to learning. Learning about the same musical concept through different</w:t>
            </w:r>
            <w:r w:rsidR="00254224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musical activities enables a more secure, deeper learning and mastery of musical skills. </w:t>
            </w:r>
            <w:r w:rsidR="00254224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Musical teaching and learning is not neat or linear. The strands of musical learning, presented</w:t>
            </w:r>
            <w:r w:rsidR="00254224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within the lesson plans and the on-screen resources, are part of the learning spiral. Over time,</w:t>
            </w:r>
          </w:p>
          <w:p w14:paraId="5FA65A3E" w14:textId="409EC8BC" w:rsidR="000D34A8" w:rsidRPr="00577190" w:rsidRDefault="000D34A8" w:rsidP="00E920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18"/>
                <w:szCs w:val="16"/>
              </w:rPr>
            </w:pPr>
            <w:proofErr w:type="gramStart"/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children</w:t>
            </w:r>
            <w:proofErr w:type="gramEnd"/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can both develop new musical skills and concepts, and re-visit established musical skills</w:t>
            </w:r>
            <w:r w:rsidR="00254224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and concepts. Repeating a mu</w:t>
            </w:r>
            <w:r w:rsidR="00254224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sical skill </w:t>
            </w:r>
            <w:proofErr w:type="gramStart"/>
            <w:r w:rsidR="00254224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doesn’t</w:t>
            </w:r>
            <w:proofErr w:type="gramEnd"/>
            <w:r w:rsidR="00254224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necessarily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mean their progress is slowing down</w:t>
            </w:r>
            <w:r w:rsidR="00254224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or their development is moving backwards! </w:t>
            </w:r>
            <w:proofErr w:type="gramStart"/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It's</w:t>
            </w:r>
            <w:proofErr w:type="gramEnd"/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just shifting within the spiral. Mastery means both a</w:t>
            </w:r>
            <w:r w:rsidR="00254224"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 xml:space="preserve"> </w:t>
            </w:r>
            <w:r w:rsidRPr="00577190">
              <w:rPr>
                <w:rFonts w:asciiTheme="majorHAnsi" w:hAnsiTheme="majorHAnsi" w:cstheme="majorHAnsi"/>
                <w:color w:val="3D4447"/>
                <w:sz w:val="18"/>
                <w:szCs w:val="16"/>
              </w:rPr>
              <w:t>deeper understanding of musical skills and concepts and learning something new.</w:t>
            </w:r>
          </w:p>
          <w:p w14:paraId="08D0FF57" w14:textId="296813C8" w:rsidR="000D34A8" w:rsidRPr="000D34A8" w:rsidRDefault="000D34A8" w:rsidP="00E92019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8DA69F5" w14:textId="77777777" w:rsidR="009E682D" w:rsidRPr="00A87B37" w:rsidRDefault="009E682D" w:rsidP="008A770A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:rsidRPr="00A87B37" w14:paraId="48DA69F8" w14:textId="77777777" w:rsidTr="209B6D92">
        <w:trPr>
          <w:trHeight w:val="29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DA69F7" w14:textId="6560E0CE" w:rsidR="00952A2A" w:rsidRPr="00F6528E" w:rsidRDefault="006E0EE2" w:rsidP="0057719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A87B37">
              <w:rPr>
                <w:rFonts w:cstheme="minorHAnsi"/>
                <w:b/>
                <w:sz w:val="20"/>
                <w:szCs w:val="20"/>
                <w:u w:val="single"/>
              </w:rPr>
              <w:t>Key things to do</w:t>
            </w:r>
            <w:r w:rsidR="00F6528E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0D34A8" w:rsidRPr="00A87B37" w14:paraId="505B7969" w14:textId="0D7E97BA" w:rsidTr="00B34D47">
        <w:trPr>
          <w:trHeight w:val="310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EDA3F" w14:textId="77777777" w:rsidR="00A24543" w:rsidRPr="00577190" w:rsidRDefault="00A24543" w:rsidP="000D34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212426"/>
                <w:sz w:val="20"/>
                <w:szCs w:val="16"/>
              </w:rPr>
            </w:pPr>
            <w:bookmarkStart w:id="0" w:name="_GoBack"/>
            <w:r w:rsidRPr="00577190">
              <w:rPr>
                <w:rFonts w:asciiTheme="majorHAnsi" w:hAnsiTheme="majorHAnsi" w:cstheme="majorHAnsi"/>
                <w:b/>
                <w:bCs/>
                <w:color w:val="212426"/>
                <w:sz w:val="20"/>
                <w:szCs w:val="16"/>
              </w:rPr>
              <w:t xml:space="preserve">Each lesson is broken into three specific stages and the cycle should follow this throughout the school </w:t>
            </w:r>
          </w:p>
          <w:p w14:paraId="1C6C68FD" w14:textId="4B793CD0" w:rsidR="00A24543" w:rsidRPr="00577190" w:rsidRDefault="000D34A8" w:rsidP="000D34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212426"/>
                <w:sz w:val="20"/>
                <w:szCs w:val="16"/>
              </w:rPr>
            </w:pPr>
            <w:r w:rsidRPr="00577190">
              <w:rPr>
                <w:rFonts w:asciiTheme="majorHAnsi" w:hAnsiTheme="majorHAnsi" w:cstheme="majorHAnsi"/>
                <w:b/>
                <w:bCs/>
                <w:color w:val="212426"/>
                <w:sz w:val="20"/>
                <w:szCs w:val="16"/>
              </w:rPr>
              <w:t>Listen and Appraise</w:t>
            </w:r>
          </w:p>
          <w:p w14:paraId="66F6FCD6" w14:textId="76325C60" w:rsidR="000D34A8" w:rsidRPr="00577190" w:rsidRDefault="00A24543" w:rsidP="000D34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20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20"/>
                <w:szCs w:val="16"/>
              </w:rPr>
              <w:t xml:space="preserve">The children listen to range of music from different genres and time periods then discuss the pieces they hear. </w:t>
            </w:r>
          </w:p>
          <w:p w14:paraId="2C4E799B" w14:textId="77777777" w:rsidR="000D34A8" w:rsidRPr="00577190" w:rsidRDefault="000D34A8" w:rsidP="000D34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212426"/>
                <w:sz w:val="20"/>
                <w:szCs w:val="16"/>
              </w:rPr>
            </w:pPr>
            <w:r w:rsidRPr="00577190">
              <w:rPr>
                <w:rFonts w:asciiTheme="majorHAnsi" w:hAnsiTheme="majorHAnsi" w:cstheme="majorHAnsi"/>
                <w:b/>
                <w:bCs/>
                <w:color w:val="212426"/>
                <w:sz w:val="20"/>
                <w:szCs w:val="16"/>
              </w:rPr>
              <w:t>2. Musical Activities</w:t>
            </w:r>
          </w:p>
          <w:p w14:paraId="50519CE9" w14:textId="050EC2A5" w:rsidR="000D34A8" w:rsidRPr="00577190" w:rsidRDefault="000D34A8" w:rsidP="00A245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20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20"/>
                <w:szCs w:val="16"/>
              </w:rPr>
              <w:t xml:space="preserve">All activities are based around a song. </w:t>
            </w:r>
          </w:p>
          <w:p w14:paraId="65FD6EFC" w14:textId="77777777" w:rsidR="000D34A8" w:rsidRPr="00577190" w:rsidRDefault="000D34A8" w:rsidP="000D34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20"/>
                <w:szCs w:val="16"/>
              </w:rPr>
            </w:pPr>
            <w:r w:rsidRPr="00577190">
              <w:rPr>
                <w:rFonts w:asciiTheme="majorHAnsi" w:hAnsiTheme="majorHAnsi" w:cstheme="majorHAnsi"/>
                <w:b/>
                <w:bCs/>
                <w:color w:val="3D4447"/>
                <w:sz w:val="20"/>
                <w:szCs w:val="16"/>
              </w:rPr>
              <w:t xml:space="preserve">a. Games </w:t>
            </w:r>
            <w:r w:rsidRPr="00577190">
              <w:rPr>
                <w:rFonts w:asciiTheme="majorHAnsi" w:hAnsiTheme="majorHAnsi" w:cstheme="majorHAnsi"/>
                <w:color w:val="3D4447"/>
                <w:sz w:val="20"/>
                <w:szCs w:val="16"/>
              </w:rPr>
              <w:t>embed the Interrelated Dimensions of Music through repetition</w:t>
            </w:r>
          </w:p>
          <w:p w14:paraId="4697994E" w14:textId="77777777" w:rsidR="000D34A8" w:rsidRPr="00577190" w:rsidRDefault="000D34A8" w:rsidP="000D34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20"/>
                <w:szCs w:val="16"/>
              </w:rPr>
            </w:pPr>
            <w:r w:rsidRPr="00577190">
              <w:rPr>
                <w:rFonts w:asciiTheme="majorHAnsi" w:hAnsiTheme="majorHAnsi" w:cstheme="majorHAnsi"/>
                <w:b/>
                <w:bCs/>
                <w:color w:val="3D4447"/>
                <w:sz w:val="20"/>
                <w:szCs w:val="16"/>
              </w:rPr>
              <w:t xml:space="preserve">b. Singing </w:t>
            </w:r>
            <w:r w:rsidRPr="00577190">
              <w:rPr>
                <w:rFonts w:asciiTheme="majorHAnsi" w:hAnsiTheme="majorHAnsi" w:cstheme="majorHAnsi"/>
                <w:color w:val="3D4447"/>
                <w:sz w:val="20"/>
                <w:szCs w:val="16"/>
              </w:rPr>
              <w:t>is at the heart of all the musical learning</w:t>
            </w:r>
          </w:p>
          <w:p w14:paraId="40E1246C" w14:textId="77777777" w:rsidR="000D34A8" w:rsidRPr="00577190" w:rsidRDefault="000D34A8" w:rsidP="000D34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20"/>
                <w:szCs w:val="16"/>
              </w:rPr>
            </w:pPr>
            <w:r w:rsidRPr="00577190">
              <w:rPr>
                <w:rFonts w:asciiTheme="majorHAnsi" w:hAnsiTheme="majorHAnsi" w:cstheme="majorHAnsi"/>
                <w:b/>
                <w:bCs/>
                <w:color w:val="3D4447"/>
                <w:sz w:val="20"/>
                <w:szCs w:val="16"/>
              </w:rPr>
              <w:t xml:space="preserve">c. Playing </w:t>
            </w:r>
            <w:r w:rsidRPr="00577190">
              <w:rPr>
                <w:rFonts w:asciiTheme="majorHAnsi" w:hAnsiTheme="majorHAnsi" w:cstheme="majorHAnsi"/>
                <w:color w:val="3D4447"/>
                <w:sz w:val="20"/>
                <w:szCs w:val="16"/>
              </w:rPr>
              <w:t>instruments with the song to be learnt – tuned/un-tuned classroom percussion and</w:t>
            </w:r>
          </w:p>
          <w:p w14:paraId="183F09F8" w14:textId="77777777" w:rsidR="000D34A8" w:rsidRPr="00577190" w:rsidRDefault="000D34A8" w:rsidP="000D34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20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20"/>
                <w:szCs w:val="16"/>
              </w:rPr>
              <w:t>an option to play any band instrument. A sound-before-symbol approach is used but</w:t>
            </w:r>
          </w:p>
          <w:p w14:paraId="456E348D" w14:textId="77777777" w:rsidR="000D34A8" w:rsidRPr="00577190" w:rsidRDefault="000D34A8" w:rsidP="000D34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20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20"/>
                <w:szCs w:val="16"/>
              </w:rPr>
              <w:t>scores are provided as an understanding of notation is introduced to the children</w:t>
            </w:r>
          </w:p>
          <w:p w14:paraId="2FE2EDAD" w14:textId="77777777" w:rsidR="000D34A8" w:rsidRPr="00577190" w:rsidRDefault="000D34A8" w:rsidP="000D34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20"/>
                <w:szCs w:val="16"/>
              </w:rPr>
            </w:pPr>
            <w:r w:rsidRPr="00577190">
              <w:rPr>
                <w:rFonts w:asciiTheme="majorHAnsi" w:hAnsiTheme="majorHAnsi" w:cstheme="majorHAnsi"/>
                <w:b/>
                <w:bCs/>
                <w:color w:val="3D4447"/>
                <w:sz w:val="20"/>
                <w:szCs w:val="16"/>
              </w:rPr>
              <w:t xml:space="preserve">d. Improvising </w:t>
            </w:r>
            <w:r w:rsidRPr="00577190">
              <w:rPr>
                <w:rFonts w:asciiTheme="majorHAnsi" w:hAnsiTheme="majorHAnsi" w:cstheme="majorHAnsi"/>
                <w:color w:val="3D4447"/>
                <w:sz w:val="20"/>
                <w:szCs w:val="16"/>
              </w:rPr>
              <w:t>with the song using voices and instruments occurs in some Units of Work</w:t>
            </w:r>
          </w:p>
          <w:p w14:paraId="2FC4C144" w14:textId="77777777" w:rsidR="000D34A8" w:rsidRPr="00577190" w:rsidRDefault="000D34A8" w:rsidP="000D34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20"/>
                <w:szCs w:val="16"/>
              </w:rPr>
            </w:pPr>
            <w:r w:rsidRPr="00577190">
              <w:rPr>
                <w:rFonts w:asciiTheme="majorHAnsi" w:hAnsiTheme="majorHAnsi" w:cstheme="majorHAnsi"/>
                <w:b/>
                <w:bCs/>
                <w:color w:val="3D4447"/>
                <w:sz w:val="20"/>
                <w:szCs w:val="16"/>
              </w:rPr>
              <w:t xml:space="preserve">e. Composing </w:t>
            </w:r>
            <w:r w:rsidRPr="00577190">
              <w:rPr>
                <w:rFonts w:asciiTheme="majorHAnsi" w:hAnsiTheme="majorHAnsi" w:cstheme="majorHAnsi"/>
                <w:color w:val="3D4447"/>
                <w:sz w:val="20"/>
                <w:szCs w:val="16"/>
              </w:rPr>
              <w:t>with the song using instruments occurs in some Units of Work</w:t>
            </w:r>
          </w:p>
          <w:p w14:paraId="2A37291E" w14:textId="77777777" w:rsidR="000D34A8" w:rsidRPr="00577190" w:rsidRDefault="000D34A8" w:rsidP="000D34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212426"/>
                <w:sz w:val="20"/>
                <w:szCs w:val="16"/>
              </w:rPr>
            </w:pPr>
            <w:r w:rsidRPr="00577190">
              <w:rPr>
                <w:rFonts w:asciiTheme="majorHAnsi" w:hAnsiTheme="majorHAnsi" w:cstheme="majorHAnsi"/>
                <w:b/>
                <w:bCs/>
                <w:color w:val="212426"/>
                <w:sz w:val="20"/>
                <w:szCs w:val="16"/>
              </w:rPr>
              <w:t>3. Perform/Share</w:t>
            </w:r>
          </w:p>
          <w:p w14:paraId="4C8F6821" w14:textId="109AFFB4" w:rsidR="001C72B1" w:rsidRPr="001C72B1" w:rsidRDefault="000D34A8" w:rsidP="001C72B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D4447"/>
                <w:sz w:val="16"/>
                <w:szCs w:val="16"/>
              </w:rPr>
            </w:pPr>
            <w:r w:rsidRPr="00577190">
              <w:rPr>
                <w:rFonts w:asciiTheme="majorHAnsi" w:hAnsiTheme="majorHAnsi" w:cstheme="majorHAnsi"/>
                <w:color w:val="3D4447"/>
                <w:sz w:val="20"/>
                <w:szCs w:val="16"/>
              </w:rPr>
              <w:t>Share what has taken place during the lesson and work tow</w:t>
            </w:r>
            <w:r w:rsidR="001C72B1" w:rsidRPr="00577190">
              <w:rPr>
                <w:rFonts w:asciiTheme="majorHAnsi" w:hAnsiTheme="majorHAnsi" w:cstheme="majorHAnsi"/>
                <w:color w:val="3D4447"/>
                <w:sz w:val="20"/>
                <w:szCs w:val="16"/>
              </w:rPr>
              <w:t>ards performing to an audience.</w:t>
            </w:r>
            <w:bookmarkEnd w:id="0"/>
          </w:p>
        </w:tc>
      </w:tr>
    </w:tbl>
    <w:p w14:paraId="48DA6A29" w14:textId="77777777" w:rsidR="009E682D" w:rsidRPr="00A87B37" w:rsidRDefault="009E682D" w:rsidP="008A770A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:rsidRPr="00A87B37" w14:paraId="48DA6A38" w14:textId="77777777" w:rsidTr="209B6D92">
        <w:trPr>
          <w:trHeight w:val="322"/>
        </w:trPr>
        <w:tc>
          <w:tcPr>
            <w:tcW w:w="15388" w:type="dxa"/>
            <w:shd w:val="clear" w:color="auto" w:fill="C5E0B3" w:themeFill="accent6" w:themeFillTint="66"/>
          </w:tcPr>
          <w:p w14:paraId="48DA6A37" w14:textId="7A89E1B3" w:rsidR="00BF4C49" w:rsidRPr="00A87B37" w:rsidRDefault="00F646C2" w:rsidP="000D34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Scheme overview </w:t>
            </w:r>
          </w:p>
        </w:tc>
      </w:tr>
      <w:tr w:rsidR="006E0EE2" w:rsidRPr="00A87B37" w14:paraId="64251785" w14:textId="77777777" w:rsidTr="001B652F">
        <w:trPr>
          <w:trHeight w:val="292"/>
        </w:trPr>
        <w:tc>
          <w:tcPr>
            <w:tcW w:w="15388" w:type="dxa"/>
          </w:tcPr>
          <w:p w14:paraId="474E2CB3" w14:textId="77777777" w:rsidR="006C7D09" w:rsidRDefault="00F646C2" w:rsidP="001B652F">
            <w:pPr>
              <w:spacing w:line="259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F49FB1E" wp14:editId="143390F5">
                  <wp:extent cx="4356100" cy="28257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3360" t="8276" r="13318" b="4039"/>
                          <a:stretch/>
                        </pic:blipFill>
                        <pic:spPr bwMode="auto">
                          <a:xfrm>
                            <a:off x="0" y="0"/>
                            <a:ext cx="4356100" cy="282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F6EE69" w14:textId="165A1270" w:rsidR="00F646C2" w:rsidRPr="001B652F" w:rsidRDefault="00F646C2" w:rsidP="001B652F">
            <w:pPr>
              <w:spacing w:line="259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82221D" wp14:editId="53637AB1">
                  <wp:extent cx="4343400" cy="1149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2851" t="9655" r="13693" b="54680"/>
                          <a:stretch/>
                        </pic:blipFill>
                        <pic:spPr bwMode="auto">
                          <a:xfrm>
                            <a:off x="0" y="0"/>
                            <a:ext cx="4343400" cy="114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DA6A39" w14:textId="4E987A10" w:rsidR="009E682D" w:rsidRPr="00A87B37" w:rsidRDefault="009E682D" w:rsidP="008A770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7D9E" w:rsidRPr="00A87B37" w14:paraId="65852F84" w14:textId="77777777" w:rsidTr="209B6D92">
        <w:trPr>
          <w:trHeight w:val="322"/>
        </w:trPr>
        <w:tc>
          <w:tcPr>
            <w:tcW w:w="15388" w:type="dxa"/>
            <w:shd w:val="clear" w:color="auto" w:fill="FFFF00"/>
          </w:tcPr>
          <w:p w14:paraId="4B5A6298" w14:textId="6D5C5368" w:rsidR="007B7D9E" w:rsidRPr="00A87B37" w:rsidRDefault="007B7D9E" w:rsidP="00F652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B37">
              <w:rPr>
                <w:rFonts w:cstheme="minorHAnsi"/>
                <w:b/>
                <w:sz w:val="20"/>
                <w:szCs w:val="20"/>
                <w:u w:val="single"/>
              </w:rPr>
              <w:t>Key Vocabulary</w:t>
            </w:r>
            <w:r w:rsidR="00F6528E">
              <w:rPr>
                <w:rFonts w:cstheme="minorHAnsi"/>
                <w:b/>
                <w:sz w:val="20"/>
                <w:szCs w:val="20"/>
                <w:u w:val="single"/>
              </w:rPr>
              <w:t xml:space="preserve">  </w:t>
            </w:r>
            <w:r w:rsidR="00F6528E">
              <w:rPr>
                <w:rFonts w:cstheme="minorHAnsi"/>
                <w:b/>
                <w:color w:val="FF0000"/>
                <w:sz w:val="16"/>
                <w:szCs w:val="16"/>
              </w:rPr>
              <w:t>What are the essential words that all children must know and be able to explain</w:t>
            </w:r>
          </w:p>
        </w:tc>
      </w:tr>
      <w:tr w:rsidR="007B7D9E" w:rsidRPr="00A87B37" w14:paraId="16C6260B" w14:textId="77777777" w:rsidTr="209B6D92">
        <w:trPr>
          <w:trHeight w:val="532"/>
        </w:trPr>
        <w:tc>
          <w:tcPr>
            <w:tcW w:w="153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9494"/>
            </w:tblGrid>
            <w:tr w:rsidR="00F646C2" w:rsidRPr="001C72B1" w14:paraId="1925D1B7" w14:textId="77777777" w:rsidTr="00F646C2">
              <w:tc>
                <w:tcPr>
                  <w:tcW w:w="736" w:type="dxa"/>
                </w:tcPr>
                <w:p w14:paraId="2DA8C968" w14:textId="0150469C" w:rsidR="00F646C2" w:rsidRPr="001C72B1" w:rsidRDefault="00F646C2" w:rsidP="00377DB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9494" w:type="dxa"/>
                </w:tcPr>
                <w:p w14:paraId="3F436FD3" w14:textId="406AC09C" w:rsidR="00F646C2" w:rsidRPr="00E92019" w:rsidRDefault="00E92019" w:rsidP="00E9201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  <w:t>Puls</w:t>
                  </w:r>
                  <w:r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  <w:t>e, rhythm, pitch, rap, clap</w:t>
                  </w:r>
                  <w:r w:rsidRPr="001C72B1"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  <w:t>, compose, melody,</w:t>
                  </w:r>
                  <w:r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  <w:t xml:space="preserve"> instrument,</w:t>
                  </w:r>
                  <w:r w:rsidRPr="001C72B1"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  <w:t xml:space="preserve"> </w:t>
                  </w:r>
                  <w:r w:rsidRPr="001C72B1"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>bass guitar,</w:t>
                  </w:r>
                  <w:r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C72B1"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>drums, decks, perform, singers, keyboard, pe</w:t>
                  </w:r>
                  <w:r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>rcussion, trumpets, saxophones</w:t>
                  </w:r>
                  <w:r w:rsidRPr="001C72B1"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>, p</w:t>
                  </w:r>
                  <w:r w:rsidRPr="001C72B1"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  <w:t>ulse, rhythm, pitch, groove, audience, imagination</w:t>
                  </w:r>
                </w:p>
              </w:tc>
            </w:tr>
            <w:tr w:rsidR="00F646C2" w:rsidRPr="001C72B1" w14:paraId="0D7CA5E5" w14:textId="77777777" w:rsidTr="00F646C2">
              <w:tc>
                <w:tcPr>
                  <w:tcW w:w="736" w:type="dxa"/>
                </w:tcPr>
                <w:p w14:paraId="5AEB07B6" w14:textId="7FB17F26" w:rsidR="00F646C2" w:rsidRPr="001C72B1" w:rsidRDefault="00F646C2" w:rsidP="00377DB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494" w:type="dxa"/>
                </w:tcPr>
                <w:p w14:paraId="08D1084B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  <w:t xml:space="preserve">Pulse, rhythm, pitch, rap, improvise, compose, melody, </w:t>
                  </w:r>
                  <w:r w:rsidRPr="001C72B1"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>bass guitar,</w:t>
                  </w:r>
                </w:p>
                <w:p w14:paraId="5637E59C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>drums, decks, perform, singers, keyboard, percussion, trumpets, saxophones, Blues, Baroque,</w:t>
                  </w:r>
                </w:p>
                <w:p w14:paraId="0593ADBC" w14:textId="39706CA3" w:rsidR="00F646C2" w:rsidRPr="001C72B1" w:rsidRDefault="001C72B1" w:rsidP="001C72B1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>Latin, Irish Folk, Funk, p</w:t>
                  </w:r>
                  <w:r w:rsidRPr="001C72B1"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  <w:t>ulse, rhythm, pitch, groove, audience, imagination</w:t>
                  </w:r>
                </w:p>
              </w:tc>
            </w:tr>
            <w:tr w:rsidR="00F646C2" w:rsidRPr="001C72B1" w14:paraId="5E0A945F" w14:textId="77777777" w:rsidTr="00F646C2">
              <w:tc>
                <w:tcPr>
                  <w:tcW w:w="736" w:type="dxa"/>
                </w:tcPr>
                <w:p w14:paraId="01F4F632" w14:textId="5767C2A6" w:rsidR="00F646C2" w:rsidRPr="001C72B1" w:rsidRDefault="00F646C2" w:rsidP="00377DB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494" w:type="dxa"/>
                </w:tcPr>
                <w:p w14:paraId="4BAD8DEA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  <w:t>K</w:t>
                  </w:r>
                  <w:r w:rsidRPr="001C72B1"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 xml:space="preserve">eyboard, drums, bass, electric guitar, saxophone, trumpet, </w:t>
                  </w:r>
                  <w:r w:rsidRPr="001C72B1"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  <w:t>pulse,</w:t>
                  </w:r>
                </w:p>
                <w:p w14:paraId="5C2A3740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  <w:t>rhythm, pitch, improvise, compose, audience, question and answer, melody, dynamics, tempo,</w:t>
                  </w:r>
                </w:p>
                <w:p w14:paraId="2D9591E4" w14:textId="5A968C02" w:rsidR="00F646C2" w:rsidRPr="001C72B1" w:rsidRDefault="001C72B1" w:rsidP="001C72B1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  <w:t xml:space="preserve">perform/performance, audience, rap, </w:t>
                  </w:r>
                  <w:r w:rsidRPr="001C72B1"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>Reggae, glockenspiel.</w:t>
                  </w:r>
                </w:p>
              </w:tc>
            </w:tr>
            <w:tr w:rsidR="00F646C2" w:rsidRPr="001C72B1" w14:paraId="3003C918" w14:textId="77777777" w:rsidTr="00F646C2">
              <w:tc>
                <w:tcPr>
                  <w:tcW w:w="736" w:type="dxa"/>
                </w:tcPr>
                <w:p w14:paraId="56EAE85C" w14:textId="42A34A9F" w:rsidR="00F646C2" w:rsidRPr="001C72B1" w:rsidRDefault="00F646C2" w:rsidP="00377DB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494" w:type="dxa"/>
                </w:tcPr>
                <w:p w14:paraId="24823B77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>Structure, intro/introduction, verse, chorus, improvise, compose, pulse, rhythm,</w:t>
                  </w:r>
                </w:p>
                <w:p w14:paraId="332FF83B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>pitch, tempo, dynamics, bass, drums, guitar, keyboard, synthesizer, hook, melody, texture,</w:t>
                  </w:r>
                </w:p>
                <w:p w14:paraId="5252CB85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>structure, electric guitar, organ, backing vocals, hook, riff, melody, Reggae, pentatonic scale,</w:t>
                  </w:r>
                </w:p>
                <w:p w14:paraId="0CE10830" w14:textId="4D569039" w:rsidR="00F646C2" w:rsidRPr="001C72B1" w:rsidRDefault="001C72B1" w:rsidP="001C72B1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>imagination, Disco.</w:t>
                  </w:r>
                </w:p>
              </w:tc>
            </w:tr>
            <w:tr w:rsidR="00F646C2" w:rsidRPr="001C72B1" w14:paraId="730111D4" w14:textId="77777777" w:rsidTr="00F646C2">
              <w:tc>
                <w:tcPr>
                  <w:tcW w:w="736" w:type="dxa"/>
                </w:tcPr>
                <w:p w14:paraId="1C466547" w14:textId="0D729A52" w:rsidR="00F646C2" w:rsidRPr="001C72B1" w:rsidRDefault="00F646C2" w:rsidP="00377DB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494" w:type="dxa"/>
                </w:tcPr>
                <w:p w14:paraId="146E3A5C" w14:textId="08DEBE60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>Keyboard, electric guitar, bass, drums, improvise, compose, melody, pulse,</w:t>
                  </w:r>
                </w:p>
                <w:p w14:paraId="63C18DFF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>rhythm, pitch, tempo, dynamics, texture, structure, compose, improvise, hook, riff, melody,</w:t>
                  </w:r>
                </w:p>
                <w:p w14:paraId="137160C8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>solo, pentatonic scale, unison, rhythm patterns, musical style, rapping, lyrics, choreography,</w:t>
                  </w:r>
                </w:p>
                <w:p w14:paraId="7F9A96C5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>digital/electronic sounds, turntables, synthesizers, by ear, notation, backing vocal, piano,</w:t>
                  </w:r>
                </w:p>
                <w:p w14:paraId="53A81A2D" w14:textId="6896F3A8" w:rsidR="00F646C2" w:rsidRPr="001C72B1" w:rsidRDefault="001C72B1" w:rsidP="001C72B1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>organ, acoustic guitar, percussion, birdsong, civil rights, racism, equality.</w:t>
                  </w:r>
                </w:p>
              </w:tc>
            </w:tr>
            <w:tr w:rsidR="00F646C2" w:rsidRPr="001C72B1" w14:paraId="5B1FE338" w14:textId="77777777" w:rsidTr="00F646C2">
              <w:tc>
                <w:tcPr>
                  <w:tcW w:w="736" w:type="dxa"/>
                </w:tcPr>
                <w:p w14:paraId="0B15D7EC" w14:textId="0096E621" w:rsidR="00F646C2" w:rsidRPr="001C72B1" w:rsidRDefault="00F646C2" w:rsidP="00377DB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494" w:type="dxa"/>
                </w:tcPr>
                <w:p w14:paraId="509DA53D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>Rock, bridge, backbeat, amplifier, chorus, bridge, riff, hook, improvise, compose,</w:t>
                  </w:r>
                </w:p>
                <w:p w14:paraId="4AD8F345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appraising, </w:t>
                  </w:r>
                  <w:proofErr w:type="spellStart"/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>Bossa</w:t>
                  </w:r>
                  <w:proofErr w:type="spellEnd"/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Nova, syncopation, structure, Swing, tune/head, note values, note names,</w:t>
                  </w:r>
                </w:p>
                <w:p w14:paraId="7FF97D4C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>Big bands, pulse, rhythm, solo, ballad, verse, interlude, tag ending, strings, piano, guitar, bass,</w:t>
                  </w:r>
                </w:p>
                <w:p w14:paraId="2148C7A5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>drums, melody, cover, Old-school Hip Hop, Rap, riff, synthesizer, deck, backing loops, Funk,</w:t>
                  </w:r>
                </w:p>
                <w:p w14:paraId="001FC250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>scratching, unison, melody, cover, pitch, tempo, dynamics, timbre, texture, Soul, groove, riff,</w:t>
                  </w:r>
                </w:p>
                <w:p w14:paraId="60092D68" w14:textId="5D6E2178" w:rsidR="00F646C2" w:rsidRPr="001C72B1" w:rsidRDefault="001C72B1" w:rsidP="001C72B1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sz w:val="16"/>
                      <w:szCs w:val="16"/>
                    </w:rPr>
                    <w:t>bass line, brass section, harmony, melody</w:t>
                  </w:r>
                </w:p>
              </w:tc>
            </w:tr>
            <w:tr w:rsidR="00F646C2" w:rsidRPr="001C72B1" w14:paraId="546896B0" w14:textId="77777777" w:rsidTr="00F646C2">
              <w:tc>
                <w:tcPr>
                  <w:tcW w:w="736" w:type="dxa"/>
                </w:tcPr>
                <w:p w14:paraId="715CBF85" w14:textId="38072527" w:rsidR="00F646C2" w:rsidRPr="001C72B1" w:rsidRDefault="00F646C2" w:rsidP="00377DB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494" w:type="dxa"/>
                </w:tcPr>
                <w:p w14:paraId="78493603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>style indicators, melody, compose, improvise, cover, pulse, rhythm, pitch, tempo,</w:t>
                  </w:r>
                </w:p>
                <w:p w14:paraId="2BAA03E2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>dynamics, timbre, texture, structure, dimensions of music, Neo Soul, producer, groove,</w:t>
                  </w:r>
                </w:p>
                <w:p w14:paraId="3463B311" w14:textId="77777777" w:rsidR="001C72B1" w:rsidRPr="001C72B1" w:rsidRDefault="001C72B1" w:rsidP="001C72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72B1"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>Motown</w:t>
                  </w:r>
                  <w:proofErr w:type="spellEnd"/>
                  <w:r w:rsidRPr="001C72B1"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 xml:space="preserve">, hook, riff, solo, Blues, J </w:t>
                  </w:r>
                  <w:r w:rsidRPr="001C72B1"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  <w:t xml:space="preserve">azz, </w:t>
                  </w:r>
                  <w:r w:rsidRPr="001C72B1"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 xml:space="preserve">improvise/ </w:t>
                  </w:r>
                  <w:r w:rsidRPr="001C72B1">
                    <w:rPr>
                      <w:rFonts w:asciiTheme="majorHAnsi" w:hAnsiTheme="majorHAnsi" w:cstheme="majorHAnsi"/>
                      <w:color w:val="1B2020"/>
                      <w:sz w:val="16"/>
                      <w:szCs w:val="16"/>
                    </w:rPr>
                    <w:t xml:space="preserve">improvisation, by ear, </w:t>
                  </w:r>
                  <w:r w:rsidRPr="001C72B1"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>melody, riff, solo,</w:t>
                  </w:r>
                </w:p>
                <w:p w14:paraId="0E2C4BE7" w14:textId="6FD97554" w:rsidR="00F646C2" w:rsidRPr="001C72B1" w:rsidRDefault="001C72B1" w:rsidP="001C72B1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sz w:val="16"/>
                      <w:szCs w:val="16"/>
                    </w:rPr>
                  </w:pPr>
                  <w:r w:rsidRPr="001C72B1">
                    <w:rPr>
                      <w:rFonts w:asciiTheme="majorHAnsi" w:hAnsiTheme="majorHAnsi" w:cstheme="majorHAnsi"/>
                      <w:color w:val="000000"/>
                      <w:sz w:val="16"/>
                      <w:szCs w:val="16"/>
                    </w:rPr>
                    <w:t>ostinato, phrases, unison, Urban Gospel, civil rights, gender equality, unison, harmony.</w:t>
                  </w:r>
                </w:p>
              </w:tc>
            </w:tr>
          </w:tbl>
          <w:p w14:paraId="717B0044" w14:textId="507FA497" w:rsidR="00FD00BF" w:rsidRPr="001C72B1" w:rsidRDefault="00FD00BF" w:rsidP="00377DB7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1438351D" w14:textId="77777777" w:rsidR="007B7D9E" w:rsidRPr="00A87B37" w:rsidRDefault="007B7D9E" w:rsidP="008A770A">
      <w:pPr>
        <w:pStyle w:val="NoSpacing"/>
        <w:rPr>
          <w:rFonts w:cstheme="minorHAnsi"/>
        </w:rPr>
      </w:pPr>
    </w:p>
    <w:p w14:paraId="48DA6A3C" w14:textId="77777777" w:rsidR="008A770A" w:rsidRPr="00A87B37" w:rsidRDefault="008A770A">
      <w:pPr>
        <w:rPr>
          <w:rFonts w:cstheme="minorHAnsi"/>
        </w:rPr>
      </w:pPr>
    </w:p>
    <w:sectPr w:rsidR="008A770A" w:rsidRPr="00A87B37" w:rsidSect="009E682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A7B58" w14:textId="77777777" w:rsidR="003B662D" w:rsidRDefault="003B662D" w:rsidP="009E682D">
      <w:pPr>
        <w:spacing w:after="0" w:line="240" w:lineRule="auto"/>
      </w:pPr>
      <w:r>
        <w:separator/>
      </w:r>
    </w:p>
  </w:endnote>
  <w:endnote w:type="continuationSeparator" w:id="0">
    <w:p w14:paraId="5F2175F7" w14:textId="77777777" w:rsidR="003B662D" w:rsidRDefault="003B662D" w:rsidP="009E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4D32" w14:textId="77777777" w:rsidR="003B662D" w:rsidRDefault="003B662D" w:rsidP="009E682D">
      <w:pPr>
        <w:spacing w:after="0" w:line="240" w:lineRule="auto"/>
      </w:pPr>
      <w:r>
        <w:separator/>
      </w:r>
    </w:p>
  </w:footnote>
  <w:footnote w:type="continuationSeparator" w:id="0">
    <w:p w14:paraId="63162086" w14:textId="77777777" w:rsidR="003B662D" w:rsidRDefault="003B662D" w:rsidP="009E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6A45" w14:textId="0DD91D10" w:rsidR="009E682D" w:rsidRDefault="000D34A8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</w:rPr>
    </w:pPr>
    <w:r>
      <w:rPr>
        <w:rFonts w:ascii="Arial" w:hAnsi="Arial" w:cs="Arial"/>
      </w:rPr>
      <w:t xml:space="preserve">Music </w:t>
    </w:r>
    <w:r w:rsidR="009E682D" w:rsidRPr="009E682D">
      <w:rPr>
        <w:rFonts w:ascii="Arial" w:hAnsi="Arial" w:cs="Arial"/>
      </w:rPr>
      <w:tab/>
    </w:r>
    <w:r w:rsidR="00D961A0">
      <w:rPr>
        <w:rFonts w:ascii="Arial" w:hAnsi="Arial" w:cs="Arial"/>
      </w:rPr>
      <w:t>R -6</w:t>
    </w:r>
  </w:p>
  <w:p w14:paraId="48DA6A46" w14:textId="77777777" w:rsidR="00EF02E0" w:rsidRPr="00EF02E0" w:rsidRDefault="00EF02E0" w:rsidP="009E682D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26D"/>
    <w:multiLevelType w:val="hybridMultilevel"/>
    <w:tmpl w:val="83D4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2E35"/>
    <w:multiLevelType w:val="hybridMultilevel"/>
    <w:tmpl w:val="C3EA7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F2C64"/>
    <w:multiLevelType w:val="hybridMultilevel"/>
    <w:tmpl w:val="694AA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3A5"/>
    <w:multiLevelType w:val="hybridMultilevel"/>
    <w:tmpl w:val="C83C5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C2C29"/>
    <w:multiLevelType w:val="hybridMultilevel"/>
    <w:tmpl w:val="B21C6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40A67"/>
    <w:multiLevelType w:val="hybridMultilevel"/>
    <w:tmpl w:val="6DCC9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96FDA"/>
    <w:multiLevelType w:val="hybridMultilevel"/>
    <w:tmpl w:val="ABA0A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B2068"/>
    <w:multiLevelType w:val="hybridMultilevel"/>
    <w:tmpl w:val="54607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B294B"/>
    <w:multiLevelType w:val="hybridMultilevel"/>
    <w:tmpl w:val="57805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E4E2D"/>
    <w:multiLevelType w:val="hybridMultilevel"/>
    <w:tmpl w:val="D4B27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11B2B"/>
    <w:multiLevelType w:val="hybridMultilevel"/>
    <w:tmpl w:val="870A3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351763"/>
    <w:multiLevelType w:val="multilevel"/>
    <w:tmpl w:val="D30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10EB3"/>
    <w:multiLevelType w:val="hybridMultilevel"/>
    <w:tmpl w:val="4F80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46DEB"/>
    <w:multiLevelType w:val="hybridMultilevel"/>
    <w:tmpl w:val="23C6AC44"/>
    <w:lvl w:ilvl="0" w:tplc="5A0E6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2E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CC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3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21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A0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46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85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8F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73CE2"/>
    <w:multiLevelType w:val="hybridMultilevel"/>
    <w:tmpl w:val="B4500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91287"/>
    <w:multiLevelType w:val="hybridMultilevel"/>
    <w:tmpl w:val="DC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31048"/>
    <w:multiLevelType w:val="hybridMultilevel"/>
    <w:tmpl w:val="31DEA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A8B9F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A304FD"/>
    <w:multiLevelType w:val="hybridMultilevel"/>
    <w:tmpl w:val="24484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5376F"/>
    <w:multiLevelType w:val="hybridMultilevel"/>
    <w:tmpl w:val="AB50A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6773B4"/>
    <w:multiLevelType w:val="hybridMultilevel"/>
    <w:tmpl w:val="FC808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A67B6"/>
    <w:multiLevelType w:val="hybridMultilevel"/>
    <w:tmpl w:val="F2F41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2E11E1"/>
    <w:multiLevelType w:val="hybridMultilevel"/>
    <w:tmpl w:val="13FA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B55E9"/>
    <w:multiLevelType w:val="hybridMultilevel"/>
    <w:tmpl w:val="2116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3D3612"/>
    <w:multiLevelType w:val="hybridMultilevel"/>
    <w:tmpl w:val="020AA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BA064B"/>
    <w:multiLevelType w:val="hybridMultilevel"/>
    <w:tmpl w:val="E65028BC"/>
    <w:lvl w:ilvl="0" w:tplc="13BC7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5051F7"/>
    <w:multiLevelType w:val="hybridMultilevel"/>
    <w:tmpl w:val="5DE69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47757A"/>
    <w:multiLevelType w:val="hybridMultilevel"/>
    <w:tmpl w:val="1592B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5B730D"/>
    <w:multiLevelType w:val="hybridMultilevel"/>
    <w:tmpl w:val="F9F01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9525C2"/>
    <w:multiLevelType w:val="hybridMultilevel"/>
    <w:tmpl w:val="CF7C6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217403"/>
    <w:multiLevelType w:val="hybridMultilevel"/>
    <w:tmpl w:val="5BA41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451732"/>
    <w:multiLevelType w:val="hybridMultilevel"/>
    <w:tmpl w:val="028C3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0"/>
  </w:num>
  <w:num w:numId="4">
    <w:abstractNumId w:val="0"/>
  </w:num>
  <w:num w:numId="5">
    <w:abstractNumId w:val="3"/>
  </w:num>
  <w:num w:numId="6">
    <w:abstractNumId w:val="18"/>
  </w:num>
  <w:num w:numId="7">
    <w:abstractNumId w:val="8"/>
  </w:num>
  <w:num w:numId="8">
    <w:abstractNumId w:val="26"/>
  </w:num>
  <w:num w:numId="9">
    <w:abstractNumId w:val="4"/>
  </w:num>
  <w:num w:numId="10">
    <w:abstractNumId w:val="24"/>
  </w:num>
  <w:num w:numId="11">
    <w:abstractNumId w:val="28"/>
  </w:num>
  <w:num w:numId="12">
    <w:abstractNumId w:val="25"/>
  </w:num>
  <w:num w:numId="13">
    <w:abstractNumId w:val="29"/>
  </w:num>
  <w:num w:numId="14">
    <w:abstractNumId w:val="1"/>
  </w:num>
  <w:num w:numId="15">
    <w:abstractNumId w:val="27"/>
  </w:num>
  <w:num w:numId="16">
    <w:abstractNumId w:val="22"/>
  </w:num>
  <w:num w:numId="17">
    <w:abstractNumId w:val="11"/>
  </w:num>
  <w:num w:numId="18">
    <w:abstractNumId w:val="6"/>
  </w:num>
  <w:num w:numId="19">
    <w:abstractNumId w:val="20"/>
  </w:num>
  <w:num w:numId="20">
    <w:abstractNumId w:val="19"/>
  </w:num>
  <w:num w:numId="21">
    <w:abstractNumId w:val="23"/>
  </w:num>
  <w:num w:numId="22">
    <w:abstractNumId w:val="9"/>
  </w:num>
  <w:num w:numId="23">
    <w:abstractNumId w:val="14"/>
  </w:num>
  <w:num w:numId="24">
    <w:abstractNumId w:val="15"/>
  </w:num>
  <w:num w:numId="25">
    <w:abstractNumId w:val="7"/>
  </w:num>
  <w:num w:numId="26">
    <w:abstractNumId w:val="16"/>
  </w:num>
  <w:num w:numId="27">
    <w:abstractNumId w:val="21"/>
  </w:num>
  <w:num w:numId="28">
    <w:abstractNumId w:val="17"/>
  </w:num>
  <w:num w:numId="29">
    <w:abstractNumId w:val="2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2D"/>
    <w:rsid w:val="0002119D"/>
    <w:rsid w:val="000252F0"/>
    <w:rsid w:val="00047A33"/>
    <w:rsid w:val="000A195E"/>
    <w:rsid w:val="000A65A8"/>
    <w:rsid w:val="000B1A7F"/>
    <w:rsid w:val="000C3A6F"/>
    <w:rsid w:val="000C6460"/>
    <w:rsid w:val="000D34A8"/>
    <w:rsid w:val="000E1281"/>
    <w:rsid w:val="0014684C"/>
    <w:rsid w:val="00152DB0"/>
    <w:rsid w:val="0018004C"/>
    <w:rsid w:val="001B32C9"/>
    <w:rsid w:val="001B652F"/>
    <w:rsid w:val="001C4695"/>
    <w:rsid w:val="001C72B1"/>
    <w:rsid w:val="001D0AE7"/>
    <w:rsid w:val="001D5122"/>
    <w:rsid w:val="001E52EB"/>
    <w:rsid w:val="00212AB0"/>
    <w:rsid w:val="00244E85"/>
    <w:rsid w:val="00250D05"/>
    <w:rsid w:val="00254224"/>
    <w:rsid w:val="00254B49"/>
    <w:rsid w:val="00260A3E"/>
    <w:rsid w:val="002A5B19"/>
    <w:rsid w:val="002B6D1A"/>
    <w:rsid w:val="002B7967"/>
    <w:rsid w:val="002F1015"/>
    <w:rsid w:val="002F720D"/>
    <w:rsid w:val="00353ACA"/>
    <w:rsid w:val="003641FC"/>
    <w:rsid w:val="0037370D"/>
    <w:rsid w:val="00377DB7"/>
    <w:rsid w:val="003A31C5"/>
    <w:rsid w:val="003A4C43"/>
    <w:rsid w:val="003B662D"/>
    <w:rsid w:val="003D1151"/>
    <w:rsid w:val="003E3125"/>
    <w:rsid w:val="003E5614"/>
    <w:rsid w:val="003F4BF1"/>
    <w:rsid w:val="00400BFA"/>
    <w:rsid w:val="004117A3"/>
    <w:rsid w:val="004175FA"/>
    <w:rsid w:val="00443E3F"/>
    <w:rsid w:val="00450330"/>
    <w:rsid w:val="00451BEC"/>
    <w:rsid w:val="004520EA"/>
    <w:rsid w:val="004A101D"/>
    <w:rsid w:val="004B0C25"/>
    <w:rsid w:val="00501A1F"/>
    <w:rsid w:val="00566095"/>
    <w:rsid w:val="0057362B"/>
    <w:rsid w:val="00577190"/>
    <w:rsid w:val="0058084F"/>
    <w:rsid w:val="005A0C21"/>
    <w:rsid w:val="005B7392"/>
    <w:rsid w:val="005C2F03"/>
    <w:rsid w:val="005E2F40"/>
    <w:rsid w:val="005F49EC"/>
    <w:rsid w:val="00600445"/>
    <w:rsid w:val="006329CC"/>
    <w:rsid w:val="0063450C"/>
    <w:rsid w:val="00640225"/>
    <w:rsid w:val="00671C96"/>
    <w:rsid w:val="006B4CFC"/>
    <w:rsid w:val="006C7D09"/>
    <w:rsid w:val="006D26E1"/>
    <w:rsid w:val="006E0EE2"/>
    <w:rsid w:val="006E4BA2"/>
    <w:rsid w:val="00704AC9"/>
    <w:rsid w:val="0074543A"/>
    <w:rsid w:val="0075771F"/>
    <w:rsid w:val="0076781C"/>
    <w:rsid w:val="007A065C"/>
    <w:rsid w:val="007B7CF7"/>
    <w:rsid w:val="007B7D9E"/>
    <w:rsid w:val="007C15BC"/>
    <w:rsid w:val="007C7817"/>
    <w:rsid w:val="007F49B3"/>
    <w:rsid w:val="008001C4"/>
    <w:rsid w:val="008141D8"/>
    <w:rsid w:val="008239AD"/>
    <w:rsid w:val="00842F3E"/>
    <w:rsid w:val="00851036"/>
    <w:rsid w:val="00884F47"/>
    <w:rsid w:val="008A770A"/>
    <w:rsid w:val="008B1F4B"/>
    <w:rsid w:val="008B3628"/>
    <w:rsid w:val="008E137D"/>
    <w:rsid w:val="008E59DB"/>
    <w:rsid w:val="008F40DF"/>
    <w:rsid w:val="008F5899"/>
    <w:rsid w:val="00901707"/>
    <w:rsid w:val="00902F14"/>
    <w:rsid w:val="00924133"/>
    <w:rsid w:val="00952A2A"/>
    <w:rsid w:val="0095451F"/>
    <w:rsid w:val="00972FA7"/>
    <w:rsid w:val="009A29B7"/>
    <w:rsid w:val="009B4083"/>
    <w:rsid w:val="009B4874"/>
    <w:rsid w:val="009B5BBA"/>
    <w:rsid w:val="009C2140"/>
    <w:rsid w:val="009E0E73"/>
    <w:rsid w:val="009E682D"/>
    <w:rsid w:val="009F0F1E"/>
    <w:rsid w:val="00A1087F"/>
    <w:rsid w:val="00A24543"/>
    <w:rsid w:val="00A26150"/>
    <w:rsid w:val="00A57501"/>
    <w:rsid w:val="00A7476E"/>
    <w:rsid w:val="00A81BDD"/>
    <w:rsid w:val="00A87B37"/>
    <w:rsid w:val="00A944C9"/>
    <w:rsid w:val="00A97769"/>
    <w:rsid w:val="00AA4A69"/>
    <w:rsid w:val="00AE5B67"/>
    <w:rsid w:val="00AE5BBC"/>
    <w:rsid w:val="00AF0D5C"/>
    <w:rsid w:val="00B13F3C"/>
    <w:rsid w:val="00B208A0"/>
    <w:rsid w:val="00B35DD1"/>
    <w:rsid w:val="00B36395"/>
    <w:rsid w:val="00B4222C"/>
    <w:rsid w:val="00B91D06"/>
    <w:rsid w:val="00B972F4"/>
    <w:rsid w:val="00BA78CC"/>
    <w:rsid w:val="00BC72CF"/>
    <w:rsid w:val="00BF056D"/>
    <w:rsid w:val="00BF1DC8"/>
    <w:rsid w:val="00BF4460"/>
    <w:rsid w:val="00BF4C49"/>
    <w:rsid w:val="00C138DB"/>
    <w:rsid w:val="00C1521F"/>
    <w:rsid w:val="00C47C66"/>
    <w:rsid w:val="00C47FF4"/>
    <w:rsid w:val="00C56710"/>
    <w:rsid w:val="00C63F01"/>
    <w:rsid w:val="00C77AE9"/>
    <w:rsid w:val="00CC3950"/>
    <w:rsid w:val="00CD43C4"/>
    <w:rsid w:val="00CE4B84"/>
    <w:rsid w:val="00CF00E5"/>
    <w:rsid w:val="00CF19F7"/>
    <w:rsid w:val="00CF78B4"/>
    <w:rsid w:val="00D0409F"/>
    <w:rsid w:val="00D3561D"/>
    <w:rsid w:val="00D44122"/>
    <w:rsid w:val="00D62B1C"/>
    <w:rsid w:val="00D83A9A"/>
    <w:rsid w:val="00D961A0"/>
    <w:rsid w:val="00DB4877"/>
    <w:rsid w:val="00DC5686"/>
    <w:rsid w:val="00E4079C"/>
    <w:rsid w:val="00E66221"/>
    <w:rsid w:val="00E72C8C"/>
    <w:rsid w:val="00E838E5"/>
    <w:rsid w:val="00E92019"/>
    <w:rsid w:val="00E93DF4"/>
    <w:rsid w:val="00EA2413"/>
    <w:rsid w:val="00EF02E0"/>
    <w:rsid w:val="00F05740"/>
    <w:rsid w:val="00F059EB"/>
    <w:rsid w:val="00F11A1C"/>
    <w:rsid w:val="00F30FE0"/>
    <w:rsid w:val="00F33C85"/>
    <w:rsid w:val="00F646C2"/>
    <w:rsid w:val="00F6528E"/>
    <w:rsid w:val="00F913BA"/>
    <w:rsid w:val="00F977AB"/>
    <w:rsid w:val="00FD00BF"/>
    <w:rsid w:val="00FD0DAE"/>
    <w:rsid w:val="00FD7897"/>
    <w:rsid w:val="209B6D92"/>
    <w:rsid w:val="29E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DA69E2"/>
  <w15:chartTrackingRefBased/>
  <w15:docId w15:val="{28D0B53D-E3BB-42B6-95DB-22C8388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2D"/>
  </w:style>
  <w:style w:type="paragraph" w:styleId="Footer">
    <w:name w:val="footer"/>
    <w:basedOn w:val="Normal"/>
    <w:link w:val="Foot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2D"/>
  </w:style>
  <w:style w:type="paragraph" w:customStyle="1" w:styleId="Default">
    <w:name w:val="Default"/>
    <w:rsid w:val="009E6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2D"/>
    <w:pPr>
      <w:ind w:left="720"/>
      <w:contextualSpacing/>
    </w:pPr>
  </w:style>
  <w:style w:type="paragraph" w:styleId="NoSpacing">
    <w:name w:val="No Spacing"/>
    <w:uiPriority w:val="1"/>
    <w:qFormat/>
    <w:rsid w:val="00E93D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315D23AEEBE42911991A09DDFBB45" ma:contentTypeVersion="13" ma:contentTypeDescription="Create a new document." ma:contentTypeScope="" ma:versionID="f7b6b2785055cf0bbc7bdf442f1fdc67">
  <xsd:schema xmlns:xsd="http://www.w3.org/2001/XMLSchema" xmlns:xs="http://www.w3.org/2001/XMLSchema" xmlns:p="http://schemas.microsoft.com/office/2006/metadata/properties" xmlns:ns3="8a145855-c994-4881-8a3b-2f282c651044" xmlns:ns4="b418429b-c1c1-42c6-92a6-42aa81d0ba89" targetNamespace="http://schemas.microsoft.com/office/2006/metadata/properties" ma:root="true" ma:fieldsID="ee8d68f681f6c589309d8c30dec58e8b" ns3:_="" ns4:_="">
    <xsd:import namespace="8a145855-c994-4881-8a3b-2f282c651044"/>
    <xsd:import namespace="b418429b-c1c1-42c6-92a6-42aa81d0ba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5855-c994-4881-8a3b-2f282c651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8429b-c1c1-42c6-92a6-42aa81d0b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9C147-67CC-42CF-BBFA-224B036B1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17DC2-CADF-42D2-BE49-6F084E0ADCE8}">
  <ds:schemaRefs>
    <ds:schemaRef ds:uri="b418429b-c1c1-42c6-92a6-42aa81d0ba89"/>
    <ds:schemaRef ds:uri="8a145855-c994-4881-8a3b-2f282c65104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DDF093-9B57-43EC-8497-ACA08961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45855-c994-4881-8a3b-2f282c651044"/>
    <ds:schemaRef ds:uri="b418429b-c1c1-42c6-92a6-42aa81d0b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Gunning, Roy</cp:lastModifiedBy>
  <cp:revision>5</cp:revision>
  <cp:lastPrinted>2018-12-13T11:45:00Z</cp:lastPrinted>
  <dcterms:created xsi:type="dcterms:W3CDTF">2020-06-17T11:01:00Z</dcterms:created>
  <dcterms:modified xsi:type="dcterms:W3CDTF">2020-06-26T08:31:00Z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0x0101002C0315D23AEEBE42911991A09DDFBB45</vt:lpwstr>
  </property>
</Properties>
</file>