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338F" w14:textId="2DD66C00" w:rsidR="00F31CDB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53C1F8" wp14:editId="7B4EB000">
                <wp:simplePos x="0" y="0"/>
                <wp:positionH relativeFrom="margin">
                  <wp:posOffset>-204470</wp:posOffset>
                </wp:positionH>
                <wp:positionV relativeFrom="paragraph">
                  <wp:posOffset>-255270</wp:posOffset>
                </wp:positionV>
                <wp:extent cx="6677247" cy="9366250"/>
                <wp:effectExtent l="57150" t="38100" r="85725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247" cy="936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B8C1B" id="Rectangle 2" o:spid="_x0000_s1026" style="position:absolute;margin-left:-16.1pt;margin-top:-20.1pt;width:525.75pt;height:737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" fillcolor="white [3212]" strokecolor="#7030a0" strokeweight="2.25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4BAFAEEC" w14:textId="77777777" w:rsidR="00F31CDB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12CC2D47" w14:textId="7395E911" w:rsidR="00F31CDB" w:rsidRPr="00CC2EAB" w:rsidRDefault="00434337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591B2D7B" wp14:editId="02ACAEB7">
            <wp:extent cx="5591955" cy="7078063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70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BC9FE" w14:textId="77777777" w:rsidR="00F31CDB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3DB78A67" w14:textId="46E2C060" w:rsidR="00F31CDB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62689888" w14:textId="35FC6C97" w:rsidR="00F31CDB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br w:type="page"/>
      </w:r>
    </w:p>
    <w:p w14:paraId="00000001" w14:textId="339BCD60" w:rsidR="002C01A2" w:rsidRPr="00CC2EAB" w:rsidRDefault="00F31CDB" w:rsidP="00CC2EAB">
      <w:pPr>
        <w:pStyle w:val="NoSpacing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CC2EAB">
        <w:rPr>
          <w:rFonts w:asciiTheme="majorHAnsi" w:hAnsiTheme="majorHAnsi" w:cstheme="majorHAnsi"/>
          <w:b/>
          <w:sz w:val="32"/>
          <w:szCs w:val="32"/>
          <w:u w:val="single"/>
        </w:rPr>
        <w:lastRenderedPageBreak/>
        <w:t xml:space="preserve">St Bernadette’s Catholic Primary School </w:t>
      </w:r>
      <w:r w:rsidR="00434337" w:rsidRPr="00CC2EAB">
        <w:rPr>
          <w:rFonts w:asciiTheme="majorHAnsi" w:hAnsiTheme="majorHAnsi" w:cstheme="majorHAnsi"/>
          <w:b/>
          <w:sz w:val="32"/>
          <w:szCs w:val="32"/>
          <w:u w:val="single"/>
        </w:rPr>
        <w:t>–</w:t>
      </w:r>
      <w:r w:rsidRPr="00CC2EAB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  <w:r w:rsidR="00434337" w:rsidRPr="00CC2EAB">
        <w:rPr>
          <w:rFonts w:asciiTheme="majorHAnsi" w:hAnsiTheme="majorHAnsi" w:cstheme="majorHAnsi"/>
          <w:b/>
          <w:sz w:val="32"/>
          <w:szCs w:val="32"/>
          <w:u w:val="single"/>
        </w:rPr>
        <w:t>Design Technology</w:t>
      </w:r>
      <w:r w:rsidRPr="00CC2EAB">
        <w:rPr>
          <w:rFonts w:asciiTheme="majorHAnsi" w:hAnsiTheme="majorHAnsi" w:cstheme="majorHAnsi"/>
          <w:b/>
          <w:sz w:val="32"/>
          <w:szCs w:val="32"/>
          <w:u w:val="single"/>
        </w:rPr>
        <w:t xml:space="preserve"> Policy</w:t>
      </w:r>
    </w:p>
    <w:p w14:paraId="00000002" w14:textId="23C8BE72" w:rsidR="002C01A2" w:rsidRPr="00CC2EAB" w:rsidRDefault="002C01A2" w:rsidP="00CC2EAB">
      <w:pPr>
        <w:pStyle w:val="NoSpacing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0000003" w14:textId="77777777" w:rsidR="002C01A2" w:rsidRPr="00CC2EAB" w:rsidRDefault="00F31CDB" w:rsidP="00CC2EAB">
      <w:pPr>
        <w:pStyle w:val="NoSpacing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CC2EAB">
        <w:rPr>
          <w:rFonts w:asciiTheme="majorHAnsi" w:hAnsiTheme="majorHAnsi" w:cstheme="majorHAnsi"/>
          <w:b/>
          <w:i/>
          <w:sz w:val="32"/>
          <w:szCs w:val="32"/>
        </w:rPr>
        <w:t>– Our Vision –</w:t>
      </w:r>
    </w:p>
    <w:p w14:paraId="00000004" w14:textId="673ED196" w:rsidR="002C01A2" w:rsidRPr="00CC2EAB" w:rsidRDefault="00A50044" w:rsidP="00CC2EAB">
      <w:pPr>
        <w:pStyle w:val="NoSpacing"/>
        <w:jc w:val="center"/>
        <w:rPr>
          <w:rFonts w:asciiTheme="majorHAnsi" w:hAnsiTheme="majorHAnsi" w:cstheme="majorHAnsi"/>
          <w:i/>
          <w:sz w:val="32"/>
          <w:szCs w:val="32"/>
        </w:rPr>
      </w:pPr>
      <w:r w:rsidRPr="00CC2EAB">
        <w:rPr>
          <w:rFonts w:asciiTheme="majorHAnsi" w:hAnsiTheme="majorHAnsi" w:cstheme="majorHAnsi"/>
          <w:i/>
          <w:sz w:val="32"/>
          <w:szCs w:val="32"/>
        </w:rPr>
        <w:t>In an increasingly technological world, we encourage our children to design and make products that solve real and relevant problems within a variety of contexts. DT is an inspiring, rigorous and practical subject which promotes the use of creativity and imagination.</w:t>
      </w:r>
    </w:p>
    <w:p w14:paraId="00000005" w14:textId="77777777" w:rsidR="002C01A2" w:rsidRPr="00CC2EAB" w:rsidRDefault="002C01A2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0000006" w14:textId="77777777" w:rsidR="002C01A2" w:rsidRPr="00CC2EAB" w:rsidRDefault="002C01A2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0000007" w14:textId="77777777" w:rsidR="002C01A2" w:rsidRPr="00CC2EAB" w:rsidRDefault="00F31CDB" w:rsidP="00CC2EAB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C2EAB">
        <w:rPr>
          <w:rFonts w:asciiTheme="majorHAnsi" w:hAnsiTheme="majorHAnsi" w:cstheme="majorHAnsi"/>
          <w:b/>
          <w:sz w:val="28"/>
          <w:szCs w:val="28"/>
          <w:u w:val="single"/>
        </w:rPr>
        <w:t>Aims and objectives</w:t>
      </w:r>
    </w:p>
    <w:p w14:paraId="16E635F5" w14:textId="77777777" w:rsidR="00CC2EAB" w:rsidRDefault="00A50044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Through DT our children acquire a broad range of subject knowledge and draw on a range of disciplines, such as mathematics, science, engineering, computing and art. </w:t>
      </w:r>
    </w:p>
    <w:p w14:paraId="4CFA1BFE" w14:textId="77777777" w:rsidR="00CC2EAB" w:rsidRDefault="00CC2EA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47B9D246" w14:textId="77777777" w:rsidR="00CC2EAB" w:rsidRDefault="00A50044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They are supported in their exploration of a range of DT projects so that they are able to approach this curriculum area with confidence, enthusiasm and the appropriate level of skill. </w:t>
      </w:r>
    </w:p>
    <w:p w14:paraId="19D5D572" w14:textId="77777777" w:rsidR="00CC2EAB" w:rsidRDefault="00CC2EA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3EE461B3" w14:textId="3EC4AAB6" w:rsidR="00A50044" w:rsidRPr="00CC2EAB" w:rsidRDefault="00A50044" w:rsidP="00CC2EAB">
      <w:pPr>
        <w:pStyle w:val="NoSpacing"/>
        <w:rPr>
          <w:rFonts w:asciiTheme="majorHAnsi" w:hAnsiTheme="majorHAnsi" w:cstheme="majorHAnsi"/>
          <w:i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We aim to develop critical understanding and the ability to question and evaluate the success of a product, considering its impact on daily life and the wider world.</w:t>
      </w:r>
    </w:p>
    <w:p w14:paraId="7570C37E" w14:textId="77777777" w:rsidR="00CC2EAB" w:rsidRDefault="00CC2EA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32A7EC96" w14:textId="3B6A3B46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At St Bernadette’s we aim to follow the National Curriculum to ensure that all</w:t>
      </w:r>
    </w:p>
    <w:p w14:paraId="6F2BF295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pupils:</w:t>
      </w:r>
    </w:p>
    <w:p w14:paraId="040631E6" w14:textId="69214B51" w:rsidR="003733B5" w:rsidRPr="00CC2EAB" w:rsidRDefault="003733B5" w:rsidP="00CC2EA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to design and make high quality prototypes.</w:t>
      </w:r>
    </w:p>
    <w:p w14:paraId="7CB4EA17" w14:textId="403B4BD8" w:rsidR="003733B5" w:rsidRPr="00CC2EAB" w:rsidRDefault="003733B5" w:rsidP="00CC2EA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to test and evaluate their ideas and products and the work of others.</w:t>
      </w:r>
    </w:p>
    <w:p w14:paraId="438574A2" w14:textId="008C77FB" w:rsidR="003733B5" w:rsidRPr="00CC2EAB" w:rsidRDefault="00CC2EAB" w:rsidP="00CC2EA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</w:t>
      </w:r>
      <w:r w:rsidR="003733B5" w:rsidRPr="00CC2EAB">
        <w:rPr>
          <w:rFonts w:asciiTheme="majorHAnsi" w:hAnsiTheme="majorHAnsi" w:cstheme="majorHAnsi"/>
          <w:sz w:val="28"/>
          <w:szCs w:val="28"/>
        </w:rPr>
        <w:t>o encourage children to select appropriate tools and techniques for making</w:t>
      </w:r>
    </w:p>
    <w:p w14:paraId="71D8437D" w14:textId="77777777" w:rsidR="003733B5" w:rsidRPr="00CC2EAB" w:rsidRDefault="003733B5" w:rsidP="00CC2EA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 product, whilst following safe procedures;</w:t>
      </w:r>
    </w:p>
    <w:p w14:paraId="10A20E0C" w14:textId="52C4C2B6" w:rsidR="003733B5" w:rsidRPr="00CC2EAB" w:rsidRDefault="003733B5" w:rsidP="00CC2EA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to explore attitudes towards the increasingly technological world and how we</w:t>
      </w:r>
    </w:p>
    <w:p w14:paraId="34018ABF" w14:textId="77777777" w:rsidR="003733B5" w:rsidRPr="00CC2EAB" w:rsidRDefault="003733B5" w:rsidP="00CC2EA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live and work within it;</w:t>
      </w:r>
    </w:p>
    <w:p w14:paraId="0000000D" w14:textId="6C2071A5" w:rsidR="002C01A2" w:rsidRPr="00CC2EAB" w:rsidRDefault="003733B5" w:rsidP="00CC2EA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to learn how to cook whilst developing and applying the principles of nutrition.</w:t>
      </w:r>
    </w:p>
    <w:p w14:paraId="66DA2E63" w14:textId="77777777" w:rsidR="00F31CDB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br w:type="page"/>
      </w:r>
    </w:p>
    <w:p w14:paraId="0000000E" w14:textId="23574AB8" w:rsidR="002C01A2" w:rsidRPr="00CC2EAB" w:rsidRDefault="00F31CDB" w:rsidP="00CC2EAB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C2EAB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Teaching and learning style</w:t>
      </w:r>
    </w:p>
    <w:p w14:paraId="7E4EACBA" w14:textId="405AA053" w:rsid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The school uses a variety of teaching and learning styles in </w:t>
      </w:r>
      <w:r w:rsidR="00E756CD">
        <w:rPr>
          <w:rFonts w:asciiTheme="majorHAnsi" w:hAnsiTheme="majorHAnsi" w:cstheme="majorHAnsi"/>
          <w:sz w:val="28"/>
          <w:szCs w:val="28"/>
        </w:rPr>
        <w:t xml:space="preserve">D&amp;T </w:t>
      </w:r>
      <w:r w:rsidRPr="00CC2EAB">
        <w:rPr>
          <w:rFonts w:asciiTheme="majorHAnsi" w:hAnsiTheme="majorHAnsi" w:cstheme="majorHAnsi"/>
          <w:sz w:val="28"/>
          <w:szCs w:val="28"/>
        </w:rPr>
        <w:t xml:space="preserve">lessons. </w:t>
      </w:r>
      <w:r w:rsidR="00E756CD">
        <w:rPr>
          <w:rFonts w:asciiTheme="majorHAnsi" w:hAnsiTheme="majorHAnsi" w:cstheme="majorHAnsi"/>
          <w:sz w:val="28"/>
          <w:szCs w:val="28"/>
        </w:rPr>
        <w:t>We aim</w:t>
      </w:r>
      <w:r w:rsidRPr="00CC2EAB">
        <w:rPr>
          <w:rFonts w:asciiTheme="majorHAnsi" w:hAnsiTheme="majorHAnsi" w:cstheme="majorHAnsi"/>
          <w:sz w:val="28"/>
          <w:szCs w:val="28"/>
        </w:rPr>
        <w:t xml:space="preserve"> to develop the children’s knowledge, skills and</w:t>
      </w:r>
      <w:r w:rsidR="00E756CD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understanding in technology and design via a broad and balanced curriculum. We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ensure that the act of investigating and making something includes reading high</w:t>
      </w:r>
      <w:r w:rsidR="00E756CD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quality information texts, exploring and developing ideas, and evaluating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 xml:space="preserve">(including pupil evaluation) and developing work. </w:t>
      </w:r>
    </w:p>
    <w:p w14:paraId="678377E3" w14:textId="47A66AB4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We do this best through a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mixture of whole-class teaching and individual/group activities. Teachers draw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attention to good examples of individual performance as models for the other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children. They encourage children to evaluate their own ideas and methods, and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the work of others, and say what they think and feel about them. We give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children the opportunity within lessons to work on their own and collaborate with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others</w:t>
      </w:r>
      <w:r w:rsidR="00E756CD">
        <w:rPr>
          <w:rFonts w:asciiTheme="majorHAnsi" w:hAnsiTheme="majorHAnsi" w:cstheme="majorHAnsi"/>
          <w:sz w:val="28"/>
          <w:szCs w:val="28"/>
        </w:rPr>
        <w:t>, working with a</w:t>
      </w:r>
      <w:r w:rsidRPr="00CC2EAB">
        <w:rPr>
          <w:rFonts w:asciiTheme="majorHAnsi" w:hAnsiTheme="majorHAnsi" w:cstheme="majorHAnsi"/>
          <w:sz w:val="28"/>
          <w:szCs w:val="28"/>
        </w:rPr>
        <w:t xml:space="preserve"> wide range of materials and</w:t>
      </w:r>
      <w:r w:rsidR="00E756CD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resources.</w:t>
      </w:r>
    </w:p>
    <w:p w14:paraId="32F0064A" w14:textId="0D815A60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Each DT topic should include a product being designed for a user for a purpose.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Children are encouraged to annotate their planning to adapt and improve their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designs throughout the making phase.</w:t>
      </w:r>
      <w:r w:rsidRPr="00CC2EAB">
        <w:rPr>
          <w:rFonts w:asciiTheme="majorHAnsi" w:hAnsiTheme="majorHAnsi" w:cstheme="majorHAnsi"/>
          <w:sz w:val="28"/>
          <w:szCs w:val="28"/>
        </w:rPr>
        <w:cr/>
      </w:r>
    </w:p>
    <w:p w14:paraId="1276655A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0000016" w14:textId="6C1ACB7C" w:rsidR="002C01A2" w:rsidRPr="00CC2EAB" w:rsidRDefault="00E756CD" w:rsidP="00CC2EAB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56CD">
        <w:rPr>
          <w:rFonts w:asciiTheme="majorHAnsi" w:hAnsiTheme="majorHAnsi" w:cstheme="majorHAnsi"/>
          <w:b/>
          <w:sz w:val="28"/>
          <w:szCs w:val="28"/>
          <w:u w:val="single"/>
        </w:rPr>
        <w:t xml:space="preserve">Design &amp; Technology </w:t>
      </w:r>
      <w:r w:rsidR="00F31CDB" w:rsidRPr="00E756CD">
        <w:rPr>
          <w:rFonts w:asciiTheme="majorHAnsi" w:hAnsiTheme="majorHAnsi" w:cstheme="majorHAnsi"/>
          <w:b/>
          <w:sz w:val="28"/>
          <w:szCs w:val="28"/>
          <w:u w:val="single"/>
        </w:rPr>
        <w:t>Curriculum Planning</w:t>
      </w:r>
    </w:p>
    <w:p w14:paraId="5F9ACB4B" w14:textId="790F3E59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Design and technology is a foundation subject in the NC. Planning is in line with NC requirements for KS1 and KS2 and the foundation stage curriculum. At </w:t>
      </w:r>
      <w:r w:rsidR="00CC2EAB" w:rsidRPr="00CC2EAB">
        <w:rPr>
          <w:rFonts w:asciiTheme="majorHAnsi" w:hAnsiTheme="majorHAnsi" w:cstheme="majorHAnsi"/>
          <w:sz w:val="28"/>
          <w:szCs w:val="28"/>
        </w:rPr>
        <w:t>St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="00CC2EAB" w:rsidRPr="00CC2EAB">
        <w:rPr>
          <w:rFonts w:asciiTheme="majorHAnsi" w:hAnsiTheme="majorHAnsi" w:cstheme="majorHAnsi"/>
          <w:sz w:val="28"/>
          <w:szCs w:val="28"/>
        </w:rPr>
        <w:t>Bernadette’s</w:t>
      </w:r>
      <w:r w:rsidRPr="00CC2EAB">
        <w:rPr>
          <w:rFonts w:asciiTheme="majorHAnsi" w:hAnsiTheme="majorHAnsi" w:cstheme="majorHAnsi"/>
          <w:sz w:val="28"/>
          <w:szCs w:val="28"/>
        </w:rPr>
        <w:t xml:space="preserve"> Catholic Primary School technology and design is taught on a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continuous but flexible basis to allow for blocking within our year groups.</w:t>
      </w:r>
    </w:p>
    <w:p w14:paraId="5C5D11C5" w14:textId="067C761B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KS1, LKS2 and UKS2 use the Lancashire Key Learning Grids in Design and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Technology and KLIPs grids. These are used to inform more detailed planning</w:t>
      </w:r>
      <w:r w:rsidR="00CC2EAB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which focus on making a product, for a given user and for a specific purpose.</w:t>
      </w:r>
    </w:p>
    <w:p w14:paraId="744C096F" w14:textId="77777777" w:rsidR="00CC2EAB" w:rsidRDefault="00CC2EA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403FAE6" w14:textId="77777777" w:rsidR="00CC2EAB" w:rsidRDefault="00CC2EA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49040332" w14:textId="2412E5BB" w:rsidR="003733B5" w:rsidRPr="00E756CD" w:rsidRDefault="003733B5" w:rsidP="00CC2EAB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56CD">
        <w:rPr>
          <w:rFonts w:asciiTheme="majorHAnsi" w:hAnsiTheme="majorHAnsi" w:cstheme="majorHAnsi"/>
          <w:b/>
          <w:sz w:val="28"/>
          <w:szCs w:val="28"/>
          <w:u w:val="single"/>
        </w:rPr>
        <w:t>Health and safety</w:t>
      </w:r>
    </w:p>
    <w:p w14:paraId="39FB60C4" w14:textId="144BAE7E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Teachers should ensure that all learning takes place within a safe environment with</w:t>
      </w:r>
    </w:p>
    <w:p w14:paraId="7BBC239B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special reference to the use of equipment, tools and artefacts. All personnel working</w:t>
      </w:r>
    </w:p>
    <w:p w14:paraId="7BAEDA6E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with pupils, within the context of DT, must be aware of their responsibilities and the</w:t>
      </w:r>
    </w:p>
    <w:p w14:paraId="7DFEA82A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relevant health and safety procedures.</w:t>
      </w:r>
    </w:p>
    <w:p w14:paraId="2D865D5A" w14:textId="13964EB8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Children should be supervised at all times and any other adults working within the</w:t>
      </w:r>
    </w:p>
    <w:p w14:paraId="2F45ABF6" w14:textId="16F57CA9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classroom should be familiarised with safe practices.</w:t>
      </w:r>
      <w:r w:rsidR="00E756CD">
        <w:rPr>
          <w:rFonts w:asciiTheme="majorHAnsi" w:hAnsiTheme="majorHAnsi" w:cstheme="majorHAnsi"/>
          <w:sz w:val="28"/>
          <w:szCs w:val="28"/>
        </w:rPr>
        <w:t xml:space="preserve"> </w:t>
      </w:r>
      <w:r w:rsidRPr="00CC2EAB">
        <w:rPr>
          <w:rFonts w:asciiTheme="majorHAnsi" w:hAnsiTheme="majorHAnsi" w:cstheme="majorHAnsi"/>
          <w:sz w:val="28"/>
          <w:szCs w:val="28"/>
        </w:rPr>
        <w:t>Protective clothing should be worn where appropriate.</w:t>
      </w:r>
    </w:p>
    <w:p w14:paraId="1EE2D190" w14:textId="441B4B52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Children will require specific training in safe ways to use potentially dangerous tools</w:t>
      </w:r>
    </w:p>
    <w:p w14:paraId="7E8E48F1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and equipment. The best way to achieve this is by clear, confident demonstrations and</w:t>
      </w:r>
    </w:p>
    <w:p w14:paraId="33913844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positive guidance. Only cool melt glue guns should be used.</w:t>
      </w:r>
    </w:p>
    <w:p w14:paraId="65286623" w14:textId="7DF0E4EA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We teach children how to follow proper procedures for food safety and hygiene.</w:t>
      </w:r>
    </w:p>
    <w:p w14:paraId="59E339F6" w14:textId="0A9EA1E2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Any faulty equipment must immediately be removed from circulation and given to</w:t>
      </w:r>
    </w:p>
    <w:p w14:paraId="0000001A" w14:textId="50EACA86" w:rsidR="002C01A2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the DT co-ordinator.</w:t>
      </w:r>
      <w:r w:rsidRPr="00CC2EAB">
        <w:rPr>
          <w:rFonts w:asciiTheme="majorHAnsi" w:hAnsiTheme="majorHAnsi" w:cstheme="majorHAnsi"/>
          <w:sz w:val="28"/>
          <w:szCs w:val="28"/>
        </w:rPr>
        <w:cr/>
      </w:r>
      <w:r w:rsidR="00F31CDB" w:rsidRPr="00CC2EA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000001B" w14:textId="6471E2CD" w:rsidR="002C01A2" w:rsidRPr="00E756CD" w:rsidRDefault="00F31CDB" w:rsidP="00CC2EAB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56CD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 xml:space="preserve">Teaching </w:t>
      </w:r>
      <w:r w:rsidR="00E756CD" w:rsidRPr="00E756CD">
        <w:rPr>
          <w:rFonts w:asciiTheme="majorHAnsi" w:hAnsiTheme="majorHAnsi" w:cstheme="majorHAnsi"/>
          <w:b/>
          <w:sz w:val="28"/>
          <w:szCs w:val="28"/>
          <w:u w:val="single"/>
        </w:rPr>
        <w:t>D</w:t>
      </w:r>
      <w:r w:rsidRPr="00E756CD">
        <w:rPr>
          <w:rFonts w:asciiTheme="majorHAnsi" w:hAnsiTheme="majorHAnsi" w:cstheme="majorHAnsi"/>
          <w:b/>
          <w:sz w:val="28"/>
          <w:szCs w:val="28"/>
          <w:u w:val="single"/>
        </w:rPr>
        <w:t xml:space="preserve">esign </w:t>
      </w:r>
      <w:r w:rsidR="00E756CD" w:rsidRPr="00E756CD">
        <w:rPr>
          <w:rFonts w:asciiTheme="majorHAnsi" w:hAnsiTheme="majorHAnsi" w:cstheme="majorHAnsi"/>
          <w:b/>
          <w:sz w:val="28"/>
          <w:szCs w:val="28"/>
          <w:u w:val="single"/>
        </w:rPr>
        <w:t xml:space="preserve">&amp; Technology </w:t>
      </w:r>
      <w:r w:rsidRPr="00E756CD">
        <w:rPr>
          <w:rFonts w:asciiTheme="majorHAnsi" w:hAnsiTheme="majorHAnsi" w:cstheme="majorHAnsi"/>
          <w:b/>
          <w:sz w:val="28"/>
          <w:szCs w:val="28"/>
          <w:u w:val="single"/>
        </w:rPr>
        <w:t>to children with special educational needs</w:t>
      </w:r>
    </w:p>
    <w:p w14:paraId="127004AF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At St Bernadette’s we plan to provide for all pupils to achieve: boys and girls,</w:t>
      </w:r>
    </w:p>
    <w:p w14:paraId="6E705C7A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higher achieving pupils, </w:t>
      </w:r>
      <w:proofErr w:type="gramStart"/>
      <w:r w:rsidRPr="00CC2EAB">
        <w:rPr>
          <w:rFonts w:asciiTheme="majorHAnsi" w:hAnsiTheme="majorHAnsi" w:cstheme="majorHAnsi"/>
          <w:sz w:val="28"/>
          <w:szCs w:val="28"/>
        </w:rPr>
        <w:t>more able</w:t>
      </w:r>
      <w:proofErr w:type="gramEnd"/>
      <w:r w:rsidRPr="00CC2EAB">
        <w:rPr>
          <w:rFonts w:asciiTheme="majorHAnsi" w:hAnsiTheme="majorHAnsi" w:cstheme="majorHAnsi"/>
          <w:sz w:val="28"/>
          <w:szCs w:val="28"/>
        </w:rPr>
        <w:t xml:space="preserve"> pupils, those with SEND, pupils with</w:t>
      </w:r>
    </w:p>
    <w:p w14:paraId="6798A948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disabilities, pupils from all social and cultural backgrounds, children who are in</w:t>
      </w:r>
    </w:p>
    <w:p w14:paraId="66A31DD3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care and those subject to safeguarding, pupils from different ethnic groups and</w:t>
      </w:r>
    </w:p>
    <w:p w14:paraId="1ABC0C5C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those from diverse linguistic backgrounds. The school curriculum policy provides</w:t>
      </w:r>
    </w:p>
    <w:p w14:paraId="3B32DDB2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 broad and balanced education for all children by matching the challenge of the</w:t>
      </w:r>
    </w:p>
    <w:p w14:paraId="0000001E" w14:textId="3E172076" w:rsidR="002C01A2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task to the ability of the child.</w:t>
      </w:r>
    </w:p>
    <w:p w14:paraId="18453512" w14:textId="3211C41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6E9C63F2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000001F" w14:textId="77777777" w:rsidR="002C01A2" w:rsidRPr="00E756CD" w:rsidRDefault="00F31CDB" w:rsidP="00CC2EAB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56CD">
        <w:rPr>
          <w:rFonts w:asciiTheme="majorHAnsi" w:hAnsiTheme="majorHAnsi" w:cstheme="majorHAnsi"/>
          <w:b/>
          <w:sz w:val="28"/>
          <w:szCs w:val="28"/>
          <w:u w:val="single"/>
        </w:rPr>
        <w:t>The Early Years Foundation Stage</w:t>
      </w:r>
    </w:p>
    <w:p w14:paraId="7D09671E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We encourage the development of skills, knowledge and understanding that help</w:t>
      </w:r>
    </w:p>
    <w:p w14:paraId="6CC5E4B4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reception children make sense of their world as an integral part of the school’s</w:t>
      </w:r>
    </w:p>
    <w:p w14:paraId="01F9C191" w14:textId="77777777" w:rsidR="00E756CD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work. </w:t>
      </w:r>
    </w:p>
    <w:p w14:paraId="7EE3C280" w14:textId="191CD3E5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As the reception class is part of the Early Years Foundation Stage of the</w:t>
      </w:r>
    </w:p>
    <w:p w14:paraId="02A9A51C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National Curriculum, we relate the development of the children’s knowledge and</w:t>
      </w:r>
    </w:p>
    <w:p w14:paraId="412FD958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understanding of the world to the objectives set out in the Early Learning Goals.</w:t>
      </w:r>
    </w:p>
    <w:p w14:paraId="63B1EB52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These underpin the curriculum planning for children aged three to five. This</w:t>
      </w:r>
    </w:p>
    <w:p w14:paraId="3B9D9E47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learning forms the foundations for later work in design and technology. These</w:t>
      </w:r>
    </w:p>
    <w:p w14:paraId="28CDDC71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early experiences include asking questions about how things work, investigating</w:t>
      </w:r>
    </w:p>
    <w:p w14:paraId="7C8E9BEF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and using a variety of construction kits, materials, tools, techniques and</w:t>
      </w:r>
    </w:p>
    <w:p w14:paraId="06012B92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products, developing making skills and handling appropriate tools and</w:t>
      </w:r>
    </w:p>
    <w:p w14:paraId="248267C8" w14:textId="6583977E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construction material safely and with increasing control.</w:t>
      </w:r>
      <w:r w:rsidRPr="00CC2EAB">
        <w:rPr>
          <w:rFonts w:asciiTheme="majorHAnsi" w:hAnsiTheme="majorHAnsi" w:cstheme="majorHAnsi"/>
          <w:sz w:val="28"/>
          <w:szCs w:val="28"/>
        </w:rPr>
        <w:cr/>
        <w:t>We provide a range of experiences that encourage exploration, observation,</w:t>
      </w:r>
    </w:p>
    <w:p w14:paraId="39D41CAD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problem solving, critical thinking, the making of props and discussion. These</w:t>
      </w:r>
    </w:p>
    <w:p w14:paraId="195CFB75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activities, indoors and outdoors, attract the children’s interest and curiosity and</w:t>
      </w:r>
    </w:p>
    <w:p w14:paraId="792BFCDA" w14:textId="1F276C7B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help to develop fine and gross motor control.</w:t>
      </w:r>
    </w:p>
    <w:p w14:paraId="5FD2D698" w14:textId="77777777" w:rsidR="003733B5" w:rsidRPr="00CC2EAB" w:rsidRDefault="003733B5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0000023" w14:textId="77777777" w:rsidR="002C01A2" w:rsidRPr="00E756CD" w:rsidRDefault="00F31CDB" w:rsidP="00CC2EAB">
      <w:pPr>
        <w:pStyle w:val="NoSpacing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756CD">
        <w:rPr>
          <w:rFonts w:asciiTheme="majorHAnsi" w:hAnsiTheme="majorHAnsi" w:cstheme="majorHAnsi"/>
          <w:b/>
          <w:sz w:val="28"/>
          <w:szCs w:val="28"/>
          <w:u w:val="single"/>
        </w:rPr>
        <w:t>Roles and Responsibilities</w:t>
      </w:r>
    </w:p>
    <w:p w14:paraId="00000024" w14:textId="77777777" w:rsidR="002C01A2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The subject is led by the staff as a whole and each year time is set aside to review standards and monitor curriculum provision and ensure training and resources are up to date.</w:t>
      </w:r>
    </w:p>
    <w:p w14:paraId="00000025" w14:textId="77777777" w:rsidR="002C01A2" w:rsidRPr="00CC2EAB" w:rsidRDefault="002C01A2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0000026" w14:textId="77777777" w:rsidR="002C01A2" w:rsidRPr="00CC2EAB" w:rsidRDefault="002C01A2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0000027" w14:textId="1D2CA0AF" w:rsidR="002C01A2" w:rsidRPr="009A1765" w:rsidRDefault="00F31CDB" w:rsidP="00CC2EAB">
      <w:pPr>
        <w:pStyle w:val="NoSpacing"/>
        <w:rPr>
          <w:rFonts w:asciiTheme="majorHAnsi" w:eastAsia="Caveat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Signed: </w:t>
      </w:r>
      <w:r w:rsidRPr="009A1765">
        <w:rPr>
          <w:rFonts w:ascii="Letter-join Plus 34" w:eastAsia="Caveat" w:hAnsi="Letter-join Plus 34" w:cstheme="majorHAnsi"/>
          <w:sz w:val="36"/>
          <w:szCs w:val="36"/>
        </w:rPr>
        <w:t>Laura Kirkpatrick</w:t>
      </w:r>
      <w:r w:rsidRPr="00CC2EAB">
        <w:rPr>
          <w:rFonts w:asciiTheme="majorHAnsi" w:eastAsia="Caveat" w:hAnsiTheme="majorHAnsi" w:cstheme="majorHAnsi"/>
          <w:sz w:val="28"/>
          <w:szCs w:val="28"/>
        </w:rPr>
        <w:t xml:space="preserve"> </w:t>
      </w:r>
      <w:r w:rsidR="009A1765">
        <w:rPr>
          <w:rFonts w:asciiTheme="majorHAnsi" w:eastAsia="Caveat" w:hAnsiTheme="majorHAnsi" w:cstheme="majorHAnsi"/>
          <w:sz w:val="28"/>
          <w:szCs w:val="28"/>
        </w:rPr>
        <w:t xml:space="preserve"> </w:t>
      </w:r>
      <w:bookmarkStart w:id="0" w:name="_GoBack"/>
      <w:bookmarkEnd w:id="0"/>
      <w:r w:rsidRPr="00CC2EAB">
        <w:rPr>
          <w:rFonts w:asciiTheme="majorHAnsi" w:hAnsiTheme="majorHAnsi" w:cstheme="majorHAnsi"/>
          <w:sz w:val="28"/>
          <w:szCs w:val="28"/>
        </w:rPr>
        <w:t>(</w:t>
      </w:r>
      <w:r w:rsidR="00E756CD">
        <w:rPr>
          <w:rFonts w:asciiTheme="majorHAnsi" w:hAnsiTheme="majorHAnsi" w:cstheme="majorHAnsi"/>
          <w:sz w:val="28"/>
          <w:szCs w:val="28"/>
        </w:rPr>
        <w:t>D</w:t>
      </w:r>
      <w:r w:rsidR="00E756CD" w:rsidRPr="00CC2EAB">
        <w:rPr>
          <w:rFonts w:asciiTheme="majorHAnsi" w:hAnsiTheme="majorHAnsi" w:cstheme="majorHAnsi"/>
          <w:sz w:val="28"/>
          <w:szCs w:val="28"/>
        </w:rPr>
        <w:t xml:space="preserve">esign </w:t>
      </w:r>
      <w:r w:rsidR="00E756CD">
        <w:rPr>
          <w:rFonts w:asciiTheme="majorHAnsi" w:hAnsiTheme="majorHAnsi" w:cstheme="majorHAnsi"/>
          <w:sz w:val="28"/>
          <w:szCs w:val="28"/>
        </w:rPr>
        <w:t xml:space="preserve">&amp; Technology </w:t>
      </w:r>
      <w:r w:rsidRPr="00CC2EAB">
        <w:rPr>
          <w:rFonts w:asciiTheme="majorHAnsi" w:hAnsiTheme="majorHAnsi" w:cstheme="majorHAnsi"/>
          <w:sz w:val="28"/>
          <w:szCs w:val="28"/>
        </w:rPr>
        <w:t>Lead)</w:t>
      </w:r>
    </w:p>
    <w:p w14:paraId="00000028" w14:textId="77777777" w:rsidR="002C01A2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 xml:space="preserve">Date: September 2024 </w:t>
      </w:r>
    </w:p>
    <w:p w14:paraId="00000029" w14:textId="77777777" w:rsidR="002C01A2" w:rsidRPr="00CC2EAB" w:rsidRDefault="00F31CDB" w:rsidP="00CC2EAB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CC2EAB">
        <w:rPr>
          <w:rFonts w:asciiTheme="majorHAnsi" w:hAnsiTheme="majorHAnsi" w:cstheme="majorHAnsi"/>
          <w:sz w:val="28"/>
          <w:szCs w:val="28"/>
        </w:rPr>
        <w:t>Review Date: September 2026</w:t>
      </w:r>
    </w:p>
    <w:sectPr w:rsidR="002C01A2" w:rsidRPr="00CC2EAB">
      <w:headerReference w:type="default" r:id="rId8"/>
      <w:pgSz w:w="11906" w:h="16838"/>
      <w:pgMar w:top="992" w:right="992" w:bottom="992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01EA4" w14:textId="77777777" w:rsidR="00E756CD" w:rsidRDefault="00E756CD">
      <w:pPr>
        <w:spacing w:line="240" w:lineRule="auto"/>
      </w:pPr>
      <w:r>
        <w:separator/>
      </w:r>
    </w:p>
  </w:endnote>
  <w:endnote w:type="continuationSeparator" w:id="0">
    <w:p w14:paraId="342584D7" w14:textId="77777777" w:rsidR="00E756CD" w:rsidRDefault="00E75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veat">
    <w:altName w:val="Times New Roman"/>
    <w:charset w:val="00"/>
    <w:family w:val="auto"/>
    <w:pitch w:val="default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92F3" w14:textId="77777777" w:rsidR="00E756CD" w:rsidRDefault="00E756CD">
      <w:pPr>
        <w:spacing w:line="240" w:lineRule="auto"/>
      </w:pPr>
      <w:r>
        <w:separator/>
      </w:r>
    </w:p>
  </w:footnote>
  <w:footnote w:type="continuationSeparator" w:id="0">
    <w:p w14:paraId="4F26B7E2" w14:textId="77777777" w:rsidR="00E756CD" w:rsidRDefault="00E75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A" w14:textId="77777777" w:rsidR="00E756CD" w:rsidRDefault="00E756CD">
    <w:pPr>
      <w:pStyle w:val="Heading1"/>
      <w:rPr>
        <w:sz w:val="16"/>
        <w:szCs w:val="16"/>
      </w:rPr>
    </w:pPr>
    <w:bookmarkStart w:id="1" w:name="_2oxt93nul34c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945"/>
    <w:multiLevelType w:val="hybridMultilevel"/>
    <w:tmpl w:val="8A4A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105BB"/>
    <w:multiLevelType w:val="multilevel"/>
    <w:tmpl w:val="2CE6B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A2"/>
    <w:rsid w:val="002C01A2"/>
    <w:rsid w:val="003733B5"/>
    <w:rsid w:val="00434337"/>
    <w:rsid w:val="00820B4B"/>
    <w:rsid w:val="009A1765"/>
    <w:rsid w:val="00A50044"/>
    <w:rsid w:val="00CC2EAB"/>
    <w:rsid w:val="00E756CD"/>
    <w:rsid w:val="00F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C922"/>
  <w15:docId w15:val="{490379A9-06A3-4E22-874B-FDD71737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CC2E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7DC29C32</Template>
  <TotalTime>713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Kirkpatrick</dc:creator>
  <cp:lastModifiedBy>Laura Kirkpatrick</cp:lastModifiedBy>
  <cp:revision>3</cp:revision>
  <dcterms:created xsi:type="dcterms:W3CDTF">2024-09-14T20:49:00Z</dcterms:created>
  <dcterms:modified xsi:type="dcterms:W3CDTF">2024-09-15T09:29:00Z</dcterms:modified>
</cp:coreProperties>
</file>