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BFEE" w14:textId="25F28B00" w:rsidR="00326C32" w:rsidRPr="00DE1994" w:rsidRDefault="00326C32" w:rsidP="00326C32">
      <w:pPr>
        <w:pStyle w:val="Heading1"/>
        <w:rPr>
          <w:rFonts w:eastAsia="Arial"/>
          <w:color w:val="auto"/>
          <w:sz w:val="28"/>
          <w:szCs w:val="28"/>
        </w:rPr>
      </w:pPr>
      <w:bookmarkStart w:id="0" w:name="_Toc449687248"/>
      <w:bookmarkStart w:id="1" w:name="_Toc433976555"/>
      <w:r w:rsidRPr="004E0F5B">
        <w:rPr>
          <w:rFonts w:eastAsia="Arial"/>
        </w:rPr>
        <w:t xml:space="preserve"> </w:t>
      </w:r>
      <w:r w:rsidR="00E54676" w:rsidRPr="00DE1994">
        <w:rPr>
          <w:rFonts w:eastAsia="Arial"/>
          <w:color w:val="auto"/>
          <w:sz w:val="28"/>
          <w:szCs w:val="28"/>
        </w:rPr>
        <w:t>St Edmund Arrowsmith Catholic High School - Pupil Premium Strategy S</w:t>
      </w:r>
      <w:r w:rsidRPr="00DE1994">
        <w:rPr>
          <w:rFonts w:eastAsia="Arial"/>
          <w:color w:val="auto"/>
          <w:sz w:val="28"/>
          <w:szCs w:val="28"/>
        </w:rPr>
        <w:t xml:space="preserve">tatement </w:t>
      </w:r>
      <w:bookmarkEnd w:id="0"/>
      <w:r w:rsidR="00E1436A">
        <w:rPr>
          <w:rFonts w:eastAsia="Arial"/>
          <w:color w:val="auto"/>
          <w:sz w:val="28"/>
          <w:szCs w:val="28"/>
        </w:rPr>
        <w:t>2019-20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3997"/>
        <w:gridCol w:w="1106"/>
        <w:gridCol w:w="5386"/>
        <w:gridCol w:w="992"/>
      </w:tblGrid>
      <w:tr w:rsidR="00DE1994" w:rsidRPr="00DE1994" w14:paraId="5EA8FBED" w14:textId="77777777" w:rsidTr="00451FA7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CAFC86E" w14:textId="77777777" w:rsidR="00814458" w:rsidRPr="00DE1994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/>
              <w:contextualSpacing w:val="0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 xml:space="preserve">Summary information </w:t>
            </w:r>
          </w:p>
        </w:tc>
      </w:tr>
      <w:tr w:rsidR="00DE1994" w:rsidRPr="00DE1994" w14:paraId="2F458389" w14:textId="77777777" w:rsidTr="00814458">
        <w:trPr>
          <w:trHeight w:val="175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13D59661" w14:textId="77777777" w:rsidR="00814458" w:rsidRPr="00DE1994" w:rsidRDefault="00814458" w:rsidP="00564A36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School</w:t>
            </w:r>
            <w:r w:rsidR="00564A36" w:rsidRPr="00DE1994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03F6D491" w14:textId="77777777" w:rsidR="00814458" w:rsidRPr="00DE1994" w:rsidRDefault="00564A36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St Edmund Arrowsmith Catholic High School</w:t>
            </w:r>
            <w:r w:rsidR="00E54676" w:rsidRPr="00DE1994">
              <w:rPr>
                <w:rFonts w:cs="Arial"/>
                <w:b/>
                <w:color w:val="auto"/>
                <w:sz w:val="20"/>
                <w:szCs w:val="20"/>
              </w:rPr>
              <w:t>, Wigan.</w:t>
            </w:r>
          </w:p>
        </w:tc>
      </w:tr>
      <w:tr w:rsidR="00DE1994" w:rsidRPr="00DE1994" w14:paraId="6FD7B3A7" w14:textId="77777777" w:rsidTr="00E54676">
        <w:tc>
          <w:tcPr>
            <w:tcW w:w="2943" w:type="dxa"/>
            <w:tcMar>
              <w:top w:w="57" w:type="dxa"/>
              <w:bottom w:w="57" w:type="dxa"/>
            </w:tcMar>
          </w:tcPr>
          <w:p w14:paraId="18D3F5D7" w14:textId="77777777" w:rsidR="00814458" w:rsidRPr="00DE1994" w:rsidRDefault="00814458" w:rsidP="00497D2D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Academic Year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68AEF22" w14:textId="03B0F836" w:rsidR="00814458" w:rsidRPr="00DE1994" w:rsidRDefault="000F672E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</w:t>
            </w:r>
            <w:r w:rsidR="00564A36" w:rsidRPr="00DE1994">
              <w:rPr>
                <w:rFonts w:cs="Arial"/>
                <w:color w:val="auto"/>
                <w:sz w:val="20"/>
                <w:szCs w:val="20"/>
              </w:rPr>
              <w:t>1</w:t>
            </w:r>
            <w:r w:rsidR="00DE1994" w:rsidRPr="00DE1994">
              <w:rPr>
                <w:rFonts w:cs="Arial"/>
                <w:color w:val="auto"/>
                <w:sz w:val="20"/>
                <w:szCs w:val="20"/>
              </w:rPr>
              <w:t>9</w:t>
            </w:r>
            <w:r>
              <w:rPr>
                <w:rFonts w:cs="Arial"/>
                <w:color w:val="auto"/>
                <w:sz w:val="20"/>
                <w:szCs w:val="20"/>
              </w:rPr>
              <w:t>-20</w:t>
            </w:r>
          </w:p>
        </w:tc>
        <w:tc>
          <w:tcPr>
            <w:tcW w:w="3997" w:type="dxa"/>
          </w:tcPr>
          <w:p w14:paraId="6B049D67" w14:textId="77777777" w:rsidR="00814458" w:rsidRPr="00863F26" w:rsidRDefault="00814458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63F26">
              <w:rPr>
                <w:rFonts w:cs="Arial"/>
                <w:b/>
                <w:color w:val="auto"/>
                <w:sz w:val="20"/>
                <w:szCs w:val="20"/>
              </w:rPr>
              <w:t>Total PP budget</w:t>
            </w:r>
            <w:r w:rsidR="00E54676" w:rsidRPr="00863F26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14:paraId="2B175F25" w14:textId="01E10990" w:rsidR="00814458" w:rsidRPr="00863F26" w:rsidRDefault="00DF633F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£144,760</w:t>
            </w:r>
          </w:p>
        </w:tc>
        <w:tc>
          <w:tcPr>
            <w:tcW w:w="5386" w:type="dxa"/>
          </w:tcPr>
          <w:p w14:paraId="3AA9E97B" w14:textId="77777777" w:rsidR="00814458" w:rsidRPr="00DE1994" w:rsidRDefault="00814458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Date of most recent PP Review</w:t>
            </w:r>
          </w:p>
        </w:tc>
        <w:tc>
          <w:tcPr>
            <w:tcW w:w="992" w:type="dxa"/>
          </w:tcPr>
          <w:p w14:paraId="236EE1C3" w14:textId="51B0E2D2" w:rsidR="00814458" w:rsidRPr="00DE1994" w:rsidRDefault="000F672E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6.6</w:t>
            </w:r>
            <w:r w:rsidR="00E54676" w:rsidRPr="00DE1994">
              <w:rPr>
                <w:rFonts w:cs="Arial"/>
                <w:color w:val="auto"/>
                <w:sz w:val="20"/>
                <w:szCs w:val="20"/>
              </w:rPr>
              <w:t>.1</w:t>
            </w:r>
            <w:r>
              <w:rPr>
                <w:rFonts w:cs="Arial"/>
                <w:color w:val="auto"/>
                <w:sz w:val="20"/>
                <w:szCs w:val="20"/>
              </w:rPr>
              <w:t>9</w:t>
            </w:r>
          </w:p>
        </w:tc>
      </w:tr>
      <w:tr w:rsidR="00814458" w:rsidRPr="00DE1994" w14:paraId="361521B2" w14:textId="77777777" w:rsidTr="00E54676">
        <w:tc>
          <w:tcPr>
            <w:tcW w:w="2943" w:type="dxa"/>
            <w:tcMar>
              <w:top w:w="57" w:type="dxa"/>
              <w:bottom w:w="57" w:type="dxa"/>
            </w:tcMar>
          </w:tcPr>
          <w:p w14:paraId="41140840" w14:textId="77777777" w:rsidR="00814458" w:rsidRPr="00DE1994" w:rsidRDefault="00814458" w:rsidP="00497D2D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Total number of pupils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88D5F62" w14:textId="3102E228" w:rsidR="00814458" w:rsidRPr="00DE1994" w:rsidRDefault="00AF0D7C" w:rsidP="00497D2D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F0D7C">
              <w:rPr>
                <w:rFonts w:cs="Arial"/>
                <w:color w:val="auto"/>
                <w:sz w:val="20"/>
                <w:szCs w:val="20"/>
              </w:rPr>
              <w:t>1215</w:t>
            </w:r>
          </w:p>
        </w:tc>
        <w:tc>
          <w:tcPr>
            <w:tcW w:w="3997" w:type="dxa"/>
          </w:tcPr>
          <w:p w14:paraId="22910E2B" w14:textId="6A040E88" w:rsidR="00814458" w:rsidRPr="00863F26" w:rsidRDefault="00814458" w:rsidP="00497D2D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863F26">
              <w:rPr>
                <w:rFonts w:cs="Arial"/>
                <w:b/>
                <w:color w:val="auto"/>
                <w:sz w:val="20"/>
                <w:szCs w:val="20"/>
              </w:rPr>
              <w:t>Number of pupils eligible for PP</w:t>
            </w:r>
            <w:r w:rsidR="00E54676" w:rsidRPr="00863F26">
              <w:rPr>
                <w:rFonts w:cs="Arial"/>
                <w:b/>
                <w:color w:val="auto"/>
                <w:sz w:val="20"/>
                <w:szCs w:val="20"/>
              </w:rPr>
              <w:t xml:space="preserve"> for financial year</w:t>
            </w:r>
          </w:p>
          <w:p w14:paraId="38AE5BA9" w14:textId="6981BDE0" w:rsidR="00863F26" w:rsidRPr="00863F26" w:rsidRDefault="00863F26" w:rsidP="00497D2D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863F26">
              <w:rPr>
                <w:rFonts w:cs="Arial"/>
                <w:b/>
                <w:color w:val="auto"/>
                <w:sz w:val="20"/>
                <w:szCs w:val="20"/>
              </w:rPr>
              <w:t>Service children</w:t>
            </w:r>
          </w:p>
          <w:p w14:paraId="315E200E" w14:textId="540E6352" w:rsidR="00863F26" w:rsidRPr="00863F26" w:rsidRDefault="00863F26" w:rsidP="00497D2D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863F26">
              <w:rPr>
                <w:rFonts w:cs="Arial"/>
                <w:b/>
                <w:color w:val="auto"/>
                <w:sz w:val="20"/>
                <w:szCs w:val="20"/>
              </w:rPr>
              <w:t xml:space="preserve">Post LAC </w:t>
            </w:r>
          </w:p>
          <w:p w14:paraId="75894214" w14:textId="77777777" w:rsidR="00E54676" w:rsidRPr="00863F26" w:rsidRDefault="00E54676" w:rsidP="00863F26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94ECFA6" w14:textId="77777777" w:rsidR="00863F26" w:rsidRPr="00863F26" w:rsidRDefault="00863F26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2DB8F679" w14:textId="2F73F69D" w:rsidR="00814458" w:rsidRPr="00863F26" w:rsidRDefault="00DF633F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136</w:t>
            </w:r>
          </w:p>
          <w:p w14:paraId="02BF7123" w14:textId="2281A078" w:rsidR="00863F26" w:rsidRPr="00863F26" w:rsidRDefault="00863F26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63F26">
              <w:rPr>
                <w:rFonts w:cs="Arial"/>
                <w:color w:val="auto"/>
                <w:sz w:val="20"/>
                <w:szCs w:val="20"/>
              </w:rPr>
              <w:t xml:space="preserve">   5</w:t>
            </w:r>
          </w:p>
          <w:p w14:paraId="61F5CF98" w14:textId="45BAA5A5" w:rsidR="00863F26" w:rsidRPr="00863F26" w:rsidRDefault="00DF633F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   7</w:t>
            </w:r>
          </w:p>
          <w:p w14:paraId="2BD44784" w14:textId="77777777" w:rsidR="00E54676" w:rsidRPr="00863F26" w:rsidRDefault="00E54676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65F1BCB9" w14:textId="0AC7AE68" w:rsidR="00E54676" w:rsidRPr="00863F26" w:rsidRDefault="00E54676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5E1EB1D" w14:textId="77777777" w:rsidR="00814458" w:rsidRPr="00DE1994" w:rsidRDefault="00814458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Date for next internal review of this strategy</w:t>
            </w:r>
          </w:p>
        </w:tc>
        <w:tc>
          <w:tcPr>
            <w:tcW w:w="992" w:type="dxa"/>
          </w:tcPr>
          <w:p w14:paraId="47056C36" w14:textId="7D4285A8" w:rsidR="00814458" w:rsidRPr="00DE1994" w:rsidRDefault="000F672E" w:rsidP="00497D2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June 20</w:t>
            </w:r>
          </w:p>
        </w:tc>
      </w:tr>
    </w:tbl>
    <w:p w14:paraId="63BA677A" w14:textId="77777777" w:rsidR="00814458" w:rsidRPr="00DE1994" w:rsidRDefault="00814458" w:rsidP="00814458">
      <w:pPr>
        <w:spacing w:after="0"/>
        <w:rPr>
          <w:rFonts w:cs="Arial"/>
          <w:color w:val="FF0000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97"/>
        <w:gridCol w:w="7087"/>
        <w:gridCol w:w="2704"/>
        <w:gridCol w:w="273"/>
        <w:gridCol w:w="4394"/>
      </w:tblGrid>
      <w:tr w:rsidR="00DE1994" w:rsidRPr="00DE1994" w14:paraId="5DBC570D" w14:textId="77777777" w:rsidTr="006431E0">
        <w:trPr>
          <w:trHeight w:val="146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0120ADE8" w14:textId="77777777" w:rsidR="00814458" w:rsidRPr="000F672E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  <w:color w:val="auto"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Current attainment </w:t>
            </w:r>
          </w:p>
        </w:tc>
      </w:tr>
      <w:tr w:rsidR="00DE1994" w:rsidRPr="00DE1994" w14:paraId="29AC3F59" w14:textId="77777777" w:rsidTr="006431E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1D64694A" w14:textId="202966C5" w:rsidR="00814458" w:rsidRPr="000F672E" w:rsidRDefault="000F672E" w:rsidP="008C3DF6">
            <w:pPr>
              <w:spacing w:after="0" w:line="240" w:lineRule="auto"/>
              <w:ind w:left="720" w:hanging="36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Based on GCSE Results </w:t>
            </w:r>
            <w:r w:rsidR="007236E2" w:rsidRPr="000F672E">
              <w:rPr>
                <w:rFonts w:cs="Arial"/>
                <w:color w:val="auto"/>
                <w:sz w:val="20"/>
                <w:szCs w:val="20"/>
              </w:rPr>
              <w:t>201</w:t>
            </w:r>
            <w:r>
              <w:rPr>
                <w:rFonts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027F97A" w14:textId="77777777" w:rsidR="00814458" w:rsidRPr="00D90011" w:rsidRDefault="00814458" w:rsidP="00497D2D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color w:val="auto"/>
                <w:sz w:val="20"/>
                <w:szCs w:val="20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89A7CA3" w14:textId="77777777" w:rsidR="00814458" w:rsidRPr="00D90011" w:rsidRDefault="00814458" w:rsidP="00213D7A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color w:val="auto"/>
                <w:sz w:val="20"/>
                <w:szCs w:val="20"/>
              </w:rPr>
              <w:t xml:space="preserve">Pupils not eligible for PP </w:t>
            </w:r>
          </w:p>
        </w:tc>
      </w:tr>
      <w:tr w:rsidR="00DE1994" w:rsidRPr="00DE1994" w14:paraId="64F17D14" w14:textId="77777777" w:rsidTr="006431E0">
        <w:trPr>
          <w:trHeight w:val="290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500713C5" w14:textId="77777777" w:rsidR="00947CF2" w:rsidRPr="000F672E" w:rsidRDefault="00814458" w:rsidP="00947CF2">
            <w:pPr>
              <w:spacing w:after="0" w:line="240" w:lineRule="auto"/>
              <w:rPr>
                <w:rFonts w:eastAsia="Arial" w:cs="Arial"/>
                <w:b/>
                <w:color w:val="auto"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>% achieving</w:t>
            </w:r>
            <w:r w:rsidR="0056269D" w:rsidRPr="000F672E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 basics 9-4 in Eng &amp;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8E4F9F" w14:textId="66946112" w:rsidR="00814458" w:rsidRPr="00D90011" w:rsidRDefault="006F50DD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/>
                <w:color w:val="auto"/>
                <w:sz w:val="20"/>
                <w:szCs w:val="20"/>
              </w:rPr>
              <w:t>68%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091658D" w14:textId="195DD4F3" w:rsidR="00814458" w:rsidRPr="00D90011" w:rsidRDefault="006F50DD" w:rsidP="00947CF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color w:val="auto"/>
                <w:sz w:val="20"/>
                <w:szCs w:val="20"/>
              </w:rPr>
              <w:t>79</w:t>
            </w:r>
            <w:r w:rsidR="002D047E" w:rsidRPr="00D90011">
              <w:rPr>
                <w:rFonts w:cs="Arial"/>
                <w:color w:val="auto"/>
                <w:sz w:val="20"/>
                <w:szCs w:val="20"/>
              </w:rPr>
              <w:t>%</w:t>
            </w:r>
          </w:p>
        </w:tc>
      </w:tr>
      <w:tr w:rsidR="00DE1994" w:rsidRPr="00DE1994" w14:paraId="7C0204AB" w14:textId="77777777" w:rsidTr="006431E0">
        <w:trPr>
          <w:trHeight w:val="290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1F586493" w14:textId="77777777" w:rsidR="0056269D" w:rsidRPr="000F672E" w:rsidRDefault="0056269D" w:rsidP="00947CF2">
            <w:pPr>
              <w:spacing w:after="0" w:line="240" w:lineRule="auto"/>
              <w:rPr>
                <w:rFonts w:eastAsia="Arial" w:cs="Arial"/>
                <w:b/>
                <w:bCs/>
                <w:color w:val="auto"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>% achieving basics 9-5 in Eng &amp;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172775" w14:textId="3B7BDB5B" w:rsidR="0056269D" w:rsidRPr="00D90011" w:rsidRDefault="006F50DD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/>
                <w:color w:val="auto"/>
                <w:sz w:val="20"/>
                <w:szCs w:val="20"/>
              </w:rPr>
              <w:t>26</w:t>
            </w:r>
            <w:r w:rsidR="002D047E" w:rsidRPr="00D90011">
              <w:rPr>
                <w:rFonts w:cs="Arial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C5174FE" w14:textId="50937E14" w:rsidR="0056269D" w:rsidRPr="00D90011" w:rsidRDefault="006F50DD" w:rsidP="00947CF2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color w:val="auto"/>
                <w:sz w:val="20"/>
                <w:szCs w:val="20"/>
              </w:rPr>
              <w:t>49</w:t>
            </w:r>
            <w:r w:rsidR="002D047E" w:rsidRPr="00D90011">
              <w:rPr>
                <w:rFonts w:cs="Arial"/>
                <w:color w:val="auto"/>
                <w:sz w:val="20"/>
                <w:szCs w:val="20"/>
              </w:rPr>
              <w:t>%</w:t>
            </w:r>
          </w:p>
        </w:tc>
      </w:tr>
      <w:tr w:rsidR="00DE1994" w:rsidRPr="00DE1994" w14:paraId="78A85EBF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747A1080" w14:textId="77777777" w:rsidR="00814458" w:rsidRPr="000F672E" w:rsidRDefault="00814458" w:rsidP="00213D7A">
            <w:pPr>
              <w:spacing w:after="0" w:line="240" w:lineRule="auto"/>
              <w:rPr>
                <w:rFonts w:eastAsia="Arial" w:cs="Arial"/>
                <w:b/>
                <w:color w:val="auto"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% achieving </w:t>
            </w:r>
            <w:r w:rsidR="00213D7A" w:rsidRPr="000F672E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9-4 in </w:t>
            </w:r>
            <w:r w:rsidRPr="000F672E">
              <w:rPr>
                <w:rFonts w:eastAsia="Arial" w:cs="Arial"/>
                <w:b/>
                <w:color w:val="auto"/>
                <w:sz w:val="20"/>
                <w:szCs w:val="20"/>
              </w:rPr>
              <w:t>Eng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D7EC6C" w14:textId="049AD4A3" w:rsidR="00814458" w:rsidRPr="00D90011" w:rsidRDefault="00D90011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/>
                <w:color w:val="auto"/>
                <w:sz w:val="20"/>
                <w:szCs w:val="20"/>
              </w:rPr>
              <w:t>74</w:t>
            </w:r>
            <w:r w:rsidR="002D047E" w:rsidRPr="00D90011">
              <w:rPr>
                <w:rFonts w:cs="Arial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B95B0B2" w14:textId="1CFB833F" w:rsidR="00814458" w:rsidRPr="00D90011" w:rsidRDefault="00D90011" w:rsidP="00947CF2">
            <w:pPr>
              <w:spacing w:after="0" w:line="240" w:lineRule="auto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Cs/>
                <w:color w:val="auto"/>
                <w:sz w:val="20"/>
                <w:szCs w:val="20"/>
              </w:rPr>
              <w:t>92</w:t>
            </w:r>
            <w:r w:rsidR="002D047E" w:rsidRPr="00D90011">
              <w:rPr>
                <w:rFonts w:cs="Arial"/>
                <w:bCs/>
                <w:color w:val="auto"/>
                <w:sz w:val="20"/>
                <w:szCs w:val="20"/>
              </w:rPr>
              <w:t>%</w:t>
            </w:r>
          </w:p>
        </w:tc>
      </w:tr>
      <w:tr w:rsidR="00DE1994" w:rsidRPr="00DE1994" w14:paraId="4B498ECE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6E47CD87" w14:textId="77777777" w:rsidR="00213D7A" w:rsidRPr="000F672E" w:rsidRDefault="00213D7A" w:rsidP="00213D7A">
            <w:pPr>
              <w:spacing w:after="0" w:line="240" w:lineRule="auto"/>
              <w:rPr>
                <w:rFonts w:eastAsia="Arial" w:cs="Arial"/>
                <w:b/>
                <w:color w:val="auto"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color w:val="auto"/>
                <w:sz w:val="20"/>
                <w:szCs w:val="20"/>
              </w:rPr>
              <w:t>% achieving 9-4 in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A4B5E5" w14:textId="7AED99B2" w:rsidR="00213D7A" w:rsidRPr="00D90011" w:rsidRDefault="00D90011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74</w:t>
            </w:r>
            <w:r w:rsidR="002D047E" w:rsidRPr="00D90011">
              <w:rPr>
                <w:rFonts w:cs="Arial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0E2E3C9" w14:textId="08C1ED1B" w:rsidR="00213D7A" w:rsidRPr="00D90011" w:rsidRDefault="00D90011" w:rsidP="00947CF2">
            <w:pPr>
              <w:spacing w:after="0" w:line="240" w:lineRule="auto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Cs/>
                <w:color w:val="auto"/>
                <w:sz w:val="20"/>
                <w:szCs w:val="20"/>
              </w:rPr>
              <w:t>82</w:t>
            </w:r>
            <w:r w:rsidR="002D047E" w:rsidRPr="00D90011">
              <w:rPr>
                <w:rFonts w:cs="Arial"/>
                <w:bCs/>
                <w:color w:val="auto"/>
                <w:sz w:val="20"/>
                <w:szCs w:val="20"/>
              </w:rPr>
              <w:t>%</w:t>
            </w:r>
          </w:p>
        </w:tc>
      </w:tr>
      <w:tr w:rsidR="00DE1994" w:rsidRPr="00DE1994" w14:paraId="5E4598B3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5FF8472E" w14:textId="77777777" w:rsidR="00213D7A" w:rsidRPr="000F672E" w:rsidRDefault="00213D7A" w:rsidP="00213D7A">
            <w:pPr>
              <w:spacing w:after="0" w:line="240" w:lineRule="auto"/>
              <w:rPr>
                <w:rFonts w:eastAsia="Arial" w:cs="Arial"/>
                <w:b/>
                <w:color w:val="auto"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color w:val="auto"/>
                <w:sz w:val="20"/>
                <w:szCs w:val="20"/>
              </w:rPr>
              <w:t>% achieving 9-5 in Eng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FA174" w14:textId="218F78BB" w:rsidR="00213D7A" w:rsidRPr="00D90011" w:rsidRDefault="00D90011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/>
                <w:color w:val="auto"/>
                <w:sz w:val="20"/>
                <w:szCs w:val="20"/>
              </w:rPr>
              <w:t>68</w:t>
            </w:r>
            <w:r w:rsidR="002D047E" w:rsidRPr="00D90011">
              <w:rPr>
                <w:rFonts w:cs="Arial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271AEA5" w14:textId="45307451" w:rsidR="00213D7A" w:rsidRPr="00D90011" w:rsidRDefault="00D90011" w:rsidP="00947CF2">
            <w:pPr>
              <w:spacing w:after="0" w:line="240" w:lineRule="auto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Cs/>
                <w:color w:val="auto"/>
                <w:sz w:val="20"/>
                <w:szCs w:val="20"/>
              </w:rPr>
              <w:t>79</w:t>
            </w:r>
            <w:r w:rsidR="002D047E" w:rsidRPr="00D90011">
              <w:rPr>
                <w:rFonts w:cs="Arial"/>
                <w:bCs/>
                <w:color w:val="auto"/>
                <w:sz w:val="20"/>
                <w:szCs w:val="20"/>
              </w:rPr>
              <w:t>%</w:t>
            </w:r>
          </w:p>
        </w:tc>
      </w:tr>
      <w:tr w:rsidR="00DE1994" w:rsidRPr="00DE1994" w14:paraId="516774B8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2F00040A" w14:textId="77777777" w:rsidR="00213D7A" w:rsidRPr="000F672E" w:rsidRDefault="00213D7A" w:rsidP="00213D7A">
            <w:pPr>
              <w:spacing w:after="0" w:line="240" w:lineRule="auto"/>
              <w:rPr>
                <w:rFonts w:eastAsia="Arial" w:cs="Arial"/>
                <w:b/>
                <w:color w:val="auto"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color w:val="auto"/>
                <w:sz w:val="20"/>
                <w:szCs w:val="20"/>
              </w:rPr>
              <w:t>% achieving 9-5 in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A7CB86" w14:textId="6743072C" w:rsidR="00213D7A" w:rsidRPr="00D90011" w:rsidRDefault="00D90011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/>
                <w:color w:val="auto"/>
                <w:sz w:val="20"/>
                <w:szCs w:val="20"/>
              </w:rPr>
              <w:t>26</w:t>
            </w:r>
            <w:r w:rsidR="002D047E" w:rsidRPr="00D90011">
              <w:rPr>
                <w:rFonts w:cs="Arial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37AFFD" w14:textId="408BA448" w:rsidR="00213D7A" w:rsidRPr="00D90011" w:rsidRDefault="000F672E" w:rsidP="00947CF2">
            <w:pPr>
              <w:spacing w:after="0" w:line="240" w:lineRule="auto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Cs/>
                <w:color w:val="auto"/>
                <w:sz w:val="20"/>
                <w:szCs w:val="20"/>
              </w:rPr>
              <w:t>53</w:t>
            </w:r>
            <w:r w:rsidR="002D047E" w:rsidRPr="00D90011">
              <w:rPr>
                <w:rFonts w:cs="Arial"/>
                <w:bCs/>
                <w:color w:val="auto"/>
                <w:sz w:val="20"/>
                <w:szCs w:val="20"/>
              </w:rPr>
              <w:t>%</w:t>
            </w:r>
          </w:p>
        </w:tc>
      </w:tr>
      <w:tr w:rsidR="00DE1994" w:rsidRPr="00DE1994" w14:paraId="40363540" w14:textId="77777777" w:rsidTr="006431E0">
        <w:trPr>
          <w:trHeight w:val="302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08F5A1C5" w14:textId="77777777" w:rsidR="00814458" w:rsidRPr="000F672E" w:rsidRDefault="00213D7A" w:rsidP="00213D7A">
            <w:pPr>
              <w:spacing w:after="0" w:line="240" w:lineRule="auto"/>
              <w:rPr>
                <w:rFonts w:eastAsia="Arial" w:cs="Arial"/>
                <w:b/>
                <w:bCs/>
                <w:color w:val="auto"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Average </w:t>
            </w:r>
            <w:r w:rsidR="00814458" w:rsidRPr="000F672E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Progress 8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4BBDC2" w14:textId="1904A335" w:rsidR="00814458" w:rsidRPr="00D90011" w:rsidRDefault="00213D7A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/>
                <w:color w:val="auto"/>
                <w:sz w:val="20"/>
                <w:szCs w:val="20"/>
              </w:rPr>
              <w:t>-</w:t>
            </w:r>
            <w:r w:rsidR="000F672E" w:rsidRPr="00D90011">
              <w:rPr>
                <w:rFonts w:cs="Arial"/>
                <w:b/>
                <w:color w:val="auto"/>
                <w:sz w:val="20"/>
                <w:szCs w:val="20"/>
              </w:rPr>
              <w:t>0.1</w:t>
            </w:r>
            <w:r w:rsidR="00D90011" w:rsidRPr="00D90011">
              <w:rPr>
                <w:rFonts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EBBA859" w14:textId="28D329BE" w:rsidR="00814458" w:rsidRPr="00D90011" w:rsidRDefault="000F672E" w:rsidP="00947CF2">
            <w:pPr>
              <w:spacing w:after="0" w:line="240" w:lineRule="auto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Cs/>
                <w:color w:val="auto"/>
                <w:sz w:val="20"/>
                <w:szCs w:val="20"/>
              </w:rPr>
              <w:t>-0.04</w:t>
            </w:r>
          </w:p>
        </w:tc>
      </w:tr>
      <w:tr w:rsidR="00DE1994" w:rsidRPr="00DE1994" w14:paraId="1636CEF9" w14:textId="77777777" w:rsidTr="006431E0">
        <w:trPr>
          <w:trHeight w:val="307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7AA5A6B2" w14:textId="77777777" w:rsidR="00814458" w:rsidRPr="000F672E" w:rsidRDefault="00213D7A" w:rsidP="00947CF2">
            <w:pPr>
              <w:spacing w:after="0" w:line="240" w:lineRule="auto"/>
              <w:rPr>
                <w:rFonts w:eastAsia="Arial" w:cs="Arial"/>
                <w:b/>
                <w:bCs/>
                <w:color w:val="auto"/>
                <w:sz w:val="20"/>
                <w:szCs w:val="20"/>
              </w:rPr>
            </w:pPr>
            <w:r w:rsidRPr="000F672E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Average </w:t>
            </w:r>
            <w:r w:rsidR="00814458" w:rsidRPr="000F672E">
              <w:rPr>
                <w:rFonts w:eastAsia="Arial" w:cs="Arial"/>
                <w:b/>
                <w:bCs/>
                <w:color w:val="auto"/>
                <w:sz w:val="20"/>
                <w:szCs w:val="20"/>
              </w:rPr>
              <w:t xml:space="preserve">Attainment 8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F901AF" w14:textId="53394A6A" w:rsidR="00814458" w:rsidRPr="00D90011" w:rsidRDefault="00213D7A" w:rsidP="002D047E">
            <w:pPr>
              <w:spacing w:after="0" w:line="240" w:lineRule="auto"/>
              <w:ind w:left="187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/>
                <w:color w:val="auto"/>
                <w:sz w:val="20"/>
                <w:szCs w:val="20"/>
              </w:rPr>
              <w:t>4</w:t>
            </w:r>
            <w:r w:rsidR="000F672E" w:rsidRPr="00D90011">
              <w:rPr>
                <w:rFonts w:cs="Arial"/>
                <w:b/>
                <w:color w:val="auto"/>
                <w:sz w:val="20"/>
                <w:szCs w:val="20"/>
              </w:rPr>
              <w:t>6.</w:t>
            </w:r>
            <w:r w:rsidR="00D90011" w:rsidRPr="00D90011">
              <w:rPr>
                <w:rFonts w:cs="Arial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EC27CB3" w14:textId="2DAE293B" w:rsidR="00814458" w:rsidRPr="00D90011" w:rsidRDefault="000F672E" w:rsidP="00947CF2">
            <w:pPr>
              <w:spacing w:after="0" w:line="240" w:lineRule="auto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D90011">
              <w:rPr>
                <w:rFonts w:cs="Arial"/>
                <w:bCs/>
                <w:color w:val="auto"/>
                <w:sz w:val="20"/>
                <w:szCs w:val="20"/>
              </w:rPr>
              <w:t>52.</w:t>
            </w:r>
            <w:r w:rsidR="00D90011" w:rsidRPr="00D90011">
              <w:rPr>
                <w:rFonts w:cs="Arial"/>
                <w:bCs/>
                <w:color w:val="auto"/>
                <w:sz w:val="20"/>
                <w:szCs w:val="20"/>
              </w:rPr>
              <w:t>71</w:t>
            </w:r>
          </w:p>
        </w:tc>
      </w:tr>
      <w:tr w:rsidR="00DE1994" w:rsidRPr="00DE1994" w14:paraId="040D9EEE" w14:textId="77777777" w:rsidTr="006431E0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FAEE82B" w14:textId="77777777" w:rsidR="00814458" w:rsidRPr="00DE1994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Barriers to future attainment (for pupils eligible for PP)</w:t>
            </w:r>
          </w:p>
        </w:tc>
      </w:tr>
      <w:tr w:rsidR="00DE1994" w:rsidRPr="00DE1994" w14:paraId="457ABBCB" w14:textId="77777777" w:rsidTr="006431E0">
        <w:trPr>
          <w:trHeight w:val="26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996B3C1" w14:textId="77777777" w:rsidR="00814458" w:rsidRPr="00DE1994" w:rsidRDefault="00814458" w:rsidP="00E41485">
            <w:pPr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 xml:space="preserve">In-school barriers </w:t>
            </w:r>
            <w:r w:rsidR="00E41485" w:rsidRPr="00DE1994">
              <w:rPr>
                <w:rFonts w:cs="Arial"/>
                <w:i/>
                <w:color w:val="auto"/>
                <w:sz w:val="20"/>
                <w:szCs w:val="20"/>
              </w:rPr>
              <w:t>(issues to be addressed in school, such as poor literacy skills)</w:t>
            </w:r>
          </w:p>
        </w:tc>
      </w:tr>
      <w:tr w:rsidR="00DE1994" w:rsidRPr="00DE1994" w14:paraId="4CAB2667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10833BEE" w14:textId="77777777" w:rsidR="00820DA9" w:rsidRPr="00DE1994" w:rsidRDefault="00820DA9" w:rsidP="00820DA9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58" w:type="dxa"/>
            <w:gridSpan w:val="4"/>
          </w:tcPr>
          <w:p w14:paraId="159EE37E" w14:textId="0E1D333D" w:rsidR="00820DA9" w:rsidRDefault="00820DA9" w:rsidP="006E5DC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>Lower literacy and numeracy skills affect stude</w:t>
            </w:r>
            <w:r w:rsidR="00CC2FB2" w:rsidRPr="00DE1994">
              <w:rPr>
                <w:rFonts w:cs="Arial"/>
                <w:color w:val="auto"/>
                <w:sz w:val="20"/>
                <w:szCs w:val="20"/>
              </w:rPr>
              <w:t>nts’ ability to progress across the curriculum.</w:t>
            </w:r>
          </w:p>
          <w:p w14:paraId="4F9A73FD" w14:textId="1FA7ACB6" w:rsidR="00E71AEC" w:rsidRDefault="00113573" w:rsidP="006E5DC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11.2</w:t>
            </w:r>
            <w:r w:rsidR="006244E2">
              <w:rPr>
                <w:rFonts w:cs="Arial"/>
                <w:color w:val="auto"/>
                <w:sz w:val="20"/>
                <w:szCs w:val="20"/>
              </w:rPr>
              <w:t>% of the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KS3 DA students received</w:t>
            </w:r>
            <w:r w:rsidR="006244E2">
              <w:rPr>
                <w:rFonts w:cs="Arial"/>
                <w:color w:val="auto"/>
                <w:sz w:val="20"/>
                <w:szCs w:val="20"/>
              </w:rPr>
              <w:t xml:space="preserve"> numer</w:t>
            </w:r>
            <w:r>
              <w:rPr>
                <w:rFonts w:cs="Arial"/>
                <w:color w:val="auto"/>
                <w:sz w:val="20"/>
                <w:szCs w:val="20"/>
              </w:rPr>
              <w:t>acy support compared to 6% of other pupils.</w:t>
            </w:r>
          </w:p>
          <w:p w14:paraId="0B8A1DF0" w14:textId="2F15E90B" w:rsidR="006E5DC7" w:rsidRPr="00DE1994" w:rsidRDefault="00113573" w:rsidP="006E5DC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21.6</w:t>
            </w:r>
            <w:r w:rsidR="00E71AEC">
              <w:rPr>
                <w:rFonts w:cs="Arial"/>
                <w:color w:val="auto"/>
                <w:sz w:val="20"/>
                <w:szCs w:val="20"/>
              </w:rPr>
              <w:t>% o</w:t>
            </w:r>
            <w:r w:rsidR="006244E2">
              <w:rPr>
                <w:rFonts w:cs="Arial"/>
                <w:color w:val="auto"/>
                <w:sz w:val="20"/>
                <w:szCs w:val="20"/>
              </w:rPr>
              <w:t xml:space="preserve">f the </w:t>
            </w:r>
            <w:r>
              <w:rPr>
                <w:rFonts w:cs="Arial"/>
                <w:color w:val="auto"/>
                <w:sz w:val="20"/>
                <w:szCs w:val="20"/>
              </w:rPr>
              <w:t>KS3 DA students received literacy support</w:t>
            </w:r>
            <w:r w:rsidR="006244E2">
              <w:rPr>
                <w:rFonts w:cs="Arial"/>
                <w:color w:val="auto"/>
                <w:sz w:val="20"/>
                <w:szCs w:val="20"/>
              </w:rPr>
              <w:t xml:space="preserve"> compared to </w:t>
            </w:r>
            <w:r>
              <w:rPr>
                <w:rFonts w:cs="Arial"/>
                <w:color w:val="auto"/>
                <w:sz w:val="20"/>
                <w:szCs w:val="20"/>
              </w:rPr>
              <w:t>5.8% of other pupils.</w:t>
            </w:r>
          </w:p>
        </w:tc>
      </w:tr>
      <w:tr w:rsidR="00DE1994" w:rsidRPr="00DE1994" w14:paraId="5B3C9A08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5CED0952" w14:textId="77777777" w:rsidR="00820DA9" w:rsidRPr="00DE1994" w:rsidRDefault="00820DA9" w:rsidP="00820DA9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58" w:type="dxa"/>
            <w:gridSpan w:val="4"/>
          </w:tcPr>
          <w:p w14:paraId="0C8B68B5" w14:textId="6E056181" w:rsidR="00820DA9" w:rsidRPr="00DE1994" w:rsidRDefault="00CC2FB2" w:rsidP="00CC2FB2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noProof/>
                <w:color w:val="auto"/>
                <w:sz w:val="20"/>
                <w:szCs w:val="20"/>
              </w:rPr>
              <w:t>Low levels of motivation and engagem</w:t>
            </w:r>
            <w:r w:rsidR="00877E2D" w:rsidRPr="00DE1994">
              <w:rPr>
                <w:rFonts w:cs="Arial"/>
                <w:noProof/>
                <w:color w:val="auto"/>
                <w:sz w:val="20"/>
                <w:szCs w:val="20"/>
              </w:rPr>
              <w:t>ent with education and learning</w:t>
            </w:r>
            <w:r w:rsidR="00594F05" w:rsidRPr="00DE1994">
              <w:rPr>
                <w:rFonts w:cs="Arial"/>
                <w:noProof/>
                <w:color w:val="auto"/>
                <w:sz w:val="20"/>
                <w:szCs w:val="20"/>
              </w:rPr>
              <w:t xml:space="preserve"> </w:t>
            </w:r>
            <w:r w:rsidRPr="00DE1994">
              <w:rPr>
                <w:rFonts w:cs="Arial"/>
                <w:noProof/>
                <w:color w:val="auto"/>
                <w:sz w:val="20"/>
                <w:szCs w:val="20"/>
              </w:rPr>
              <w:t xml:space="preserve">hamper progress </w:t>
            </w:r>
            <w:r w:rsidR="004D7F04" w:rsidRPr="00DE1994">
              <w:rPr>
                <w:rFonts w:cs="Arial"/>
                <w:noProof/>
                <w:color w:val="auto"/>
                <w:sz w:val="20"/>
                <w:szCs w:val="20"/>
              </w:rPr>
              <w:t>and create disaffection.</w:t>
            </w:r>
          </w:p>
        </w:tc>
      </w:tr>
      <w:tr w:rsidR="00DE1994" w:rsidRPr="00DE1994" w14:paraId="787E5881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3EEDFA2D" w14:textId="77777777" w:rsidR="00820DA9" w:rsidRPr="00DE1994" w:rsidRDefault="00820DA9" w:rsidP="00820DA9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458" w:type="dxa"/>
            <w:gridSpan w:val="4"/>
          </w:tcPr>
          <w:p w14:paraId="5DA36CF0" w14:textId="7C8B7887" w:rsidR="00820DA9" w:rsidRPr="00DE1994" w:rsidRDefault="000A3817" w:rsidP="00820DA9">
            <w:pPr>
              <w:spacing w:after="0" w:line="240" w:lineRule="auto"/>
              <w:rPr>
                <w:rFonts w:cs="Arial"/>
                <w:noProof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noProof/>
                <w:color w:val="auto"/>
                <w:sz w:val="20"/>
                <w:szCs w:val="20"/>
              </w:rPr>
              <w:t>Lower attainment of</w:t>
            </w:r>
            <w:r w:rsidR="00877E2D" w:rsidRPr="00DE1994">
              <w:rPr>
                <w:rFonts w:cs="Arial"/>
                <w:noProof/>
                <w:color w:val="auto"/>
                <w:sz w:val="20"/>
                <w:szCs w:val="20"/>
              </w:rPr>
              <w:t xml:space="preserve"> disadvantaged</w:t>
            </w:r>
            <w:r w:rsidRPr="00DE1994">
              <w:rPr>
                <w:rFonts w:cs="Arial"/>
                <w:noProof/>
                <w:color w:val="auto"/>
                <w:sz w:val="20"/>
                <w:szCs w:val="20"/>
              </w:rPr>
              <w:t xml:space="preserve"> pupils in English and Maths at KS4 than that of other pupils.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9"/>
              <w:gridCol w:w="1184"/>
              <w:gridCol w:w="1216"/>
              <w:gridCol w:w="1191"/>
              <w:gridCol w:w="1191"/>
              <w:gridCol w:w="1191"/>
              <w:gridCol w:w="1191"/>
            </w:tblGrid>
            <w:tr w:rsidR="007E0CE3" w:rsidRPr="007E0CE3" w14:paraId="14CB2949" w14:textId="77777777" w:rsidTr="00385E37">
              <w:tc>
                <w:tcPr>
                  <w:tcW w:w="1759" w:type="dxa"/>
                </w:tcPr>
                <w:p w14:paraId="0FBC9A20" w14:textId="2DB2EFD7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lastRenderedPageBreak/>
                    <w:t>P8 201</w:t>
                  </w:r>
                  <w:r w:rsidR="006E09CD" w:rsidRPr="007E0CE3">
                    <w:rPr>
                      <w:rFonts w:ascii="Century Gothic" w:hAnsi="Century Gothic"/>
                      <w:color w:val="auto"/>
                    </w:rPr>
                    <w:t>9</w:t>
                  </w:r>
                </w:p>
              </w:tc>
              <w:tc>
                <w:tcPr>
                  <w:tcW w:w="1184" w:type="dxa"/>
                </w:tcPr>
                <w:p w14:paraId="51716C01" w14:textId="77777777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 xml:space="preserve">PP </w:t>
                  </w:r>
                </w:p>
              </w:tc>
              <w:tc>
                <w:tcPr>
                  <w:tcW w:w="1216" w:type="dxa"/>
                </w:tcPr>
                <w:p w14:paraId="07494CEA" w14:textId="77777777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Other</w:t>
                  </w:r>
                </w:p>
              </w:tc>
              <w:tc>
                <w:tcPr>
                  <w:tcW w:w="1191" w:type="dxa"/>
                </w:tcPr>
                <w:p w14:paraId="22186BBA" w14:textId="7AD49410" w:rsidR="000A3817" w:rsidRPr="007E0CE3" w:rsidRDefault="002541C6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PP</w:t>
                  </w:r>
                  <w:r w:rsidR="000A3817" w:rsidRPr="007E0CE3">
                    <w:rPr>
                      <w:rFonts w:ascii="Century Gothic" w:hAnsi="Century Gothic"/>
                      <w:color w:val="auto"/>
                    </w:rPr>
                    <w:t xml:space="preserve"> Boys</w:t>
                  </w:r>
                </w:p>
              </w:tc>
              <w:tc>
                <w:tcPr>
                  <w:tcW w:w="1191" w:type="dxa"/>
                </w:tcPr>
                <w:p w14:paraId="1DE97352" w14:textId="77777777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Other Boys</w:t>
                  </w:r>
                </w:p>
              </w:tc>
              <w:tc>
                <w:tcPr>
                  <w:tcW w:w="1191" w:type="dxa"/>
                </w:tcPr>
                <w:p w14:paraId="1FF9E5D6" w14:textId="77777777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PP Girls</w:t>
                  </w:r>
                </w:p>
              </w:tc>
              <w:tc>
                <w:tcPr>
                  <w:tcW w:w="1191" w:type="dxa"/>
                </w:tcPr>
                <w:p w14:paraId="50F2FC70" w14:textId="77777777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Other Girls</w:t>
                  </w:r>
                </w:p>
              </w:tc>
            </w:tr>
            <w:tr w:rsidR="007E0CE3" w:rsidRPr="007E0CE3" w14:paraId="4D9FF959" w14:textId="77777777" w:rsidTr="00385E37">
              <w:tc>
                <w:tcPr>
                  <w:tcW w:w="1759" w:type="dxa"/>
                </w:tcPr>
                <w:p w14:paraId="50FB8BC4" w14:textId="28D750D4" w:rsidR="000A3817" w:rsidRPr="007E0CE3" w:rsidRDefault="00524A70" w:rsidP="000A3817">
                  <w:pPr>
                    <w:rPr>
                      <w:rFonts w:ascii="Century Gothic" w:hAnsi="Century Gothic"/>
                      <w:i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i/>
                      <w:color w:val="auto"/>
                    </w:rPr>
                    <w:t xml:space="preserve">English </w:t>
                  </w:r>
                  <w:r w:rsidR="000A3817" w:rsidRPr="007E0CE3">
                    <w:rPr>
                      <w:rFonts w:ascii="Century Gothic" w:hAnsi="Century Gothic"/>
                      <w:i/>
                      <w:color w:val="auto"/>
                    </w:rPr>
                    <w:t xml:space="preserve"> </w:t>
                  </w:r>
                </w:p>
              </w:tc>
              <w:tc>
                <w:tcPr>
                  <w:tcW w:w="1184" w:type="dxa"/>
                </w:tcPr>
                <w:p w14:paraId="5D2DCB86" w14:textId="2D5415C1" w:rsidR="000A3817" w:rsidRPr="007E0CE3" w:rsidRDefault="002541C6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 xml:space="preserve"> 0.154</w:t>
                  </w:r>
                </w:p>
              </w:tc>
              <w:tc>
                <w:tcPr>
                  <w:tcW w:w="1216" w:type="dxa"/>
                </w:tcPr>
                <w:p w14:paraId="40E5AE0B" w14:textId="24B7E081" w:rsidR="000A3817" w:rsidRPr="007E0CE3" w:rsidRDefault="002541C6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0.175</w:t>
                  </w:r>
                </w:p>
              </w:tc>
              <w:tc>
                <w:tcPr>
                  <w:tcW w:w="1191" w:type="dxa"/>
                </w:tcPr>
                <w:p w14:paraId="4652B815" w14:textId="066CC39A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-0.</w:t>
                  </w:r>
                  <w:r w:rsidR="002541C6" w:rsidRPr="007E0CE3">
                    <w:rPr>
                      <w:rFonts w:ascii="Century Gothic" w:hAnsi="Century Gothic"/>
                      <w:color w:val="auto"/>
                    </w:rPr>
                    <w:t>799</w:t>
                  </w:r>
                </w:p>
              </w:tc>
              <w:tc>
                <w:tcPr>
                  <w:tcW w:w="1191" w:type="dxa"/>
                </w:tcPr>
                <w:p w14:paraId="6E6CE088" w14:textId="50A7BEF1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-0.</w:t>
                  </w:r>
                  <w:r w:rsidR="002541C6" w:rsidRPr="007E0CE3">
                    <w:rPr>
                      <w:rFonts w:ascii="Century Gothic" w:hAnsi="Century Gothic"/>
                      <w:color w:val="auto"/>
                    </w:rPr>
                    <w:t>306</w:t>
                  </w:r>
                </w:p>
              </w:tc>
              <w:tc>
                <w:tcPr>
                  <w:tcW w:w="1191" w:type="dxa"/>
                </w:tcPr>
                <w:p w14:paraId="61EEB89E" w14:textId="03A985C1" w:rsidR="000A3817" w:rsidRPr="007E0CE3" w:rsidRDefault="002541C6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0.710</w:t>
                  </w:r>
                </w:p>
              </w:tc>
              <w:tc>
                <w:tcPr>
                  <w:tcW w:w="1191" w:type="dxa"/>
                </w:tcPr>
                <w:p w14:paraId="1E2D5EF1" w14:textId="5B4D86BA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0.</w:t>
                  </w:r>
                  <w:r w:rsidR="002541C6" w:rsidRPr="007E0CE3">
                    <w:rPr>
                      <w:rFonts w:ascii="Century Gothic" w:hAnsi="Century Gothic"/>
                      <w:color w:val="auto"/>
                    </w:rPr>
                    <w:t>562</w:t>
                  </w:r>
                </w:p>
              </w:tc>
            </w:tr>
            <w:tr w:rsidR="007E0CE3" w:rsidRPr="007E0CE3" w14:paraId="65C1DB8F" w14:textId="77777777" w:rsidTr="00385E37">
              <w:tc>
                <w:tcPr>
                  <w:tcW w:w="1759" w:type="dxa"/>
                </w:tcPr>
                <w:p w14:paraId="0D2DB536" w14:textId="77777777" w:rsidR="000A3817" w:rsidRPr="007E0CE3" w:rsidRDefault="000A3817" w:rsidP="000A3817">
                  <w:pPr>
                    <w:rPr>
                      <w:rFonts w:ascii="Century Gothic" w:hAnsi="Century Gothic"/>
                      <w:i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i/>
                      <w:color w:val="auto"/>
                    </w:rPr>
                    <w:t>Maths</w:t>
                  </w:r>
                </w:p>
              </w:tc>
              <w:tc>
                <w:tcPr>
                  <w:tcW w:w="1184" w:type="dxa"/>
                </w:tcPr>
                <w:p w14:paraId="2D8D7EFB" w14:textId="66FFC749" w:rsidR="000A3817" w:rsidRPr="007E0CE3" w:rsidRDefault="002541C6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-0.615</w:t>
                  </w:r>
                </w:p>
              </w:tc>
              <w:tc>
                <w:tcPr>
                  <w:tcW w:w="1216" w:type="dxa"/>
                </w:tcPr>
                <w:p w14:paraId="284D3D06" w14:textId="640F02B6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-0.</w:t>
                  </w:r>
                  <w:r w:rsidR="002541C6" w:rsidRPr="007E0CE3">
                    <w:rPr>
                      <w:rFonts w:ascii="Century Gothic" w:hAnsi="Century Gothic"/>
                      <w:color w:val="auto"/>
                    </w:rPr>
                    <w:t>459</w:t>
                  </w:r>
                </w:p>
              </w:tc>
              <w:tc>
                <w:tcPr>
                  <w:tcW w:w="1191" w:type="dxa"/>
                </w:tcPr>
                <w:p w14:paraId="362AE0DA" w14:textId="5DDAA94E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-0.</w:t>
                  </w:r>
                  <w:r w:rsidR="002541C6" w:rsidRPr="007E0CE3">
                    <w:rPr>
                      <w:rFonts w:ascii="Century Gothic" w:hAnsi="Century Gothic"/>
                      <w:color w:val="auto"/>
                    </w:rPr>
                    <w:t>510</w:t>
                  </w:r>
                </w:p>
              </w:tc>
              <w:tc>
                <w:tcPr>
                  <w:tcW w:w="1191" w:type="dxa"/>
                </w:tcPr>
                <w:p w14:paraId="2600E496" w14:textId="41FEE796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-0.2</w:t>
                  </w:r>
                  <w:r w:rsidR="002541C6" w:rsidRPr="007E0CE3">
                    <w:rPr>
                      <w:rFonts w:ascii="Century Gothic" w:hAnsi="Century Gothic"/>
                      <w:color w:val="auto"/>
                    </w:rPr>
                    <w:t>95</w:t>
                  </w:r>
                </w:p>
              </w:tc>
              <w:tc>
                <w:tcPr>
                  <w:tcW w:w="1191" w:type="dxa"/>
                </w:tcPr>
                <w:p w14:paraId="0B4E1CB9" w14:textId="0F25E3F8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-0.</w:t>
                  </w:r>
                  <w:r w:rsidR="002541C6" w:rsidRPr="007E0CE3">
                    <w:rPr>
                      <w:rFonts w:ascii="Century Gothic" w:hAnsi="Century Gothic"/>
                      <w:color w:val="auto"/>
                    </w:rPr>
                    <w:t>677</w:t>
                  </w:r>
                </w:p>
              </w:tc>
              <w:tc>
                <w:tcPr>
                  <w:tcW w:w="1191" w:type="dxa"/>
                </w:tcPr>
                <w:p w14:paraId="4EB08A98" w14:textId="559D079E" w:rsidR="000A3817" w:rsidRPr="007E0CE3" w:rsidRDefault="000A3817" w:rsidP="000A3817">
                  <w:pPr>
                    <w:rPr>
                      <w:rFonts w:ascii="Century Gothic" w:hAnsi="Century Gothic"/>
                      <w:color w:val="auto"/>
                    </w:rPr>
                  </w:pPr>
                  <w:r w:rsidRPr="007E0CE3">
                    <w:rPr>
                      <w:rFonts w:ascii="Century Gothic" w:hAnsi="Century Gothic"/>
                      <w:color w:val="auto"/>
                    </w:rPr>
                    <w:t>-0.</w:t>
                  </w:r>
                  <w:r w:rsidR="002541C6" w:rsidRPr="007E0CE3">
                    <w:rPr>
                      <w:rFonts w:ascii="Century Gothic" w:hAnsi="Century Gothic"/>
                      <w:color w:val="auto"/>
                    </w:rPr>
                    <w:t>591</w:t>
                  </w:r>
                </w:p>
              </w:tc>
            </w:tr>
          </w:tbl>
          <w:p w14:paraId="4AA35EF2" w14:textId="3F0274B0" w:rsidR="000A3817" w:rsidRPr="00DE1994" w:rsidRDefault="000A3817" w:rsidP="00820DA9">
            <w:pPr>
              <w:spacing w:after="0" w:line="240" w:lineRule="auto"/>
              <w:rPr>
                <w:rFonts w:cs="Arial"/>
                <w:noProof/>
                <w:color w:val="FF0000"/>
                <w:sz w:val="20"/>
                <w:szCs w:val="20"/>
              </w:rPr>
            </w:pPr>
          </w:p>
        </w:tc>
      </w:tr>
      <w:tr w:rsidR="00DE1994" w:rsidRPr="00DE1994" w14:paraId="4D2CD032" w14:textId="77777777" w:rsidTr="006431E0">
        <w:trPr>
          <w:trHeight w:val="17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221650F7" w14:textId="77777777" w:rsidR="00820DA9" w:rsidRPr="00DE1994" w:rsidRDefault="00820DA9" w:rsidP="00820DA9">
            <w:pPr>
              <w:spacing w:after="0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lastRenderedPageBreak/>
              <w:t xml:space="preserve">External barriers </w:t>
            </w:r>
            <w:r w:rsidRPr="00DE1994">
              <w:rPr>
                <w:rFonts w:cs="Arial"/>
                <w:i/>
                <w:color w:val="auto"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DE1994" w:rsidRPr="00DE1994" w14:paraId="5DE7AB35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B3BFE68" w14:textId="77777777" w:rsidR="00820DA9" w:rsidRPr="00DE1994" w:rsidRDefault="00820DA9" w:rsidP="00820DA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  <w:color w:val="FF0000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D</w:t>
            </w:r>
            <w:r w:rsidRPr="00DE1994">
              <w:rPr>
                <w:rFonts w:cs="Arial"/>
                <w:b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4555" w:type="dxa"/>
            <w:gridSpan w:val="5"/>
          </w:tcPr>
          <w:p w14:paraId="579BB95E" w14:textId="5BAEE54D" w:rsidR="00820DA9" w:rsidRPr="00DE1994" w:rsidRDefault="00820DA9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 xml:space="preserve">Disadvantaged students are more likely to have lower attendance than their non-disadvantaged peers. </w:t>
            </w:r>
            <w:r w:rsidR="00985689">
              <w:rPr>
                <w:rFonts w:cs="Arial"/>
                <w:color w:val="auto"/>
                <w:sz w:val="20"/>
                <w:szCs w:val="20"/>
              </w:rPr>
              <w:t>See figures below for 2018-19</w:t>
            </w:r>
            <w:r w:rsidR="00DC01CC" w:rsidRPr="00DE1994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0C231FF9" w14:textId="77777777" w:rsidR="00345C15" w:rsidRPr="00DE1994" w:rsidRDefault="00345C15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858"/>
              <w:gridCol w:w="1843"/>
            </w:tblGrid>
            <w:tr w:rsidR="00DE1994" w:rsidRPr="00DE1994" w14:paraId="46EEEE9A" w14:textId="77777777" w:rsidTr="00DE1994">
              <w:trPr>
                <w:trHeight w:val="746"/>
              </w:trPr>
              <w:tc>
                <w:tcPr>
                  <w:tcW w:w="1271" w:type="dxa"/>
                </w:tcPr>
                <w:p w14:paraId="3A8E383F" w14:textId="77777777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Year Group</w:t>
                  </w:r>
                </w:p>
              </w:tc>
              <w:tc>
                <w:tcPr>
                  <w:tcW w:w="1858" w:type="dxa"/>
                </w:tcPr>
                <w:p w14:paraId="7D10A9D7" w14:textId="7B6EA8DB" w:rsidR="00DE1994" w:rsidRPr="007F5292" w:rsidRDefault="007F5292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Average % attendance 2018-19</w:t>
                  </w:r>
                  <w:r w:rsidR="00345C15" w:rsidRPr="007F5292">
                    <w:rPr>
                      <w:color w:val="auto"/>
                      <w:sz w:val="20"/>
                      <w:szCs w:val="20"/>
                    </w:rPr>
                    <w:t xml:space="preserve"> DA</w:t>
                  </w:r>
                  <w:r w:rsidR="00DE1994" w:rsidRPr="007F5292">
                    <w:rPr>
                      <w:color w:val="auto"/>
                      <w:sz w:val="20"/>
                      <w:szCs w:val="20"/>
                    </w:rPr>
                    <w:t xml:space="preserve">  (PP)</w:t>
                  </w:r>
                </w:p>
              </w:tc>
              <w:tc>
                <w:tcPr>
                  <w:tcW w:w="1843" w:type="dxa"/>
                </w:tcPr>
                <w:p w14:paraId="03509EF6" w14:textId="1E448296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 xml:space="preserve">Average % </w:t>
                  </w:r>
                  <w:r w:rsidR="007F5292" w:rsidRPr="007F5292">
                    <w:rPr>
                      <w:color w:val="auto"/>
                      <w:sz w:val="20"/>
                      <w:szCs w:val="20"/>
                    </w:rPr>
                    <w:t xml:space="preserve">attendance 2018-19 </w:t>
                  </w:r>
                  <w:r w:rsidRPr="007F5292">
                    <w:rPr>
                      <w:color w:val="auto"/>
                      <w:sz w:val="20"/>
                      <w:szCs w:val="20"/>
                    </w:rPr>
                    <w:t>other</w:t>
                  </w:r>
                </w:p>
              </w:tc>
            </w:tr>
            <w:tr w:rsidR="00DE1994" w:rsidRPr="00DE1994" w14:paraId="1B112EF7" w14:textId="77777777" w:rsidTr="00DE1994">
              <w:tc>
                <w:tcPr>
                  <w:tcW w:w="1271" w:type="dxa"/>
                </w:tcPr>
                <w:p w14:paraId="57445C5E" w14:textId="77777777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58" w:type="dxa"/>
                </w:tcPr>
                <w:p w14:paraId="74986B7F" w14:textId="5C11D44D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9</w:t>
                  </w:r>
                  <w:r w:rsidR="007F5292" w:rsidRPr="007F5292">
                    <w:rPr>
                      <w:color w:val="auto"/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1843" w:type="dxa"/>
                </w:tcPr>
                <w:p w14:paraId="1660CFD0" w14:textId="6A6AC46C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9</w:t>
                  </w:r>
                  <w:r w:rsidR="00272ECC" w:rsidRPr="007F5292">
                    <w:rPr>
                      <w:color w:val="auto"/>
                      <w:sz w:val="20"/>
                      <w:szCs w:val="20"/>
                    </w:rPr>
                    <w:t>7.</w:t>
                  </w:r>
                  <w:r w:rsidR="007F5292" w:rsidRPr="007F5292">
                    <w:rPr>
                      <w:color w:val="auto"/>
                      <w:sz w:val="20"/>
                      <w:szCs w:val="20"/>
                    </w:rPr>
                    <w:t>3</w:t>
                  </w:r>
                </w:p>
              </w:tc>
            </w:tr>
            <w:tr w:rsidR="00DE1994" w:rsidRPr="00DE1994" w14:paraId="4C4DAB2A" w14:textId="77777777" w:rsidTr="00DE1994">
              <w:tc>
                <w:tcPr>
                  <w:tcW w:w="1271" w:type="dxa"/>
                </w:tcPr>
                <w:p w14:paraId="7D436962" w14:textId="77777777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58" w:type="dxa"/>
                </w:tcPr>
                <w:p w14:paraId="1E2EC286" w14:textId="290B2BF9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9</w:t>
                  </w:r>
                  <w:r w:rsidR="00272ECC" w:rsidRPr="007F5292">
                    <w:rPr>
                      <w:color w:val="auto"/>
                      <w:sz w:val="20"/>
                      <w:szCs w:val="20"/>
                    </w:rPr>
                    <w:t>3.</w:t>
                  </w:r>
                  <w:r w:rsidR="007F5292" w:rsidRPr="007F5292">
                    <w:rPr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14:paraId="02E95424" w14:textId="5C7C44CD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96.</w:t>
                  </w:r>
                  <w:r w:rsidR="007F5292" w:rsidRPr="007F5292">
                    <w:rPr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E1994" w:rsidRPr="00DE1994" w14:paraId="19634A05" w14:textId="77777777" w:rsidTr="00DE1994">
              <w:tc>
                <w:tcPr>
                  <w:tcW w:w="1271" w:type="dxa"/>
                </w:tcPr>
                <w:p w14:paraId="5AAC4C0A" w14:textId="77777777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58" w:type="dxa"/>
                </w:tcPr>
                <w:p w14:paraId="1EEE0E0D" w14:textId="4B3A95AA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9</w:t>
                  </w:r>
                  <w:r w:rsidR="00272ECC" w:rsidRPr="007F5292">
                    <w:rPr>
                      <w:color w:val="auto"/>
                      <w:sz w:val="20"/>
                      <w:szCs w:val="20"/>
                    </w:rPr>
                    <w:t>4.</w:t>
                  </w:r>
                  <w:r w:rsidR="007F5292" w:rsidRPr="007F5292">
                    <w:rPr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2D9DCA36" w14:textId="6E7FE5E1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95.</w:t>
                  </w:r>
                  <w:r w:rsidR="007F5292" w:rsidRPr="007F5292">
                    <w:rPr>
                      <w:color w:val="auto"/>
                      <w:sz w:val="20"/>
                      <w:szCs w:val="20"/>
                    </w:rPr>
                    <w:t>8</w:t>
                  </w:r>
                </w:p>
              </w:tc>
            </w:tr>
            <w:tr w:rsidR="00DE1994" w:rsidRPr="00DE1994" w14:paraId="2EF583BA" w14:textId="77777777" w:rsidTr="00DE1994">
              <w:tc>
                <w:tcPr>
                  <w:tcW w:w="1271" w:type="dxa"/>
                </w:tcPr>
                <w:p w14:paraId="111B5179" w14:textId="77777777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58" w:type="dxa"/>
                </w:tcPr>
                <w:p w14:paraId="60115683" w14:textId="3162DFEA" w:rsidR="00345C15" w:rsidRPr="007F5292" w:rsidRDefault="00272ECC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91.</w:t>
                  </w:r>
                  <w:r w:rsidR="007F5292" w:rsidRPr="007F5292">
                    <w:rPr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1430CB57" w14:textId="03C8B64D" w:rsidR="00345C15" w:rsidRPr="007F5292" w:rsidRDefault="00345C15" w:rsidP="00345C15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F5292">
                    <w:rPr>
                      <w:color w:val="auto"/>
                      <w:sz w:val="20"/>
                      <w:szCs w:val="20"/>
                    </w:rPr>
                    <w:t>9</w:t>
                  </w:r>
                  <w:r w:rsidR="00272ECC" w:rsidRPr="007F5292">
                    <w:rPr>
                      <w:color w:val="auto"/>
                      <w:sz w:val="20"/>
                      <w:szCs w:val="20"/>
                    </w:rPr>
                    <w:t>6.6</w:t>
                  </w:r>
                </w:p>
              </w:tc>
            </w:tr>
          </w:tbl>
          <w:p w14:paraId="1BCB361D" w14:textId="77777777" w:rsidR="00345C15" w:rsidRPr="00DE1994" w:rsidRDefault="00345C15" w:rsidP="00820DA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DE1994" w:rsidRPr="00DE1994" w14:paraId="21C3E8E8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BA004B2" w14:textId="77777777" w:rsidR="00594F05" w:rsidRPr="00DE1994" w:rsidRDefault="00594F05" w:rsidP="00820DA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E.</w:t>
            </w:r>
          </w:p>
        </w:tc>
        <w:tc>
          <w:tcPr>
            <w:tcW w:w="14555" w:type="dxa"/>
            <w:gridSpan w:val="5"/>
          </w:tcPr>
          <w:p w14:paraId="64E0DE7A" w14:textId="2165B1B3" w:rsidR="00594F05" w:rsidRPr="00DE1994" w:rsidRDefault="00594F05" w:rsidP="00594F0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>Poor attitude to homew</w:t>
            </w:r>
            <w:r w:rsidR="00877E2D" w:rsidRPr="00DE1994">
              <w:rPr>
                <w:rFonts w:cs="Arial"/>
                <w:color w:val="auto"/>
                <w:sz w:val="20"/>
                <w:szCs w:val="20"/>
              </w:rPr>
              <w:t>ork and learning at home</w:t>
            </w:r>
            <w:r w:rsidR="005A5236" w:rsidRPr="00DE1994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DE1994">
              <w:rPr>
                <w:rFonts w:cs="Arial"/>
                <w:color w:val="auto"/>
                <w:sz w:val="20"/>
                <w:szCs w:val="20"/>
              </w:rPr>
              <w:t>can be exacerbated by a challenging home environment.</w:t>
            </w:r>
          </w:p>
        </w:tc>
      </w:tr>
      <w:tr w:rsidR="00DE1994" w:rsidRPr="00DE1994" w14:paraId="7A701528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3CAC60C" w14:textId="77777777" w:rsidR="00BD30A0" w:rsidRPr="00DE1994" w:rsidRDefault="00594F05" w:rsidP="00820DA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>F</w:t>
            </w:r>
            <w:r w:rsidR="00BD30A0" w:rsidRPr="00DE1994">
              <w:rPr>
                <w:rFonts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555" w:type="dxa"/>
            <w:gridSpan w:val="5"/>
          </w:tcPr>
          <w:p w14:paraId="451CBC49" w14:textId="77777777" w:rsidR="00BD30A0" w:rsidRPr="00DE1994" w:rsidRDefault="00BD30A0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>Lack of parental support and guidance can affect progress and lead to low aspirations.</w:t>
            </w:r>
          </w:p>
        </w:tc>
      </w:tr>
      <w:tr w:rsidR="008862FA" w:rsidRPr="00DE1994" w14:paraId="755DEC91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A1D3584" w14:textId="1D91F199" w:rsidR="008862FA" w:rsidRPr="00DE1994" w:rsidRDefault="008862FA" w:rsidP="00820DA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G.</w:t>
            </w:r>
          </w:p>
        </w:tc>
        <w:tc>
          <w:tcPr>
            <w:tcW w:w="14555" w:type="dxa"/>
            <w:gridSpan w:val="5"/>
          </w:tcPr>
          <w:p w14:paraId="3D9AC3FF" w14:textId="2BBE3A99" w:rsidR="008862FA" w:rsidRPr="00DE1994" w:rsidRDefault="008862FA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Disadvantaged students experience a range of individual barriers which may impede their progress.</w:t>
            </w:r>
          </w:p>
        </w:tc>
      </w:tr>
      <w:tr w:rsidR="00DE1994" w:rsidRPr="00DE1994" w14:paraId="54EA47E5" w14:textId="77777777" w:rsidTr="006431E0">
        <w:tc>
          <w:tcPr>
            <w:tcW w:w="10750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38E89B2A" w14:textId="77777777" w:rsidR="00820DA9" w:rsidRPr="00DE1994" w:rsidRDefault="00820DA9" w:rsidP="00820DA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b/>
                <w:color w:val="auto"/>
                <w:sz w:val="20"/>
                <w:szCs w:val="20"/>
              </w:rPr>
              <w:t xml:space="preserve">Desired outcomes </w:t>
            </w:r>
            <w:r w:rsidRPr="00DE1994">
              <w:rPr>
                <w:rFonts w:cs="Arial"/>
                <w:i/>
                <w:color w:val="auto"/>
                <w:sz w:val="20"/>
                <w:szCs w:val="20"/>
              </w:rPr>
              <w:t>(desired outcomes and how they will be measured)</w:t>
            </w:r>
          </w:p>
        </w:tc>
        <w:tc>
          <w:tcPr>
            <w:tcW w:w="4667" w:type="dxa"/>
            <w:gridSpan w:val="2"/>
            <w:shd w:val="clear" w:color="auto" w:fill="CFDCE3"/>
          </w:tcPr>
          <w:p w14:paraId="4E956902" w14:textId="77777777" w:rsidR="00820DA9" w:rsidRPr="00DE1994" w:rsidRDefault="00820DA9" w:rsidP="00820DA9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DE1994">
              <w:rPr>
                <w:rFonts w:cs="Arial"/>
                <w:color w:val="auto"/>
                <w:sz w:val="20"/>
                <w:szCs w:val="20"/>
              </w:rPr>
              <w:t>Success criteria</w:t>
            </w:r>
          </w:p>
        </w:tc>
      </w:tr>
      <w:tr w:rsidR="008862FA" w:rsidRPr="008862FA" w14:paraId="1E86D9DA" w14:textId="77777777" w:rsidTr="006431E0">
        <w:trPr>
          <w:trHeight w:val="299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AD4F1AF" w14:textId="77777777" w:rsidR="00820DA9" w:rsidRPr="008862FA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1648AA15" w14:textId="0DB98801" w:rsidR="00820DA9" w:rsidRPr="008862FA" w:rsidRDefault="00F41A43" w:rsidP="008525F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862FA">
              <w:rPr>
                <w:rFonts w:cs="Arial"/>
                <w:color w:val="auto"/>
                <w:sz w:val="20"/>
                <w:szCs w:val="20"/>
              </w:rPr>
              <w:t xml:space="preserve">Improved progress in </w:t>
            </w:r>
            <w:r w:rsidR="008862FA" w:rsidRPr="008862FA">
              <w:rPr>
                <w:rFonts w:cs="Arial"/>
                <w:color w:val="auto"/>
                <w:sz w:val="20"/>
                <w:szCs w:val="20"/>
              </w:rPr>
              <w:t>literacy and numeracy and English and Maths</w:t>
            </w:r>
          </w:p>
          <w:p w14:paraId="7CB1A37E" w14:textId="1EAD4412" w:rsidR="00BD30A0" w:rsidRPr="008862FA" w:rsidRDefault="00BD30A0" w:rsidP="00DE199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862FA">
              <w:rPr>
                <w:rFonts w:cs="Arial"/>
                <w:color w:val="auto"/>
                <w:sz w:val="20"/>
                <w:szCs w:val="20"/>
              </w:rPr>
              <w:t>Tracker data provi</w:t>
            </w:r>
            <w:r w:rsidR="00272ECC">
              <w:rPr>
                <w:rFonts w:cs="Arial"/>
                <w:color w:val="auto"/>
                <w:sz w:val="20"/>
                <w:szCs w:val="20"/>
              </w:rPr>
              <w:t>ded at 3</w:t>
            </w:r>
            <w:r w:rsidR="00345C15" w:rsidRPr="008862FA">
              <w:rPr>
                <w:rFonts w:cs="Arial"/>
                <w:color w:val="auto"/>
                <w:sz w:val="20"/>
                <w:szCs w:val="20"/>
              </w:rPr>
              <w:t xml:space="preserve"> points during the year</w:t>
            </w:r>
          </w:p>
          <w:p w14:paraId="3164D33C" w14:textId="227268A9" w:rsidR="00257865" w:rsidRPr="008862FA" w:rsidRDefault="00272ECC" w:rsidP="00DE199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IDL and MATHLETICS</w:t>
            </w:r>
            <w:r w:rsidR="00257865" w:rsidRPr="008862FA">
              <w:rPr>
                <w:rFonts w:cs="Arial"/>
                <w:color w:val="auto"/>
                <w:sz w:val="20"/>
                <w:szCs w:val="20"/>
              </w:rPr>
              <w:t xml:space="preserve"> tracking tests </w:t>
            </w:r>
          </w:p>
          <w:p w14:paraId="45DA1DFF" w14:textId="77777777" w:rsidR="004D7F04" w:rsidRPr="008862FA" w:rsidRDefault="005A5236" w:rsidP="00DE199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862FA">
              <w:rPr>
                <w:rFonts w:cs="Arial"/>
                <w:color w:val="auto"/>
                <w:sz w:val="20"/>
                <w:szCs w:val="20"/>
              </w:rPr>
              <w:t>Better Reading test r</w:t>
            </w:r>
            <w:r w:rsidR="004D7F04" w:rsidRPr="008862FA">
              <w:rPr>
                <w:rFonts w:cs="Arial"/>
                <w:color w:val="auto"/>
                <w:sz w:val="20"/>
                <w:szCs w:val="20"/>
              </w:rPr>
              <w:t>esults for DA pupils</w:t>
            </w:r>
          </w:p>
        </w:tc>
        <w:tc>
          <w:tcPr>
            <w:tcW w:w="4667" w:type="dxa"/>
            <w:gridSpan w:val="2"/>
          </w:tcPr>
          <w:p w14:paraId="5BBD97FA" w14:textId="77777777" w:rsidR="00820DA9" w:rsidRPr="008862FA" w:rsidRDefault="00DC01CC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862FA">
              <w:rPr>
                <w:rFonts w:cs="Arial"/>
                <w:color w:val="auto"/>
                <w:sz w:val="20"/>
                <w:szCs w:val="20"/>
              </w:rPr>
              <w:t>DA s</w:t>
            </w:r>
            <w:r w:rsidR="005C41C7" w:rsidRPr="008862FA">
              <w:rPr>
                <w:rFonts w:cs="Arial"/>
                <w:color w:val="auto"/>
                <w:sz w:val="20"/>
                <w:szCs w:val="20"/>
              </w:rPr>
              <w:t>tudents</w:t>
            </w:r>
            <w:r w:rsidR="00BD30A0" w:rsidRPr="008862FA">
              <w:rPr>
                <w:rFonts w:cs="Arial"/>
                <w:color w:val="auto"/>
                <w:sz w:val="20"/>
                <w:szCs w:val="20"/>
              </w:rPr>
              <w:t xml:space="preserve"> make at least expected progress in English and Maths</w:t>
            </w:r>
            <w:r w:rsidR="004D7F04" w:rsidRPr="008862FA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137C3195" w14:textId="1B1DF659" w:rsidR="00221A27" w:rsidRPr="008862FA" w:rsidRDefault="009A1675" w:rsidP="00272EC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862FA">
              <w:rPr>
                <w:rFonts w:cs="Arial"/>
                <w:color w:val="auto"/>
                <w:sz w:val="20"/>
                <w:szCs w:val="20"/>
              </w:rPr>
              <w:t>i</w:t>
            </w:r>
            <w:r w:rsidR="00594F05" w:rsidRPr="008862FA">
              <w:rPr>
                <w:rFonts w:cs="Arial"/>
                <w:color w:val="auto"/>
                <w:sz w:val="20"/>
                <w:szCs w:val="20"/>
              </w:rPr>
              <w:t xml:space="preserve">.e. </w:t>
            </w:r>
            <w:r w:rsidR="00272ECC">
              <w:rPr>
                <w:rFonts w:cs="Arial"/>
                <w:color w:val="auto"/>
                <w:sz w:val="20"/>
                <w:szCs w:val="20"/>
              </w:rPr>
              <w:t>judged to be embedding, secure or advanced on their progress pathway</w:t>
            </w:r>
          </w:p>
        </w:tc>
      </w:tr>
      <w:tr w:rsidR="008862FA" w:rsidRPr="008862FA" w14:paraId="2C0431C0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366046EE" w14:textId="77777777" w:rsidR="00820DA9" w:rsidRPr="008862FA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268DDDEC" w14:textId="77777777" w:rsidR="00820DA9" w:rsidRPr="00BF5454" w:rsidRDefault="00DC01CC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DA pupils</w:t>
            </w:r>
            <w:r w:rsidR="004D7F04" w:rsidRPr="00BF5454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345C15" w:rsidRPr="00BF5454">
              <w:rPr>
                <w:rFonts w:cs="Arial"/>
                <w:color w:val="auto"/>
                <w:sz w:val="20"/>
                <w:szCs w:val="20"/>
              </w:rPr>
              <w:t xml:space="preserve">display higher levels of engagement which promotes better </w:t>
            </w:r>
            <w:r w:rsidR="004D7F04" w:rsidRPr="00BF5454">
              <w:rPr>
                <w:rFonts w:cs="Arial"/>
                <w:color w:val="auto"/>
                <w:sz w:val="20"/>
                <w:szCs w:val="20"/>
              </w:rPr>
              <w:t>progress.</w:t>
            </w:r>
          </w:p>
          <w:p w14:paraId="2B8768D3" w14:textId="0CF15134" w:rsidR="004D7F04" w:rsidRPr="00BF5454" w:rsidRDefault="00272ECC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BFL data provided at 3</w:t>
            </w:r>
            <w:r w:rsidR="004D7F04" w:rsidRPr="00BF5454">
              <w:rPr>
                <w:rFonts w:cs="Arial"/>
                <w:color w:val="auto"/>
                <w:sz w:val="20"/>
                <w:szCs w:val="20"/>
              </w:rPr>
              <w:t xml:space="preserve"> points during the year indicates a</w:t>
            </w:r>
            <w:r w:rsidR="00345C15" w:rsidRPr="00BF5454">
              <w:rPr>
                <w:rFonts w:cs="Arial"/>
                <w:color w:val="auto"/>
                <w:sz w:val="20"/>
                <w:szCs w:val="20"/>
              </w:rPr>
              <w:t>ttitudes to school and learning</w:t>
            </w:r>
          </w:p>
          <w:p w14:paraId="33F0D0E4" w14:textId="5A7C1EDC" w:rsidR="008525F5" w:rsidRPr="00BF5454" w:rsidRDefault="008525F5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Selected DA students attend Learning Champion learning support sessions</w:t>
            </w:r>
          </w:p>
          <w:p w14:paraId="66B8CBC4" w14:textId="7043453D" w:rsidR="008525F5" w:rsidRPr="00BF5454" w:rsidRDefault="008525F5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KS4 DA Students attend Priority Intervention sessions</w:t>
            </w:r>
          </w:p>
          <w:p w14:paraId="04CD2213" w14:textId="3970CBDA" w:rsidR="00345C15" w:rsidRPr="00BF5454" w:rsidRDefault="00345C15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D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>A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 students participate in pastoral pr</w:t>
            </w:r>
            <w:r w:rsidR="00BF5454" w:rsidRPr="00BF5454">
              <w:rPr>
                <w:rFonts w:cs="Arial"/>
                <w:color w:val="auto"/>
                <w:sz w:val="20"/>
                <w:szCs w:val="20"/>
              </w:rPr>
              <w:t>ogrammes such as The Extra Mile, Beat Your Best and Stand Out from the Crowd</w:t>
            </w:r>
          </w:p>
          <w:p w14:paraId="4CA0E7F3" w14:textId="77777777" w:rsidR="004D7F04" w:rsidRPr="00BF5454" w:rsidRDefault="004D7F04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lastRenderedPageBreak/>
              <w:t>Portal log records fewer incidents of poor behaviour/disaffection</w:t>
            </w:r>
          </w:p>
          <w:p w14:paraId="53EF4632" w14:textId="77777777" w:rsidR="004D7F04" w:rsidRPr="00BF5454" w:rsidRDefault="004D7F04" w:rsidP="00DE199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Access to counselling/support services reduces or has positive res</w:t>
            </w:r>
            <w:r w:rsidR="00345C15" w:rsidRPr="00BF5454">
              <w:rPr>
                <w:rFonts w:cs="Arial"/>
                <w:color w:val="auto"/>
                <w:sz w:val="20"/>
                <w:szCs w:val="20"/>
              </w:rPr>
              <w:t>ults</w:t>
            </w:r>
          </w:p>
          <w:p w14:paraId="1D64BBBE" w14:textId="1439CB0F" w:rsidR="008525F5" w:rsidRPr="00BF5454" w:rsidRDefault="00345C15" w:rsidP="00BF54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Student voice records strong levels of satisfaction with school and learning</w:t>
            </w:r>
          </w:p>
        </w:tc>
        <w:tc>
          <w:tcPr>
            <w:tcW w:w="4667" w:type="dxa"/>
            <w:gridSpan w:val="2"/>
          </w:tcPr>
          <w:p w14:paraId="06DFEFDE" w14:textId="7DEE8ED5" w:rsidR="007D6544" w:rsidRPr="007D6544" w:rsidRDefault="004D7F04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D6544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Improved social and emotional skills have a positive impact on </w:t>
            </w:r>
            <w:r w:rsidR="007D6544" w:rsidRPr="007D6544">
              <w:rPr>
                <w:rFonts w:cs="Arial"/>
                <w:color w:val="auto"/>
                <w:sz w:val="20"/>
                <w:szCs w:val="20"/>
              </w:rPr>
              <w:t>attitudes to learning and progress shown by positive pupil voice questionnaire results</w:t>
            </w:r>
          </w:p>
          <w:p w14:paraId="0C3315A4" w14:textId="77777777" w:rsidR="006D5E91" w:rsidRPr="007D6544" w:rsidRDefault="006D5E91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28126191" w14:textId="686FB6A4" w:rsidR="007D6544" w:rsidRPr="007D6544" w:rsidRDefault="007D6544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D6544">
              <w:rPr>
                <w:rFonts w:cs="Arial"/>
                <w:color w:val="auto"/>
                <w:sz w:val="20"/>
                <w:szCs w:val="20"/>
              </w:rPr>
              <w:t xml:space="preserve">Average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DA </w:t>
            </w:r>
            <w:r w:rsidRPr="007D6544">
              <w:rPr>
                <w:rFonts w:cs="Arial"/>
                <w:color w:val="auto"/>
                <w:sz w:val="20"/>
                <w:szCs w:val="20"/>
              </w:rPr>
              <w:t xml:space="preserve">pupil BFL scores are the same </w:t>
            </w:r>
            <w:r>
              <w:rPr>
                <w:rFonts w:cs="Arial"/>
                <w:color w:val="auto"/>
                <w:sz w:val="20"/>
                <w:szCs w:val="20"/>
              </w:rPr>
              <w:t>as those of nonDA</w:t>
            </w:r>
            <w:r w:rsidRPr="007D6544">
              <w:rPr>
                <w:rFonts w:cs="Arial"/>
                <w:color w:val="auto"/>
                <w:sz w:val="20"/>
                <w:szCs w:val="20"/>
              </w:rPr>
              <w:t xml:space="preserve"> pupils</w:t>
            </w:r>
            <w:r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1ED1F5D8" w14:textId="74E614DF" w:rsidR="006D5E91" w:rsidRPr="007D6544" w:rsidRDefault="006D5E91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77D11AF5" w14:textId="77777777" w:rsidR="00594F05" w:rsidRPr="008862FA" w:rsidRDefault="00594F05" w:rsidP="00820DA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8862FA" w:rsidRPr="008862FA" w14:paraId="6C5A7E3C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37F55942" w14:textId="77777777" w:rsidR="00820DA9" w:rsidRPr="008862FA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5A6E0FE4" w14:textId="2CE2A9B8" w:rsidR="004D7F04" w:rsidRPr="008862FA" w:rsidRDefault="00877E2D" w:rsidP="00877E2D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The gap between DA and other in progress made in English and maths begins to close.</w:t>
            </w:r>
          </w:p>
        </w:tc>
        <w:tc>
          <w:tcPr>
            <w:tcW w:w="4667" w:type="dxa"/>
            <w:gridSpan w:val="2"/>
          </w:tcPr>
          <w:p w14:paraId="4B6492A4" w14:textId="5F859EE8" w:rsidR="00877E2D" w:rsidRPr="007D6544" w:rsidRDefault="00877E2D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7D6544">
              <w:rPr>
                <w:rFonts w:cs="Arial"/>
                <w:color w:val="auto"/>
                <w:sz w:val="20"/>
                <w:szCs w:val="20"/>
              </w:rPr>
              <w:t>In-house exam results</w:t>
            </w:r>
            <w:r w:rsidR="007D6544">
              <w:rPr>
                <w:rFonts w:cs="Arial"/>
                <w:color w:val="auto"/>
                <w:sz w:val="20"/>
                <w:szCs w:val="20"/>
              </w:rPr>
              <w:t xml:space="preserve"> and </w:t>
            </w:r>
            <w:r w:rsidRPr="007D6544">
              <w:rPr>
                <w:rFonts w:cs="Arial"/>
                <w:color w:val="auto"/>
                <w:sz w:val="20"/>
                <w:szCs w:val="20"/>
              </w:rPr>
              <w:t>GCSE exam results</w:t>
            </w:r>
            <w:r w:rsidR="007D6544">
              <w:rPr>
                <w:rFonts w:cs="Arial"/>
                <w:color w:val="auto"/>
                <w:sz w:val="20"/>
                <w:szCs w:val="20"/>
              </w:rPr>
              <w:t xml:space="preserve"> show the gap has closed.</w:t>
            </w:r>
          </w:p>
        </w:tc>
      </w:tr>
      <w:tr w:rsidR="008862FA" w:rsidRPr="008862FA" w14:paraId="5747C745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66A9A9C6" w14:textId="77777777" w:rsidR="00820DA9" w:rsidRPr="008862FA" w:rsidRDefault="00820DA9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15E2F304" w14:textId="15B7BC6E" w:rsidR="00820DA9" w:rsidRPr="00BF5454" w:rsidRDefault="001F5DA9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ascii="Helvetica" w:hAnsi="Helvetica"/>
                <w:color w:val="auto"/>
                <w:sz w:val="20"/>
                <w:szCs w:val="20"/>
                <w:shd w:val="clear" w:color="auto" w:fill="FFFFFF"/>
              </w:rPr>
              <w:t xml:space="preserve">The attendance of DA pupils is at least in line with the school target for attendance </w:t>
            </w:r>
            <w:r w:rsidR="00257865" w:rsidRPr="00BF5454">
              <w:rPr>
                <w:rFonts w:ascii="Helvetica" w:hAnsi="Helvetica"/>
                <w:color w:val="auto"/>
                <w:sz w:val="20"/>
                <w:szCs w:val="20"/>
                <w:shd w:val="clear" w:color="auto" w:fill="FFFFFF"/>
              </w:rPr>
              <w:t>(</w:t>
            </w:r>
            <w:r w:rsidRPr="00BF5454">
              <w:rPr>
                <w:rFonts w:ascii="Helvetica" w:hAnsi="Helvetica"/>
                <w:color w:val="auto"/>
                <w:sz w:val="20"/>
                <w:szCs w:val="20"/>
                <w:shd w:val="clear" w:color="auto" w:fill="FFFFFF"/>
              </w:rPr>
              <w:t>96%)</w:t>
            </w:r>
          </w:p>
          <w:p w14:paraId="3E918B03" w14:textId="67FE08B8" w:rsidR="00EF3B77" w:rsidRPr="00BF5454" w:rsidRDefault="00272ECC" w:rsidP="00EF3B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Attendance data provided at 3 </w:t>
            </w:r>
            <w:r w:rsidR="00EF3B77" w:rsidRPr="00BF5454">
              <w:rPr>
                <w:rFonts w:cs="Arial"/>
                <w:color w:val="auto"/>
                <w:sz w:val="20"/>
                <w:szCs w:val="20"/>
              </w:rPr>
              <w:t>points during the year</w:t>
            </w:r>
          </w:p>
          <w:p w14:paraId="708ED285" w14:textId="77777777" w:rsidR="00EF3B77" w:rsidRPr="008862FA" w:rsidRDefault="00345C15" w:rsidP="00EF3B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Attendance i</w:t>
            </w:r>
            <w:r w:rsidR="00EF3B77" w:rsidRPr="00BF5454">
              <w:rPr>
                <w:rFonts w:cs="Arial"/>
                <w:color w:val="auto"/>
                <w:sz w:val="20"/>
                <w:szCs w:val="20"/>
              </w:rPr>
              <w:t xml:space="preserve">nformation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and actions </w:t>
            </w:r>
            <w:r w:rsidR="00EF3B77" w:rsidRPr="00BF5454">
              <w:rPr>
                <w:rFonts w:cs="Arial"/>
                <w:color w:val="auto"/>
                <w:sz w:val="20"/>
                <w:szCs w:val="20"/>
              </w:rPr>
              <w:t>shared at case conferences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 by pupil services and SLCs</w:t>
            </w:r>
          </w:p>
        </w:tc>
        <w:tc>
          <w:tcPr>
            <w:tcW w:w="4667" w:type="dxa"/>
            <w:gridSpan w:val="2"/>
          </w:tcPr>
          <w:p w14:paraId="322F2FC1" w14:textId="77777777" w:rsidR="00820DA9" w:rsidRPr="008862FA" w:rsidRDefault="00594F05" w:rsidP="00DC01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D6544">
              <w:rPr>
                <w:rFonts w:cs="Arial"/>
                <w:color w:val="auto"/>
                <w:sz w:val="20"/>
                <w:szCs w:val="20"/>
              </w:rPr>
              <w:t xml:space="preserve">Gap in attendance figures of </w:t>
            </w:r>
            <w:r w:rsidR="00DC01CC" w:rsidRPr="007D6544">
              <w:rPr>
                <w:rFonts w:cs="Arial"/>
                <w:color w:val="auto"/>
                <w:sz w:val="20"/>
                <w:szCs w:val="20"/>
              </w:rPr>
              <w:t>DA</w:t>
            </w:r>
            <w:r w:rsidRPr="007D6544">
              <w:rPr>
                <w:rFonts w:cs="Arial"/>
                <w:color w:val="auto"/>
                <w:sz w:val="20"/>
                <w:szCs w:val="20"/>
              </w:rPr>
              <w:t xml:space="preserve"> and other pupils is closed.</w:t>
            </w:r>
          </w:p>
        </w:tc>
      </w:tr>
      <w:tr w:rsidR="008862FA" w:rsidRPr="008862FA" w14:paraId="450CA3D3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77B478D5" w14:textId="77777777" w:rsidR="005C41C7" w:rsidRPr="008862FA" w:rsidRDefault="005C41C7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618C6A41" w14:textId="77777777" w:rsidR="005C41C7" w:rsidRPr="008862FA" w:rsidRDefault="005C41C7" w:rsidP="00DC01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D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>A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 students see relevance and benefits of independent study at home and develop resilience and motivation to complete homework and learning tasks in their own time.</w:t>
            </w:r>
          </w:p>
        </w:tc>
        <w:tc>
          <w:tcPr>
            <w:tcW w:w="4667" w:type="dxa"/>
            <w:gridSpan w:val="2"/>
          </w:tcPr>
          <w:p w14:paraId="62D52896" w14:textId="2B7DDD7F" w:rsidR="005C41C7" w:rsidRPr="00BF5454" w:rsidRDefault="000A3621" w:rsidP="00820DA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KS3 DA pupil progress </w:t>
            </w:r>
            <w:r w:rsidR="005C41C7" w:rsidRPr="00BF5454">
              <w:rPr>
                <w:rFonts w:cs="Arial"/>
                <w:color w:val="auto"/>
                <w:sz w:val="20"/>
                <w:szCs w:val="20"/>
              </w:rPr>
              <w:t>is at least equal to that of other pupils.</w:t>
            </w:r>
          </w:p>
          <w:p w14:paraId="2682EEB1" w14:textId="0E2CFDC1" w:rsidR="005C41C7" w:rsidRPr="00BF5454" w:rsidRDefault="005C41C7" w:rsidP="00DC01C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KS4 </w:t>
            </w:r>
            <w:r w:rsidR="000A3621">
              <w:rPr>
                <w:rFonts w:cs="Arial"/>
                <w:color w:val="auto"/>
                <w:sz w:val="20"/>
                <w:szCs w:val="20"/>
              </w:rPr>
              <w:t xml:space="preserve">DA pupils’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>exam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>/controlled assessment results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 are at least as good as those of other pupils.</w:t>
            </w:r>
          </w:p>
          <w:p w14:paraId="080BBADF" w14:textId="77777777" w:rsidR="009A1675" w:rsidRPr="008862FA" w:rsidRDefault="009A1675" w:rsidP="00DC01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8862FA" w:rsidRPr="008862FA" w14:paraId="4B8B0C0C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10F5B2F1" w14:textId="77777777" w:rsidR="00EF3B77" w:rsidRPr="008862FA" w:rsidRDefault="00EF3B77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3CDE807F" w14:textId="77777777" w:rsidR="005C41C7" w:rsidRPr="00BF5454" w:rsidRDefault="00DC01CC" w:rsidP="005C41C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DA</w:t>
            </w:r>
            <w:r w:rsidR="005C41C7" w:rsidRPr="00BF5454">
              <w:rPr>
                <w:rFonts w:cs="Arial"/>
                <w:color w:val="auto"/>
                <w:sz w:val="20"/>
                <w:szCs w:val="20"/>
              </w:rPr>
              <w:t xml:space="preserve"> students aspire to succeed.</w:t>
            </w:r>
          </w:p>
          <w:p w14:paraId="3EF463C6" w14:textId="5D877282" w:rsidR="00EF3B77" w:rsidRPr="00BF5454" w:rsidRDefault="00EF3B77" w:rsidP="005C41C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At least expected progress</w:t>
            </w:r>
            <w:r w:rsidR="000A3621">
              <w:rPr>
                <w:rFonts w:cs="Arial"/>
                <w:color w:val="auto"/>
                <w:sz w:val="20"/>
                <w:szCs w:val="20"/>
              </w:rPr>
              <w:t xml:space="preserve"> is made – see tracker data at 3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 points in the year</w:t>
            </w:r>
          </w:p>
          <w:p w14:paraId="40A48263" w14:textId="77777777" w:rsidR="00EF3B77" w:rsidRPr="00BF5454" w:rsidRDefault="00EF3B77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BFLs are at least as good as those of </w:t>
            </w:r>
            <w:r w:rsidR="005C41C7" w:rsidRPr="00BF5454">
              <w:rPr>
                <w:rFonts w:cs="Arial"/>
                <w:color w:val="auto"/>
                <w:sz w:val="20"/>
                <w:szCs w:val="20"/>
              </w:rPr>
              <w:t xml:space="preserve">other </w:t>
            </w:r>
            <w:r w:rsidR="00345C15" w:rsidRPr="00BF5454">
              <w:rPr>
                <w:rFonts w:cs="Arial"/>
                <w:color w:val="auto"/>
                <w:sz w:val="20"/>
                <w:szCs w:val="20"/>
              </w:rPr>
              <w:t>pupils</w:t>
            </w:r>
          </w:p>
          <w:p w14:paraId="022AF98B" w14:textId="77777777" w:rsidR="00EF3B77" w:rsidRPr="00BF5454" w:rsidRDefault="00EF3B77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Careers interview records show pupil aspiration and future plans</w:t>
            </w:r>
          </w:p>
          <w:p w14:paraId="45B3FA59" w14:textId="3D7BC82F" w:rsidR="00EF3B77" w:rsidRPr="00BF5454" w:rsidRDefault="00183AB5" w:rsidP="00BF54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Participation in </w:t>
            </w:r>
            <w:r w:rsidR="00EF3B77" w:rsidRPr="00BF5454">
              <w:rPr>
                <w:rFonts w:cs="Arial"/>
                <w:color w:val="auto"/>
                <w:sz w:val="20"/>
                <w:szCs w:val="20"/>
              </w:rPr>
              <w:t xml:space="preserve">extra-curricular activities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by 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 xml:space="preserve">DA </w:t>
            </w:r>
            <w:r w:rsidR="00EF3B77" w:rsidRPr="00BF5454">
              <w:rPr>
                <w:rFonts w:cs="Arial"/>
                <w:color w:val="auto"/>
                <w:sz w:val="20"/>
                <w:szCs w:val="20"/>
              </w:rPr>
              <w:t xml:space="preserve">is equal to that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of </w:t>
            </w:r>
            <w:r w:rsidR="005C41C7" w:rsidRPr="00BF5454">
              <w:rPr>
                <w:rFonts w:cs="Arial"/>
                <w:color w:val="auto"/>
                <w:sz w:val="20"/>
                <w:szCs w:val="20"/>
              </w:rPr>
              <w:t xml:space="preserve">other </w:t>
            </w:r>
            <w:r w:rsidR="00BF5454">
              <w:rPr>
                <w:rFonts w:cs="Arial"/>
                <w:color w:val="auto"/>
                <w:sz w:val="20"/>
                <w:szCs w:val="20"/>
              </w:rPr>
              <w:t>pupils (See Extra Mile,</w:t>
            </w:r>
            <w:r w:rsidR="00BF5454" w:rsidRPr="00BF5454">
              <w:rPr>
                <w:rFonts w:cs="Arial"/>
                <w:color w:val="auto"/>
                <w:sz w:val="20"/>
                <w:szCs w:val="20"/>
              </w:rPr>
              <w:t xml:space="preserve"> , Beat Your Best and Stand Out from the Crowd</w:t>
            </w:r>
            <w:r w:rsidR="00BF5454">
              <w:rPr>
                <w:rFonts w:cs="Arial"/>
                <w:color w:val="auto"/>
                <w:sz w:val="20"/>
                <w:szCs w:val="20"/>
              </w:rPr>
              <w:t xml:space="preserve"> records)</w:t>
            </w:r>
          </w:p>
          <w:p w14:paraId="249812A9" w14:textId="77777777" w:rsidR="00FF5843" w:rsidRPr="00BF5454" w:rsidRDefault="00FF5843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Student voice records pupil satisfaction with school and learning experience</w:t>
            </w:r>
          </w:p>
          <w:p w14:paraId="79109E34" w14:textId="77777777" w:rsidR="00345C15" w:rsidRPr="00BF5454" w:rsidRDefault="00345C15" w:rsidP="00EF3B7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Information provided by sixth form colleges shows leavers’ college engagement</w:t>
            </w:r>
          </w:p>
        </w:tc>
        <w:tc>
          <w:tcPr>
            <w:tcW w:w="4667" w:type="dxa"/>
            <w:gridSpan w:val="2"/>
          </w:tcPr>
          <w:p w14:paraId="0D9235AB" w14:textId="77777777" w:rsidR="00EF3B77" w:rsidRPr="00BF5454" w:rsidRDefault="005C41C7" w:rsidP="00DC01C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>D</w:t>
            </w:r>
            <w:r w:rsidR="00DC01CC" w:rsidRPr="00BF5454">
              <w:rPr>
                <w:rFonts w:cs="Arial"/>
                <w:color w:val="auto"/>
                <w:sz w:val="20"/>
                <w:szCs w:val="20"/>
              </w:rPr>
              <w:t xml:space="preserve">A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students are engaged in their learning, making progress that is at least equal to that of other students </w:t>
            </w:r>
            <w:r w:rsidR="009A1675" w:rsidRPr="00BF5454">
              <w:rPr>
                <w:rFonts w:cs="Arial"/>
                <w:color w:val="auto"/>
                <w:sz w:val="20"/>
                <w:szCs w:val="20"/>
              </w:rPr>
              <w:t xml:space="preserve">nationally </w:t>
            </w:r>
            <w:r w:rsidRPr="00BF5454">
              <w:rPr>
                <w:rFonts w:cs="Arial"/>
                <w:color w:val="auto"/>
                <w:sz w:val="20"/>
                <w:szCs w:val="20"/>
              </w:rPr>
              <w:t>and have a clear future vision of their future goals.</w:t>
            </w:r>
          </w:p>
          <w:p w14:paraId="3D218F81" w14:textId="52D9AD9C" w:rsidR="00AA3817" w:rsidRPr="008862FA" w:rsidRDefault="00AA3817" w:rsidP="00DC01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8862FA" w:rsidRPr="008862FA" w14:paraId="79204010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212FA89E" w14:textId="77777777" w:rsidR="008862FA" w:rsidRPr="008862FA" w:rsidRDefault="008862FA" w:rsidP="00820DA9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63A32754" w14:textId="77777777" w:rsidR="008862FA" w:rsidRPr="00BF5454" w:rsidRDefault="008862FA" w:rsidP="005C41C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Information about individual barriers are discussed and shared </w:t>
            </w:r>
            <w:r w:rsidR="00BF5454" w:rsidRPr="00BF5454">
              <w:rPr>
                <w:rFonts w:cs="Arial"/>
                <w:color w:val="auto"/>
                <w:sz w:val="20"/>
                <w:szCs w:val="20"/>
              </w:rPr>
              <w:t>and assistance/interventions in place where apt</w:t>
            </w:r>
          </w:p>
          <w:p w14:paraId="3C647191" w14:textId="4DEE1ACA" w:rsidR="00BF5454" w:rsidRPr="00BF5454" w:rsidRDefault="00BF5454" w:rsidP="00BF545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F5454">
              <w:rPr>
                <w:rFonts w:cs="Arial"/>
                <w:color w:val="auto"/>
                <w:sz w:val="20"/>
                <w:szCs w:val="20"/>
              </w:rPr>
              <w:t xml:space="preserve">Case Conference </w:t>
            </w:r>
            <w:r w:rsidR="00985689">
              <w:rPr>
                <w:rFonts w:cs="Arial"/>
                <w:color w:val="auto"/>
                <w:sz w:val="20"/>
                <w:szCs w:val="20"/>
              </w:rPr>
              <w:t>notes</w:t>
            </w:r>
          </w:p>
        </w:tc>
        <w:tc>
          <w:tcPr>
            <w:tcW w:w="4667" w:type="dxa"/>
            <w:gridSpan w:val="2"/>
          </w:tcPr>
          <w:p w14:paraId="74659C0B" w14:textId="77777777" w:rsidR="008862FA" w:rsidRPr="008862FA" w:rsidRDefault="008862FA" w:rsidP="00DC01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14:paraId="305A0D70" w14:textId="77777777" w:rsidR="00703958" w:rsidRPr="008862FA" w:rsidRDefault="00703958">
      <w:pPr>
        <w:rPr>
          <w:color w:val="FF0000"/>
          <w:sz w:val="20"/>
          <w:szCs w:val="20"/>
        </w:rPr>
      </w:pPr>
      <w:r w:rsidRPr="008862FA">
        <w:rPr>
          <w:color w:val="FF0000"/>
          <w:sz w:val="20"/>
          <w:szCs w:val="20"/>
        </w:rPr>
        <w:br w:type="page"/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235"/>
        <w:gridCol w:w="475"/>
        <w:gridCol w:w="1793"/>
        <w:gridCol w:w="3147"/>
        <w:gridCol w:w="3515"/>
        <w:gridCol w:w="1559"/>
        <w:gridCol w:w="2835"/>
      </w:tblGrid>
      <w:tr w:rsidR="000A3621" w:rsidRPr="000A3621" w14:paraId="006EF985" w14:textId="77777777" w:rsidTr="001D569D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09C25CCE" w14:textId="77777777" w:rsidR="00814458" w:rsidRPr="00BB682C" w:rsidRDefault="00814458" w:rsidP="00497D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  <w:color w:val="auto"/>
              </w:rPr>
            </w:pPr>
            <w:r w:rsidRPr="00BB682C">
              <w:rPr>
                <w:rFonts w:cs="Arial"/>
                <w:b/>
                <w:color w:val="auto"/>
              </w:rPr>
              <w:lastRenderedPageBreak/>
              <w:t xml:space="preserve">Planned expenditure </w:t>
            </w:r>
          </w:p>
        </w:tc>
      </w:tr>
      <w:tr w:rsidR="000A3621" w:rsidRPr="000A3621" w14:paraId="17E2B1A7" w14:textId="77777777" w:rsidTr="001D569D">
        <w:tc>
          <w:tcPr>
            <w:tcW w:w="27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671D03" w14:textId="77777777" w:rsidR="00814458" w:rsidRPr="00021A75" w:rsidRDefault="00814458" w:rsidP="00497D2D">
            <w:pPr>
              <w:pStyle w:val="ListParagraph"/>
              <w:spacing w:after="0" w:line="240" w:lineRule="auto"/>
              <w:ind w:left="0" w:hanging="357"/>
              <w:contextualSpacing w:val="0"/>
              <w:rPr>
                <w:rFonts w:cs="Arial"/>
                <w:b/>
                <w:color w:val="auto"/>
                <w:sz w:val="22"/>
                <w:szCs w:val="22"/>
              </w:rPr>
            </w:pPr>
            <w:r w:rsidRPr="00021A75">
              <w:rPr>
                <w:rFonts w:cs="Arial"/>
                <w:b/>
                <w:color w:val="auto"/>
                <w:sz w:val="22"/>
                <w:szCs w:val="22"/>
              </w:rPr>
              <w:t>Academic year</w:t>
            </w:r>
          </w:p>
        </w:tc>
        <w:tc>
          <w:tcPr>
            <w:tcW w:w="12849" w:type="dxa"/>
            <w:gridSpan w:val="5"/>
            <w:shd w:val="clear" w:color="auto" w:fill="auto"/>
          </w:tcPr>
          <w:p w14:paraId="5AD0D0AF" w14:textId="188BE5A9" w:rsidR="00814458" w:rsidRPr="00021A75" w:rsidRDefault="008C3DF6" w:rsidP="00497D2D">
            <w:pPr>
              <w:spacing w:after="0" w:line="240" w:lineRule="auto"/>
              <w:ind w:left="720" w:hanging="357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2019-20</w:t>
            </w:r>
          </w:p>
        </w:tc>
      </w:tr>
      <w:tr w:rsidR="000A3621" w:rsidRPr="000A3621" w14:paraId="3FC4B454" w14:textId="77777777" w:rsidTr="001D569D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6EC6129B" w14:textId="77777777" w:rsidR="00814458" w:rsidRPr="00021A75" w:rsidRDefault="00814458" w:rsidP="00947CF2">
            <w:pPr>
              <w:spacing w:after="0" w:line="240" w:lineRule="auto"/>
              <w:ind w:left="142"/>
              <w:rPr>
                <w:rFonts w:cs="Arial"/>
                <w:color w:val="auto"/>
                <w:sz w:val="22"/>
                <w:szCs w:val="22"/>
              </w:rPr>
            </w:pPr>
            <w:r w:rsidRPr="00021A75">
              <w:rPr>
                <w:rFonts w:cs="Arial"/>
                <w:color w:val="auto"/>
                <w:sz w:val="22"/>
                <w:szCs w:val="22"/>
              </w:rPr>
              <w:t>The three headings below enable schools to demonstrate how they are using the Pupil Premium to improve classroom pe</w:t>
            </w:r>
            <w:r w:rsidR="00947CF2" w:rsidRPr="00021A75">
              <w:rPr>
                <w:rFonts w:cs="Arial"/>
                <w:color w:val="auto"/>
                <w:sz w:val="22"/>
                <w:szCs w:val="22"/>
              </w:rPr>
              <w:t xml:space="preserve">dagogy, provide </w:t>
            </w:r>
            <w:r w:rsidRPr="00021A75">
              <w:rPr>
                <w:rFonts w:cs="Arial"/>
                <w:color w:val="auto"/>
                <w:sz w:val="22"/>
                <w:szCs w:val="22"/>
              </w:rPr>
              <w:t>targeted support and support whole school strategies.</w:t>
            </w:r>
          </w:p>
        </w:tc>
      </w:tr>
      <w:tr w:rsidR="000A3621" w:rsidRPr="000A3621" w14:paraId="4DBE1637" w14:textId="77777777" w:rsidTr="001D569D">
        <w:tc>
          <w:tcPr>
            <w:tcW w:w="15559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846C345" w14:textId="77777777" w:rsidR="00814458" w:rsidRPr="00BB682C" w:rsidRDefault="00814458" w:rsidP="00497D2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color w:val="auto"/>
              </w:rPr>
            </w:pPr>
            <w:r w:rsidRPr="00BB682C">
              <w:rPr>
                <w:rFonts w:cs="Arial"/>
                <w:b/>
                <w:color w:val="auto"/>
              </w:rPr>
              <w:t>Quality of teaching for all</w:t>
            </w:r>
          </w:p>
        </w:tc>
      </w:tr>
      <w:tr w:rsidR="000A3621" w:rsidRPr="000A3621" w14:paraId="71D2F00E" w14:textId="77777777" w:rsidTr="00AF4E84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672868" w14:textId="77777777" w:rsidR="00814458" w:rsidRPr="00021A75" w:rsidRDefault="00814458" w:rsidP="00814458">
            <w:pPr>
              <w:spacing w:after="0"/>
              <w:rPr>
                <w:rFonts w:cs="Arial"/>
                <w:b/>
                <w:color w:val="auto"/>
                <w:sz w:val="22"/>
                <w:szCs w:val="22"/>
              </w:rPr>
            </w:pPr>
            <w:r w:rsidRPr="00021A75">
              <w:rPr>
                <w:rFonts w:cs="Arial"/>
                <w:b/>
                <w:color w:val="auto"/>
                <w:sz w:val="22"/>
                <w:szCs w:val="22"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6085CAE3" w14:textId="77777777" w:rsidR="00814458" w:rsidRPr="00021A75" w:rsidRDefault="00814458" w:rsidP="00814458">
            <w:pPr>
              <w:spacing w:after="0"/>
              <w:rPr>
                <w:rFonts w:cs="Arial"/>
                <w:b/>
                <w:color w:val="auto"/>
                <w:sz w:val="22"/>
                <w:szCs w:val="22"/>
              </w:rPr>
            </w:pPr>
            <w:r w:rsidRPr="00021A75">
              <w:rPr>
                <w:rFonts w:cs="Arial"/>
                <w:b/>
                <w:color w:val="auto"/>
                <w:sz w:val="22"/>
                <w:szCs w:val="22"/>
              </w:rPr>
              <w:t>Chosen action</w:t>
            </w:r>
            <w:r w:rsidR="00EA4174" w:rsidRPr="00021A75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021A75">
              <w:rPr>
                <w:rFonts w:cs="Arial"/>
                <w:b/>
                <w:color w:val="auto"/>
                <w:sz w:val="22"/>
                <w:szCs w:val="22"/>
              </w:rPr>
              <w:t>/</w:t>
            </w:r>
            <w:r w:rsidR="00EA4174" w:rsidRPr="00021A75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021A75">
              <w:rPr>
                <w:rFonts w:cs="Arial"/>
                <w:b/>
                <w:color w:val="auto"/>
                <w:sz w:val="22"/>
                <w:szCs w:val="22"/>
              </w:rPr>
              <w:t>approach</w:t>
            </w:r>
          </w:p>
        </w:tc>
        <w:tc>
          <w:tcPr>
            <w:tcW w:w="3147" w:type="dxa"/>
            <w:shd w:val="clear" w:color="auto" w:fill="auto"/>
            <w:tcMar>
              <w:top w:w="57" w:type="dxa"/>
              <w:bottom w:w="57" w:type="dxa"/>
            </w:tcMar>
          </w:tcPr>
          <w:p w14:paraId="07C54DA5" w14:textId="77777777" w:rsidR="00814458" w:rsidRPr="00021A75" w:rsidRDefault="00EA4174" w:rsidP="00814458">
            <w:pPr>
              <w:spacing w:after="0"/>
              <w:rPr>
                <w:rFonts w:cs="Arial"/>
                <w:b/>
                <w:color w:val="auto"/>
                <w:sz w:val="22"/>
                <w:szCs w:val="22"/>
              </w:rPr>
            </w:pPr>
            <w:r w:rsidRPr="00021A75">
              <w:rPr>
                <w:rFonts w:cs="Arial"/>
                <w:b/>
                <w:color w:val="auto"/>
                <w:sz w:val="22"/>
                <w:szCs w:val="22"/>
              </w:rPr>
              <w:t>What is the evidence and</w:t>
            </w:r>
            <w:r w:rsidR="00814458" w:rsidRPr="00021A75">
              <w:rPr>
                <w:rFonts w:cs="Arial"/>
                <w:b/>
                <w:color w:val="auto"/>
                <w:sz w:val="22"/>
                <w:szCs w:val="22"/>
              </w:rPr>
              <w:t xml:space="preserve"> rationale for this choice?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bottom w:w="57" w:type="dxa"/>
            </w:tcMar>
          </w:tcPr>
          <w:p w14:paraId="37406AFD" w14:textId="77777777" w:rsidR="00814458" w:rsidRPr="00021A75" w:rsidRDefault="00814458" w:rsidP="00814458">
            <w:pPr>
              <w:spacing w:after="0"/>
              <w:rPr>
                <w:rFonts w:cs="Arial"/>
                <w:b/>
                <w:color w:val="auto"/>
                <w:sz w:val="22"/>
                <w:szCs w:val="22"/>
              </w:rPr>
            </w:pPr>
            <w:r w:rsidRPr="00021A75">
              <w:rPr>
                <w:rFonts w:cs="Arial"/>
                <w:b/>
                <w:color w:val="auto"/>
                <w:sz w:val="22"/>
                <w:szCs w:val="22"/>
              </w:rPr>
              <w:t>How will you ensure it is implemented well?</w:t>
            </w:r>
          </w:p>
        </w:tc>
        <w:tc>
          <w:tcPr>
            <w:tcW w:w="1559" w:type="dxa"/>
            <w:shd w:val="clear" w:color="auto" w:fill="auto"/>
          </w:tcPr>
          <w:p w14:paraId="3D5540A8" w14:textId="77777777" w:rsidR="00814458" w:rsidRPr="00021A75" w:rsidRDefault="00814458" w:rsidP="00814458">
            <w:pPr>
              <w:spacing w:after="0"/>
              <w:rPr>
                <w:rFonts w:cs="Arial"/>
                <w:b/>
                <w:color w:val="auto"/>
                <w:sz w:val="22"/>
                <w:szCs w:val="22"/>
              </w:rPr>
            </w:pPr>
            <w:r w:rsidRPr="00021A75">
              <w:rPr>
                <w:rFonts w:cs="Arial"/>
                <w:b/>
                <w:color w:val="auto"/>
                <w:sz w:val="22"/>
                <w:szCs w:val="22"/>
              </w:rPr>
              <w:t>Staff lead</w:t>
            </w:r>
          </w:p>
        </w:tc>
        <w:tc>
          <w:tcPr>
            <w:tcW w:w="2835" w:type="dxa"/>
          </w:tcPr>
          <w:p w14:paraId="0A9E3138" w14:textId="77777777" w:rsidR="00814458" w:rsidRPr="00021A75" w:rsidRDefault="00EA4174" w:rsidP="00814458">
            <w:pPr>
              <w:spacing w:after="0"/>
              <w:rPr>
                <w:rFonts w:cs="Arial"/>
                <w:b/>
                <w:color w:val="auto"/>
                <w:sz w:val="22"/>
                <w:szCs w:val="22"/>
              </w:rPr>
            </w:pPr>
            <w:r w:rsidRPr="00021A75">
              <w:rPr>
                <w:rFonts w:cs="Arial"/>
                <w:b/>
                <w:color w:val="auto"/>
                <w:sz w:val="22"/>
                <w:szCs w:val="22"/>
              </w:rPr>
              <w:t>When will you review implementation?</w:t>
            </w:r>
          </w:p>
        </w:tc>
      </w:tr>
      <w:tr w:rsidR="000A3621" w:rsidRPr="000A3621" w14:paraId="75E5FD8C" w14:textId="77777777" w:rsidTr="00AF4E84">
        <w:trPr>
          <w:trHeight w:hRule="exact" w:val="78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4504A90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AF4F6B">
              <w:rPr>
                <w:rFonts w:cs="Arial"/>
                <w:color w:val="auto"/>
                <w:sz w:val="18"/>
                <w:szCs w:val="18"/>
              </w:rPr>
              <w:t>Quality first teaching for all students resulting in strong engagement and at least expected progress being made across the curriculum.</w:t>
            </w:r>
          </w:p>
          <w:p w14:paraId="57494B5B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1DCC21E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D0FCD7D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39AF62E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FABEE5A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BE51C51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A7C9603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4AB09AC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21E46D5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A0BDD7C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03B3CD6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FD8F6C0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92A9B5E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6CCCCE1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FB2D114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C8D7591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D5780AB" w14:textId="6E935A7D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24B3762" w14:textId="4843843F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D554CE0" w14:textId="1D87A93D" w:rsidR="00471E04" w:rsidRPr="00AF4F6B" w:rsidRDefault="00357D6D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AF4F6B">
              <w:rPr>
                <w:rFonts w:cs="Arial"/>
                <w:color w:val="auto"/>
                <w:sz w:val="16"/>
                <w:szCs w:val="16"/>
              </w:rPr>
              <w:t>Middle Leaders engage in a</w:t>
            </w:r>
            <w:r w:rsidR="000A3621" w:rsidRPr="00AF4F6B">
              <w:rPr>
                <w:rFonts w:cs="Arial"/>
                <w:color w:val="auto"/>
                <w:sz w:val="16"/>
                <w:szCs w:val="16"/>
              </w:rPr>
              <w:t xml:space="preserve"> training programme exploring the philosophy of curriculum planning, provision</w:t>
            </w:r>
            <w:r w:rsidR="00AF4F6B" w:rsidRPr="00AF4F6B">
              <w:rPr>
                <w:rFonts w:cs="Arial"/>
                <w:color w:val="auto"/>
                <w:sz w:val="16"/>
                <w:szCs w:val="16"/>
              </w:rPr>
              <w:t>, regular and appropriate assessment</w:t>
            </w:r>
            <w:r w:rsidR="000A3621" w:rsidRPr="00AF4F6B">
              <w:rPr>
                <w:rFonts w:cs="Arial"/>
                <w:color w:val="auto"/>
                <w:sz w:val="16"/>
                <w:szCs w:val="16"/>
              </w:rPr>
              <w:t xml:space="preserve"> and impact.  Information and  concepts from the training will be cascaded to department members ensuring shared vision and understanding about curriculum vision and methods of delivery. </w:t>
            </w:r>
          </w:p>
          <w:p w14:paraId="240E941F" w14:textId="02559E0E" w:rsidR="00357D6D" w:rsidRPr="00AF4F6B" w:rsidRDefault="00357D6D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47FEE380" w14:textId="77777777" w:rsidR="00357D6D" w:rsidRPr="00AF4F6B" w:rsidRDefault="00357D6D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7671BC18" w14:textId="2998AECB" w:rsidR="00357D6D" w:rsidRPr="00AF4F6B" w:rsidRDefault="00357D6D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AF4F6B">
              <w:rPr>
                <w:rFonts w:cs="Arial"/>
                <w:color w:val="auto"/>
                <w:sz w:val="16"/>
                <w:szCs w:val="16"/>
              </w:rPr>
              <w:t>Develop, share and implement  a whole school approach to reading fluency.</w:t>
            </w:r>
          </w:p>
          <w:p w14:paraId="61765CDD" w14:textId="34D9C765" w:rsidR="00AF4F6B" w:rsidRPr="00AF4F6B" w:rsidRDefault="00AF4F6B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AF4F6B">
              <w:rPr>
                <w:rFonts w:cs="Arial"/>
                <w:color w:val="auto"/>
                <w:sz w:val="16"/>
                <w:szCs w:val="16"/>
              </w:rPr>
              <w:t>Training given to middle leaders.</w:t>
            </w:r>
          </w:p>
          <w:p w14:paraId="0FE3917E" w14:textId="75536112" w:rsidR="00AF4F6B" w:rsidRPr="00AF4F6B" w:rsidRDefault="00AF4F6B" w:rsidP="00471E04">
            <w:pPr>
              <w:spacing w:after="0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  <w:p w14:paraId="1061EC36" w14:textId="77777777" w:rsidR="000A3621" w:rsidRPr="00AF4F6B" w:rsidRDefault="000A3621" w:rsidP="00471E04">
            <w:pPr>
              <w:spacing w:after="0"/>
              <w:rPr>
                <w:rFonts w:cs="Arial"/>
                <w:color w:val="auto"/>
                <w:sz w:val="16"/>
                <w:szCs w:val="16"/>
                <w:highlight w:val="yellow"/>
              </w:rPr>
            </w:pPr>
          </w:p>
          <w:p w14:paraId="28AB984A" w14:textId="50426A76" w:rsidR="00471E04" w:rsidRPr="00AF4F6B" w:rsidRDefault="000A3621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AF4F6B">
              <w:rPr>
                <w:rFonts w:cs="Arial"/>
                <w:color w:val="auto"/>
                <w:sz w:val="16"/>
                <w:szCs w:val="16"/>
              </w:rPr>
              <w:t>Continue to d</w:t>
            </w:r>
            <w:r w:rsidR="00471E04" w:rsidRPr="00AF4F6B">
              <w:rPr>
                <w:rFonts w:cs="Arial"/>
                <w:color w:val="auto"/>
                <w:sz w:val="16"/>
                <w:szCs w:val="16"/>
              </w:rPr>
              <w:t>evelop teachers’ pedagogy through T &amp; L Research Eddies group.  Research findings to be shared with whole staff at DLWs</w:t>
            </w:r>
          </w:p>
          <w:p w14:paraId="05617F7F" w14:textId="34348179" w:rsidR="00AF4F6B" w:rsidRPr="00AF4F6B" w:rsidRDefault="00AF4F6B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4B091319" w14:textId="20D88F94" w:rsidR="00471E04" w:rsidRPr="00AF4F6B" w:rsidRDefault="00AF4F6B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AF4F6B">
              <w:rPr>
                <w:rFonts w:cs="Arial"/>
                <w:color w:val="auto"/>
                <w:sz w:val="16"/>
                <w:szCs w:val="16"/>
              </w:rPr>
              <w:t>Implement progress pathways at KS3 – introduce KS3 students to PAL concept</w:t>
            </w:r>
          </w:p>
          <w:p w14:paraId="362E8252" w14:textId="7D772129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795D9E2D" w14:textId="1FB68D10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AF4F6B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178A0F7F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26814B63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4935DD0C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326DE529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3CFD1A88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54EF9591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737F9927" w14:textId="25E25EC6" w:rsidR="00AF4F6B" w:rsidRPr="00AF4F6B" w:rsidRDefault="000A3621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AF4F6B">
              <w:rPr>
                <w:rFonts w:cs="Arial"/>
                <w:color w:val="auto"/>
                <w:sz w:val="16"/>
                <w:szCs w:val="16"/>
              </w:rPr>
              <w:t>Considerable time has passed since the HOD team last participated in middle leader training.  New and recently appointed HODs can benefit from shared expertise within the middle leader te</w:t>
            </w:r>
          </w:p>
          <w:p w14:paraId="4E14B54D" w14:textId="77777777" w:rsidR="00AF4F6B" w:rsidRPr="00AF4F6B" w:rsidRDefault="00AF4F6B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14A73612" w14:textId="77777777" w:rsidR="00AF4F6B" w:rsidRPr="00AF4F6B" w:rsidRDefault="00AF4F6B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0CC33CBD" w14:textId="60E0FD5F" w:rsidR="00357D6D" w:rsidRPr="00AF4F6B" w:rsidRDefault="00357D6D" w:rsidP="00AF4F6B">
            <w:pPr>
              <w:shd w:val="clear" w:color="auto" w:fill="FFFFFF"/>
              <w:spacing w:after="150" w:line="240" w:lineRule="auto"/>
              <w:rPr>
                <w:rFonts w:cs="Arial"/>
                <w:color w:val="auto"/>
                <w:sz w:val="16"/>
                <w:szCs w:val="16"/>
              </w:rPr>
            </w:pPr>
            <w:r w:rsidRPr="006956D5">
              <w:rPr>
                <w:rFonts w:cs="Arial"/>
                <w:color w:val="auto"/>
                <w:sz w:val="16"/>
                <w:szCs w:val="16"/>
              </w:rPr>
              <w:t>The best use of Pupil Premium funding, therefore, is to help disadvantaged pupils to build their cultural capital</w:t>
            </w:r>
            <w:r w:rsidRPr="00AF4F6B">
              <w:rPr>
                <w:rFonts w:cs="Arial"/>
                <w:color w:val="auto"/>
                <w:sz w:val="16"/>
                <w:szCs w:val="16"/>
              </w:rPr>
              <w:t xml:space="preserve"> …</w:t>
            </w:r>
            <w:r w:rsidRPr="006956D5">
              <w:rPr>
                <w:rFonts w:cs="Arial"/>
                <w:color w:val="auto"/>
                <w:sz w:val="16"/>
                <w:szCs w:val="16"/>
              </w:rPr>
              <w:t>Cultural capital takes one tangible form: a pupil’s vocabulary. The size of a pupil’s vocabulary in their early</w:t>
            </w:r>
            <w:r w:rsidRPr="006956D5"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r w:rsidRPr="006956D5">
              <w:rPr>
                <w:rFonts w:cs="Arial"/>
                <w:color w:val="auto"/>
                <w:sz w:val="16"/>
                <w:szCs w:val="16"/>
              </w:rPr>
              <w:t>years of schooling (the number and variety of words that the young person knows) is a significant predictor of academic attainment in later schooling and of success in life.</w:t>
            </w:r>
            <w:r w:rsidR="00AF4F6B" w:rsidRPr="00AF4F6B">
              <w:rPr>
                <w:rFonts w:cs="Arial"/>
                <w:color w:val="auto"/>
                <w:sz w:val="16"/>
                <w:szCs w:val="16"/>
              </w:rPr>
              <w:t xml:space="preserve"> (Matt Bromley)</w:t>
            </w:r>
          </w:p>
          <w:p w14:paraId="334C318C" w14:textId="64FF1E3A" w:rsidR="00357D6D" w:rsidRPr="00AF4F6B" w:rsidRDefault="00357D6D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0649C46E" w14:textId="3F1C1486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AF4F6B">
              <w:rPr>
                <w:rFonts w:cs="Arial"/>
                <w:color w:val="auto"/>
                <w:sz w:val="16"/>
                <w:szCs w:val="16"/>
              </w:rPr>
              <w:t>Sutton Trust Research 2011</w:t>
            </w:r>
          </w:p>
          <w:p w14:paraId="570160E3" w14:textId="77777777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6AEED5C1" w14:textId="77777777" w:rsidR="00471E04" w:rsidRPr="00AF4F6B" w:rsidRDefault="00471E04" w:rsidP="00471E04">
            <w:pPr>
              <w:spacing w:after="0"/>
              <w:rPr>
                <w:color w:val="auto"/>
                <w:sz w:val="16"/>
                <w:szCs w:val="16"/>
              </w:rPr>
            </w:pPr>
            <w:r w:rsidRPr="00AF4F6B">
              <w:rPr>
                <w:color w:val="auto"/>
                <w:sz w:val="16"/>
                <w:szCs w:val="16"/>
              </w:rPr>
              <w:t>‘The effects of high-quality teaching are especially large for pupils from disadvantaged backgrounds, who gain an extra year’s worth of learning under very effective teachers compared to poorly performing teachers.’*</w:t>
            </w:r>
          </w:p>
          <w:p w14:paraId="678B3F87" w14:textId="77777777" w:rsidR="00471E04" w:rsidRPr="00AF4F6B" w:rsidRDefault="00471E04" w:rsidP="00471E04">
            <w:pPr>
              <w:rPr>
                <w:rFonts w:cs="Arial"/>
                <w:color w:val="auto"/>
                <w:sz w:val="16"/>
                <w:szCs w:val="16"/>
              </w:rPr>
            </w:pPr>
            <w:r w:rsidRPr="00AF4F6B">
              <w:rPr>
                <w:color w:val="auto"/>
                <w:sz w:val="16"/>
                <w:szCs w:val="16"/>
              </w:rPr>
              <w:t>*</w:t>
            </w:r>
            <w:r w:rsidRPr="00AF4F6B">
              <w:rPr>
                <w:b/>
                <w:color w:val="auto"/>
                <w:sz w:val="16"/>
                <w:szCs w:val="16"/>
              </w:rPr>
              <w:t>’Improving the impact of teachers on pupil achievement in the UK’</w:t>
            </w:r>
            <w:r w:rsidRPr="00AF4F6B">
              <w:rPr>
                <w:color w:val="auto"/>
                <w:sz w:val="16"/>
                <w:szCs w:val="16"/>
              </w:rPr>
              <w:t xml:space="preserve">  p5</w:t>
            </w:r>
          </w:p>
          <w:p w14:paraId="7ECFBCC4" w14:textId="2995AC59" w:rsidR="00AF4F6B" w:rsidRPr="00AF4F6B" w:rsidRDefault="00AF4F6B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</w:p>
          <w:p w14:paraId="01D64A90" w14:textId="1BF824B6" w:rsidR="00471E04" w:rsidRPr="00AF4F6B" w:rsidRDefault="00471E04" w:rsidP="00471E04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AF4F6B">
              <w:rPr>
                <w:rFonts w:cs="Arial"/>
                <w:color w:val="auto"/>
                <w:sz w:val="16"/>
                <w:szCs w:val="16"/>
              </w:rPr>
              <w:t xml:space="preserve">Meta-cognition and self regulation </w:t>
            </w:r>
            <w:r w:rsidR="00AF4F6B" w:rsidRPr="00AF4F6B">
              <w:rPr>
                <w:rFonts w:cs="Arial"/>
                <w:color w:val="auto"/>
                <w:sz w:val="16"/>
                <w:szCs w:val="16"/>
              </w:rPr>
              <w:t xml:space="preserve">can have </w:t>
            </w:r>
            <w:r w:rsidRPr="00AF4F6B">
              <w:rPr>
                <w:rFonts w:cs="Arial"/>
                <w:color w:val="auto"/>
                <w:sz w:val="16"/>
                <w:szCs w:val="16"/>
              </w:rPr>
              <w:t>+7 months</w:t>
            </w:r>
            <w:r w:rsidR="00AF4F6B" w:rsidRPr="00AF4F6B">
              <w:rPr>
                <w:rFonts w:cs="Arial"/>
                <w:color w:val="auto"/>
                <w:sz w:val="16"/>
                <w:szCs w:val="16"/>
              </w:rPr>
              <w:t xml:space="preserve"> impact on a pupil’s progress (Sutton Trust)</w:t>
            </w:r>
          </w:p>
        </w:tc>
        <w:tc>
          <w:tcPr>
            <w:tcW w:w="3515" w:type="dxa"/>
            <w:shd w:val="clear" w:color="auto" w:fill="auto"/>
            <w:tcMar>
              <w:top w:w="57" w:type="dxa"/>
              <w:bottom w:w="57" w:type="dxa"/>
            </w:tcMar>
          </w:tcPr>
          <w:p w14:paraId="74FBB2A2" w14:textId="28DB3FA4" w:rsidR="00AF4F6B" w:rsidRPr="00BB682C" w:rsidRDefault="00AF4F6B" w:rsidP="00BB682C">
            <w:pPr>
              <w:spacing w:after="0"/>
              <w:rPr>
                <w:color w:val="auto"/>
                <w:sz w:val="18"/>
                <w:szCs w:val="18"/>
              </w:rPr>
            </w:pPr>
            <w:r w:rsidRPr="00BB682C">
              <w:rPr>
                <w:color w:val="auto"/>
                <w:sz w:val="18"/>
                <w:szCs w:val="18"/>
              </w:rPr>
              <w:t>Team of SLT plan and lead training sessions.  Delegates evaluate each session.</w:t>
            </w:r>
          </w:p>
          <w:p w14:paraId="7E25349E" w14:textId="685D6717" w:rsidR="00AF4F6B" w:rsidRPr="00BB682C" w:rsidRDefault="00AF4F6B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6248BD43" w14:textId="24B9D677" w:rsidR="00AF4F6B" w:rsidRPr="00BB682C" w:rsidRDefault="00AF4F6B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554F19B1" w14:textId="2205918A" w:rsidR="00BB682C" w:rsidRDefault="00BB682C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4AAD1C18" w14:textId="794AF1E1" w:rsidR="00BB682C" w:rsidRDefault="00BB682C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4B2E2ACA" w14:textId="7F4CF651" w:rsidR="00BB682C" w:rsidRDefault="00BB682C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46928A65" w14:textId="4EE1355A" w:rsidR="00BB682C" w:rsidRDefault="00BB682C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30C8AED7" w14:textId="29FF45EF" w:rsidR="00BB682C" w:rsidRDefault="00BB682C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412AAC14" w14:textId="62E4F262" w:rsidR="00BB682C" w:rsidRDefault="00BB682C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04339457" w14:textId="1C2A0DEC" w:rsidR="00BB682C" w:rsidRDefault="00BB682C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1464C7D1" w14:textId="77777777" w:rsidR="00BB682C" w:rsidRPr="00BB682C" w:rsidRDefault="00BB682C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774142A0" w14:textId="294438CC" w:rsidR="00AF4F6B" w:rsidRPr="00BB682C" w:rsidRDefault="00AF4F6B" w:rsidP="00AF4F6B">
            <w:pPr>
              <w:spacing w:after="0"/>
              <w:rPr>
                <w:color w:val="auto"/>
                <w:sz w:val="18"/>
                <w:szCs w:val="18"/>
              </w:rPr>
            </w:pPr>
            <w:r w:rsidRPr="00BB682C">
              <w:rPr>
                <w:color w:val="auto"/>
                <w:sz w:val="18"/>
                <w:szCs w:val="18"/>
              </w:rPr>
              <w:t xml:space="preserve">Explain concept to school’s  SLT, Literacy &amp; Numeracy group, but also HODs to ensure raised profile across school.  Cluster leaders </w:t>
            </w:r>
            <w:r w:rsidR="00BB682C" w:rsidRPr="00BB682C">
              <w:rPr>
                <w:color w:val="auto"/>
                <w:sz w:val="18"/>
                <w:szCs w:val="18"/>
              </w:rPr>
              <w:t xml:space="preserve">and HODs </w:t>
            </w:r>
            <w:r w:rsidRPr="00BB682C">
              <w:rPr>
                <w:color w:val="auto"/>
                <w:sz w:val="18"/>
                <w:szCs w:val="18"/>
              </w:rPr>
              <w:t xml:space="preserve">to monitor </w:t>
            </w:r>
            <w:r w:rsidR="00BB682C" w:rsidRPr="00BB682C">
              <w:rPr>
                <w:color w:val="auto"/>
                <w:sz w:val="18"/>
                <w:szCs w:val="18"/>
              </w:rPr>
              <w:t>implementation at department/classroom level.</w:t>
            </w:r>
          </w:p>
          <w:p w14:paraId="2C885E2C" w14:textId="01C4108B" w:rsidR="00AF4F6B" w:rsidRPr="00BB682C" w:rsidRDefault="00AF4F6B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59BB4623" w14:textId="2845CB89" w:rsidR="00AF4F6B" w:rsidRPr="00BB682C" w:rsidRDefault="00AF4F6B" w:rsidP="00AF4F6B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652CAA48" w14:textId="73F18389" w:rsidR="00471E04" w:rsidRPr="00BB682C" w:rsidRDefault="00471E04" w:rsidP="00BB682C">
            <w:pPr>
              <w:spacing w:after="0"/>
              <w:rPr>
                <w:color w:val="auto"/>
                <w:sz w:val="18"/>
                <w:szCs w:val="18"/>
              </w:rPr>
            </w:pPr>
            <w:r w:rsidRPr="00BB682C">
              <w:rPr>
                <w:color w:val="auto"/>
                <w:sz w:val="18"/>
                <w:szCs w:val="18"/>
              </w:rPr>
              <w:t>Meetings of T &amp; L group calendared and research discussions monitored by GMO</w:t>
            </w:r>
          </w:p>
          <w:p w14:paraId="7003B72B" w14:textId="77777777" w:rsidR="00BB682C" w:rsidRPr="00BB682C" w:rsidRDefault="00BB682C" w:rsidP="00BB682C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1FB062E7" w14:textId="176D63A4" w:rsidR="00BB682C" w:rsidRPr="00BB682C" w:rsidRDefault="00BB682C" w:rsidP="00BB682C">
            <w:pPr>
              <w:spacing w:after="0"/>
              <w:rPr>
                <w:color w:val="auto"/>
                <w:sz w:val="18"/>
                <w:szCs w:val="18"/>
              </w:rPr>
            </w:pPr>
          </w:p>
          <w:p w14:paraId="66141E32" w14:textId="250C6F84" w:rsidR="00471E04" w:rsidRPr="00BB682C" w:rsidRDefault="00471E04" w:rsidP="00BB682C">
            <w:pPr>
              <w:spacing w:after="0"/>
              <w:rPr>
                <w:color w:val="auto"/>
                <w:sz w:val="18"/>
                <w:szCs w:val="18"/>
              </w:rPr>
            </w:pPr>
            <w:r w:rsidRPr="00BB682C">
              <w:rPr>
                <w:color w:val="auto"/>
                <w:sz w:val="18"/>
                <w:szCs w:val="18"/>
              </w:rPr>
              <w:t>Planned programme of learning walks, observations &amp; work s</w:t>
            </w:r>
            <w:r w:rsidR="00BB682C" w:rsidRPr="00BB682C">
              <w:rPr>
                <w:color w:val="auto"/>
                <w:sz w:val="18"/>
                <w:szCs w:val="18"/>
              </w:rPr>
              <w:t>crutinies to see how use of progress pathways</w:t>
            </w:r>
            <w:r w:rsidRPr="00BB682C">
              <w:rPr>
                <w:color w:val="auto"/>
                <w:sz w:val="18"/>
                <w:szCs w:val="18"/>
              </w:rPr>
              <w:t xml:space="preserve"> is developing</w:t>
            </w:r>
            <w:r w:rsidR="00BB682C" w:rsidRPr="00BB682C">
              <w:rPr>
                <w:color w:val="auto"/>
                <w:sz w:val="18"/>
                <w:szCs w:val="18"/>
              </w:rPr>
              <w:t xml:space="preserve"> at KS3</w:t>
            </w:r>
          </w:p>
          <w:p w14:paraId="26C095A2" w14:textId="33CCAD2D" w:rsidR="00471E04" w:rsidRPr="00BB682C" w:rsidRDefault="00471E04" w:rsidP="00471E04">
            <w:pPr>
              <w:spacing w:after="0"/>
              <w:rPr>
                <w:color w:val="auto"/>
                <w:sz w:val="18"/>
                <w:szCs w:val="18"/>
              </w:rPr>
            </w:pPr>
            <w:r w:rsidRPr="00BB682C">
              <w:rPr>
                <w:color w:val="auto"/>
                <w:sz w:val="18"/>
                <w:szCs w:val="18"/>
              </w:rPr>
              <w:t>Close tracking of pupils’ progress via school portal &amp; SISRA</w:t>
            </w:r>
          </w:p>
          <w:p w14:paraId="45392BF6" w14:textId="77777777" w:rsidR="00471E04" w:rsidRPr="00BB682C" w:rsidRDefault="00471E04" w:rsidP="00471E04">
            <w:pPr>
              <w:spacing w:after="0"/>
              <w:rPr>
                <w:color w:val="auto"/>
                <w:sz w:val="18"/>
                <w:szCs w:val="18"/>
              </w:rPr>
            </w:pPr>
            <w:r w:rsidRPr="00BB682C">
              <w:rPr>
                <w:color w:val="auto"/>
                <w:sz w:val="18"/>
                <w:szCs w:val="18"/>
              </w:rPr>
              <w:t xml:space="preserve">     </w:t>
            </w:r>
          </w:p>
          <w:p w14:paraId="285685E2" w14:textId="77777777" w:rsidR="00471E04" w:rsidRPr="00BB682C" w:rsidRDefault="00471E04" w:rsidP="00471E04">
            <w:pPr>
              <w:spacing w:after="0"/>
              <w:rPr>
                <w:color w:val="FF0000"/>
                <w:sz w:val="18"/>
                <w:szCs w:val="18"/>
              </w:rPr>
            </w:pPr>
            <w:r w:rsidRPr="00BB682C">
              <w:rPr>
                <w:color w:val="FF0000"/>
                <w:sz w:val="18"/>
                <w:szCs w:val="18"/>
              </w:rPr>
              <w:t xml:space="preserve"> </w:t>
            </w:r>
          </w:p>
          <w:p w14:paraId="3F1A3E62" w14:textId="631EEC01" w:rsidR="00471E04" w:rsidRPr="00BB682C" w:rsidRDefault="00471E04" w:rsidP="00471E04">
            <w:pPr>
              <w:spacing w:after="0"/>
              <w:rPr>
                <w:color w:val="FF0000"/>
                <w:sz w:val="18"/>
                <w:szCs w:val="18"/>
              </w:rPr>
            </w:pPr>
          </w:p>
          <w:p w14:paraId="66C15635" w14:textId="4C7F634F" w:rsidR="00471E04" w:rsidRPr="00BB682C" w:rsidRDefault="00471E04" w:rsidP="00471E04">
            <w:pPr>
              <w:spacing w:after="0"/>
              <w:rPr>
                <w:color w:val="FF0000"/>
                <w:sz w:val="18"/>
                <w:szCs w:val="18"/>
              </w:rPr>
            </w:pPr>
          </w:p>
          <w:p w14:paraId="5BF4FC1E" w14:textId="77777777" w:rsidR="00471E04" w:rsidRPr="00BB682C" w:rsidRDefault="00471E04" w:rsidP="00471E04">
            <w:pPr>
              <w:spacing w:after="0"/>
              <w:rPr>
                <w:color w:val="FF0000"/>
                <w:sz w:val="18"/>
                <w:szCs w:val="18"/>
              </w:rPr>
            </w:pPr>
          </w:p>
          <w:p w14:paraId="1A48B2F7" w14:textId="77777777" w:rsidR="00471E04" w:rsidRPr="00BB682C" w:rsidRDefault="00471E04" w:rsidP="00471E04">
            <w:pPr>
              <w:spacing w:after="0"/>
              <w:rPr>
                <w:color w:val="FF0000"/>
                <w:sz w:val="18"/>
                <w:szCs w:val="18"/>
              </w:rPr>
            </w:pPr>
          </w:p>
          <w:p w14:paraId="3D585A7A" w14:textId="0BBECBBC" w:rsidR="00471E04" w:rsidRPr="00BB682C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BB682C">
              <w:rPr>
                <w:rFonts w:cs="Arial"/>
                <w:b/>
                <w:color w:val="FF0000"/>
                <w:sz w:val="18"/>
                <w:szCs w:val="18"/>
                <w:highlight w:val="yellow"/>
              </w:rPr>
              <w:t>Total budgeted cost</w:t>
            </w:r>
          </w:p>
        </w:tc>
        <w:tc>
          <w:tcPr>
            <w:tcW w:w="1559" w:type="dxa"/>
            <w:shd w:val="clear" w:color="auto" w:fill="auto"/>
          </w:tcPr>
          <w:p w14:paraId="0193D98F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SLT</w:t>
            </w:r>
          </w:p>
          <w:p w14:paraId="200DF142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HODs</w:t>
            </w:r>
          </w:p>
          <w:p w14:paraId="77C9938D" w14:textId="77777777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A86BAAF" w14:textId="77777777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4AAD848" w14:textId="77777777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37D2531" w14:textId="77777777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3843950" w14:textId="77777777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75FE7D1" w14:textId="77777777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061DE8F" w14:textId="40D23ED9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JT</w:t>
            </w:r>
          </w:p>
          <w:p w14:paraId="5CC1E56B" w14:textId="7E3D19E8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HODs</w:t>
            </w:r>
          </w:p>
          <w:p w14:paraId="6AD18FE9" w14:textId="77777777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7CA3320" w14:textId="77777777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526D299" w14:textId="4BDF281C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B128A45" w14:textId="748F5DA5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B087ECC" w14:textId="0633EB28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0D111AF" w14:textId="3439D404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987677C" w14:textId="1FE5F1AA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374D56F" w14:textId="69E329D3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AC869B4" w14:textId="0940015C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780E1E9" w14:textId="514604D9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634E808" w14:textId="46B64692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9BE261B" w14:textId="372C2DD1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GMO</w:t>
            </w:r>
          </w:p>
          <w:p w14:paraId="34E67D46" w14:textId="47A2F916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23AADF0" w14:textId="1A86EEE6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5879CC2" w14:textId="77777777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1ED2E32" w14:textId="6A2EE4A1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45692D6" w14:textId="274C10F2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C674518" w14:textId="1B28B10E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SDO</w:t>
            </w:r>
          </w:p>
          <w:p w14:paraId="40757C9D" w14:textId="122805E5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HODs</w:t>
            </w:r>
          </w:p>
          <w:p w14:paraId="13120281" w14:textId="77963D02" w:rsidR="00471E04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SLCs &amp; LCs</w:t>
            </w:r>
          </w:p>
          <w:p w14:paraId="34F6D1DA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A529FF4" w14:textId="18B172DA" w:rsidR="00471E04" w:rsidRPr="00BB682C" w:rsidRDefault="00AF4E8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On-going and at mock and trial exams</w:t>
            </w:r>
          </w:p>
          <w:p w14:paraId="3E1CC39A" w14:textId="78960103" w:rsidR="00471E04" w:rsidRPr="00BB682C" w:rsidRDefault="00AF4E8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Summative Revie</w:t>
            </w:r>
            <w:r w:rsidR="00AF4F6B" w:rsidRPr="00BB682C">
              <w:rPr>
                <w:rFonts w:cs="Arial"/>
                <w:color w:val="auto"/>
                <w:sz w:val="18"/>
                <w:szCs w:val="18"/>
              </w:rPr>
              <w:t>w</w:t>
            </w:r>
            <w:r w:rsidRPr="00BB682C">
              <w:rPr>
                <w:rFonts w:cs="Arial"/>
                <w:color w:val="auto"/>
                <w:sz w:val="18"/>
                <w:szCs w:val="18"/>
              </w:rPr>
              <w:t xml:space="preserve"> Sept 19</w:t>
            </w:r>
          </w:p>
          <w:p w14:paraId="06C0B0B1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highlight w:val="yellow"/>
              </w:rPr>
            </w:pPr>
          </w:p>
          <w:p w14:paraId="75F388C4" w14:textId="686CE67E" w:rsidR="00AF4E84" w:rsidRDefault="00AF4E84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34D36F74" w14:textId="6868C873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16DED812" w14:textId="21989DF6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76F0B93C" w14:textId="707B27B3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3FAEF2EA" w14:textId="5E003DDB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4A51E40F" w14:textId="04012094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3A4B6E36" w14:textId="09172E65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595B9EAC" w14:textId="5356A9CF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3EBD556C" w14:textId="5E3E947A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21D2E5A3" w14:textId="4D55FB75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769C935D" w14:textId="635098D2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2603AC5F" w14:textId="759811B5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65EC3A99" w14:textId="7D076ADA" w:rsidR="00085955" w:rsidRDefault="00085955" w:rsidP="00471E04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209B2741" w14:textId="77777777" w:rsidR="00085955" w:rsidRPr="000A3621" w:rsidRDefault="00085955" w:rsidP="00471E04">
            <w:pPr>
              <w:spacing w:after="0"/>
              <w:rPr>
                <w:rFonts w:cs="Arial"/>
                <w:color w:val="FF0000"/>
                <w:highlight w:val="yellow"/>
              </w:rPr>
            </w:pPr>
          </w:p>
          <w:p w14:paraId="2487FA04" w14:textId="4F6EA203" w:rsidR="00AF4E84" w:rsidRPr="000A3621" w:rsidRDefault="00AF4E84" w:rsidP="00471E04">
            <w:pPr>
              <w:spacing w:after="0"/>
              <w:rPr>
                <w:rFonts w:cs="Arial"/>
                <w:color w:val="FF0000"/>
                <w:highlight w:val="yellow"/>
              </w:rPr>
            </w:pPr>
          </w:p>
          <w:p w14:paraId="624A280D" w14:textId="77777777" w:rsidR="00AF4E84" w:rsidRPr="000A3621" w:rsidRDefault="00AF4E84" w:rsidP="00471E04">
            <w:pPr>
              <w:spacing w:after="0"/>
              <w:rPr>
                <w:rFonts w:cs="Arial"/>
                <w:color w:val="FF0000"/>
                <w:highlight w:val="yellow"/>
              </w:rPr>
            </w:pPr>
          </w:p>
          <w:p w14:paraId="0B5C6732" w14:textId="01100E9F" w:rsidR="00471E04" w:rsidRPr="000A3621" w:rsidRDefault="00471E04" w:rsidP="00471E04">
            <w:pPr>
              <w:spacing w:after="0"/>
              <w:rPr>
                <w:rFonts w:cs="Arial"/>
                <w:color w:val="FF0000"/>
                <w:highlight w:val="yellow"/>
              </w:rPr>
            </w:pPr>
          </w:p>
          <w:p w14:paraId="7B31DA1D" w14:textId="7B402E50" w:rsidR="00471E04" w:rsidRDefault="00471E04" w:rsidP="00471E04">
            <w:pPr>
              <w:spacing w:after="0"/>
              <w:rPr>
                <w:rFonts w:cs="Arial"/>
                <w:color w:val="FF0000"/>
              </w:rPr>
            </w:pPr>
          </w:p>
          <w:p w14:paraId="7B53A518" w14:textId="3A065ACD" w:rsidR="00021A75" w:rsidRDefault="00021A75" w:rsidP="00471E04">
            <w:pPr>
              <w:spacing w:after="0"/>
              <w:rPr>
                <w:rFonts w:cs="Arial"/>
                <w:color w:val="FF0000"/>
              </w:rPr>
            </w:pPr>
          </w:p>
          <w:p w14:paraId="7BDD5A81" w14:textId="69706CED" w:rsidR="00021A75" w:rsidRPr="00021A75" w:rsidRDefault="00021A75" w:rsidP="00471E04">
            <w:pPr>
              <w:spacing w:after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021A75">
              <w:rPr>
                <w:rFonts w:cs="Arial"/>
                <w:b/>
                <w:color w:val="auto"/>
              </w:rPr>
              <w:t>Total £10,000</w:t>
            </w:r>
          </w:p>
        </w:tc>
      </w:tr>
      <w:tr w:rsidR="000A3621" w:rsidRPr="000A3621" w14:paraId="765FDE5C" w14:textId="77777777" w:rsidTr="00703958">
        <w:trPr>
          <w:trHeight w:hRule="exact" w:val="480"/>
        </w:trPr>
        <w:tc>
          <w:tcPr>
            <w:tcW w:w="15559" w:type="dxa"/>
            <w:gridSpan w:val="7"/>
            <w:tcMar>
              <w:top w:w="57" w:type="dxa"/>
              <w:bottom w:w="57" w:type="dxa"/>
            </w:tcMar>
            <w:vAlign w:val="center"/>
          </w:tcPr>
          <w:p w14:paraId="4A81F34E" w14:textId="77777777" w:rsidR="00471E04" w:rsidRPr="00BB682C" w:rsidRDefault="00471E04" w:rsidP="00471E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color w:val="auto"/>
              </w:rPr>
            </w:pPr>
            <w:r w:rsidRPr="00BB682C">
              <w:rPr>
                <w:rFonts w:cs="Arial"/>
                <w:b/>
                <w:color w:val="auto"/>
              </w:rPr>
              <w:lastRenderedPageBreak/>
              <w:t>Targeted support</w:t>
            </w:r>
          </w:p>
        </w:tc>
      </w:tr>
      <w:tr w:rsidR="000A3621" w:rsidRPr="000A3621" w14:paraId="186CA161" w14:textId="77777777" w:rsidTr="00AF4E84">
        <w:tc>
          <w:tcPr>
            <w:tcW w:w="2235" w:type="dxa"/>
            <w:tcMar>
              <w:top w:w="57" w:type="dxa"/>
              <w:bottom w:w="57" w:type="dxa"/>
            </w:tcMar>
          </w:tcPr>
          <w:p w14:paraId="56E26642" w14:textId="77777777" w:rsidR="00471E04" w:rsidRPr="00BB682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BB682C">
              <w:rPr>
                <w:rFonts w:cs="Arial"/>
                <w:b/>
                <w:color w:val="auto"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679CF1D" w14:textId="77777777" w:rsidR="00471E04" w:rsidRPr="00BB682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BB682C">
              <w:rPr>
                <w:rFonts w:cs="Arial"/>
                <w:b/>
                <w:color w:val="auto"/>
              </w:rPr>
              <w:t>Chosen action / approach</w:t>
            </w: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4A0B5CE8" w14:textId="77777777" w:rsidR="00471E04" w:rsidRPr="00BB682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BB682C">
              <w:rPr>
                <w:rFonts w:cs="Arial"/>
                <w:b/>
                <w:color w:val="auto"/>
              </w:rPr>
              <w:t>What is the evidence and rationale for this choice?</w:t>
            </w: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30F81429" w14:textId="77777777" w:rsidR="00471E04" w:rsidRPr="00BB682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BB682C">
              <w:rPr>
                <w:rFonts w:cs="Arial"/>
                <w:b/>
                <w:color w:val="auto"/>
              </w:rPr>
              <w:t>How will you ensure it is implemented well?</w:t>
            </w:r>
          </w:p>
        </w:tc>
        <w:tc>
          <w:tcPr>
            <w:tcW w:w="1559" w:type="dxa"/>
          </w:tcPr>
          <w:p w14:paraId="382A479B" w14:textId="77777777" w:rsidR="00471E04" w:rsidRPr="00BB682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BB682C">
              <w:rPr>
                <w:rFonts w:cs="Arial"/>
                <w:b/>
                <w:color w:val="auto"/>
              </w:rPr>
              <w:t>Staff lead</w:t>
            </w:r>
          </w:p>
        </w:tc>
        <w:tc>
          <w:tcPr>
            <w:tcW w:w="2835" w:type="dxa"/>
          </w:tcPr>
          <w:p w14:paraId="4909CF90" w14:textId="77777777" w:rsidR="00471E04" w:rsidRPr="00BB682C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BB682C">
              <w:rPr>
                <w:rFonts w:cs="Arial"/>
                <w:b/>
                <w:color w:val="auto"/>
              </w:rPr>
              <w:t>When will you review implementation?</w:t>
            </w:r>
          </w:p>
        </w:tc>
      </w:tr>
      <w:tr w:rsidR="000A3621" w:rsidRPr="000A3621" w14:paraId="14684F24" w14:textId="77777777" w:rsidTr="00450CD0">
        <w:trPr>
          <w:trHeight w:hRule="exact" w:val="878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9BE5D0D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Students who struggle with maths and English make expected progress at GCSE.</w:t>
            </w:r>
          </w:p>
          <w:p w14:paraId="77048E97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4DF3304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1B4D32F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116646E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31785D7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8764439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C24249C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19D4FB6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B07C732" w14:textId="755B89EC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3C72376" w14:textId="77777777" w:rsidR="00113573" w:rsidRPr="00BB682C" w:rsidRDefault="00113573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47186FA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2541F66" w14:textId="2D96E6DF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A77C674" w14:textId="2045928E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Y11 students identified as not making expected progress in subjects across the curriculum fill any gaps in skill or knowledge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23580562" w14:textId="42C4C710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Students who find English and maths challenging ha</w:t>
            </w:r>
            <w:r w:rsidR="00BB682C" w:rsidRPr="00BB682C">
              <w:rPr>
                <w:rFonts w:cs="Arial"/>
                <w:color w:val="auto"/>
                <w:sz w:val="18"/>
                <w:szCs w:val="18"/>
              </w:rPr>
              <w:t xml:space="preserve">ve extra maths intervention and English </w:t>
            </w:r>
            <w:r w:rsidRPr="00BB682C">
              <w:rPr>
                <w:rFonts w:cs="Arial"/>
                <w:color w:val="auto"/>
                <w:sz w:val="18"/>
                <w:szCs w:val="18"/>
              </w:rPr>
              <w:t>EEC) lessons to allow more time for subject skills to embed.</w:t>
            </w:r>
          </w:p>
          <w:p w14:paraId="02D343D1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DDD59C7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FCA119F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612C192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89902D0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10DBA4F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6B12CE2" w14:textId="75D24C9C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FD1FBAD" w14:textId="77777777" w:rsidR="00113573" w:rsidRPr="00BB682C" w:rsidRDefault="00113573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613BF2F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E9A22E6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 xml:space="preserve">-Question level analysis of student class and exam work </w:t>
            </w:r>
          </w:p>
          <w:p w14:paraId="3A39AD91" w14:textId="0896CDA3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-Programme of targeted intervention</w:t>
            </w:r>
            <w:r w:rsidR="00113573">
              <w:rPr>
                <w:rFonts w:cs="Arial"/>
                <w:color w:val="auto"/>
                <w:sz w:val="18"/>
                <w:szCs w:val="18"/>
              </w:rPr>
              <w:t xml:space="preserve">/general support </w:t>
            </w:r>
            <w:r w:rsidRPr="00BB682C">
              <w:rPr>
                <w:rFonts w:cs="Arial"/>
                <w:color w:val="auto"/>
                <w:sz w:val="18"/>
                <w:szCs w:val="18"/>
              </w:rPr>
              <w:t xml:space="preserve"> put in place</w:t>
            </w:r>
          </w:p>
          <w:p w14:paraId="08FAA0B2" w14:textId="262E871E" w:rsidR="00471E04" w:rsidRPr="000A3621" w:rsidRDefault="00BB682C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 xml:space="preserve">e.g. </w:t>
            </w:r>
            <w:r w:rsidR="00471E04" w:rsidRPr="00BB682C">
              <w:rPr>
                <w:rFonts w:cs="Arial"/>
                <w:color w:val="auto"/>
                <w:sz w:val="18"/>
                <w:szCs w:val="18"/>
              </w:rPr>
              <w:t>Extra-Curricular Priority Intervention Sessions</w:t>
            </w:r>
            <w:r w:rsidR="00113573">
              <w:rPr>
                <w:rFonts w:cs="Arial"/>
                <w:color w:val="auto"/>
                <w:sz w:val="18"/>
                <w:szCs w:val="18"/>
              </w:rPr>
              <w:t>, lunch time ‘Help Desks’</w:t>
            </w: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67189273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Some students need more time or more individualised input from a teacher in order to acquire necessary skills.</w:t>
            </w:r>
          </w:p>
          <w:p w14:paraId="34B744EF" w14:textId="77777777" w:rsidR="00471E04" w:rsidRPr="00BB682C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b/>
                <w:color w:val="auto"/>
                <w:sz w:val="18"/>
                <w:szCs w:val="18"/>
              </w:rPr>
              <w:t>EEF toolkit:</w:t>
            </w:r>
          </w:p>
          <w:p w14:paraId="75DC41AA" w14:textId="77777777" w:rsidR="00471E04" w:rsidRPr="00BB682C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small group tuition +4 months</w:t>
            </w:r>
          </w:p>
          <w:p w14:paraId="1DD0037B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mastery learning +5 months</w:t>
            </w:r>
          </w:p>
          <w:p w14:paraId="50224EBD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F338652" w14:textId="77777777" w:rsidR="00471E04" w:rsidRPr="00BB682C" w:rsidRDefault="00471E04" w:rsidP="00471E04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  <w:t>(Lower attaining pupils may gain more from this strategy than high attaining students, by as much as one or two months' progress, so mastery learning appears to be a promising strategy for narrowing the gap.)</w:t>
            </w:r>
          </w:p>
          <w:p w14:paraId="06B4D394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2259BCC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7D6C271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4EE4104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Some students need more time or more individualised input from a teacher in order to acquire necessary skills.</w:t>
            </w:r>
          </w:p>
          <w:p w14:paraId="234119BC" w14:textId="77777777" w:rsidR="00471E04" w:rsidRPr="00BB682C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b/>
                <w:color w:val="auto"/>
                <w:sz w:val="18"/>
                <w:szCs w:val="18"/>
              </w:rPr>
              <w:t>EEF toolkit:</w:t>
            </w:r>
          </w:p>
          <w:p w14:paraId="13850EA0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extending school time +2 months</w:t>
            </w:r>
          </w:p>
          <w:p w14:paraId="728ED4FB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small group tuition +4 months</w:t>
            </w:r>
          </w:p>
          <w:p w14:paraId="6C8D9E9C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mastery learning +5 months</w:t>
            </w:r>
          </w:p>
          <w:p w14:paraId="100AC993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8E3CC78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2627D6AF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2EAA4683" w14:textId="77FAAF00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4D0F650F" w14:textId="43C90EC9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Track pupil progress</w:t>
            </w:r>
            <w:r w:rsidR="00BB682C" w:rsidRPr="00BB682C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  <w:p w14:paraId="62A4D261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Discuss at line management meetings</w:t>
            </w:r>
          </w:p>
          <w:p w14:paraId="6827BC96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HOD to monitor resources/teaching through LWs</w:t>
            </w:r>
          </w:p>
          <w:p w14:paraId="577AAF2A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89ED4F2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05C16F7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7E9CD69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F79FA28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57E8F2B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3475F22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4194E3B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9DAEDB9" w14:textId="47251EA8" w:rsidR="00471E04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615F3B0" w14:textId="2B87F4F4" w:rsid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9CD0F75" w14:textId="51DF1245" w:rsid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5CCBB34" w14:textId="77777777" w:rsidR="00BB682C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EDEA633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87191DE" w14:textId="0C0F8C29" w:rsidR="00BB682C" w:rsidRPr="00BB682C" w:rsidRDefault="00471E04" w:rsidP="00BB682C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Discussion at SLT &amp; HOD</w:t>
            </w:r>
            <w:r w:rsidR="00BB682C">
              <w:rPr>
                <w:rFonts w:cs="Arial"/>
                <w:color w:val="auto"/>
                <w:sz w:val="18"/>
                <w:szCs w:val="18"/>
              </w:rPr>
              <w:t xml:space="preserve"> &amp; SLC </w:t>
            </w:r>
            <w:r w:rsidRPr="00BB682C">
              <w:rPr>
                <w:rFonts w:cs="Arial"/>
                <w:color w:val="auto"/>
                <w:sz w:val="18"/>
                <w:szCs w:val="18"/>
              </w:rPr>
              <w:t xml:space="preserve"> level and in line management/department  meetings</w:t>
            </w:r>
            <w:r w:rsidR="00BB682C">
              <w:rPr>
                <w:rFonts w:cs="Arial"/>
                <w:color w:val="auto"/>
                <w:sz w:val="18"/>
                <w:szCs w:val="18"/>
              </w:rPr>
              <w:t>/</w:t>
            </w:r>
            <w:r w:rsidR="00BB682C" w:rsidRPr="00BB682C">
              <w:rPr>
                <w:rFonts w:cs="Arial"/>
                <w:color w:val="auto"/>
                <w:sz w:val="18"/>
                <w:szCs w:val="18"/>
              </w:rPr>
              <w:t xml:space="preserve"> case conferences)</w:t>
            </w:r>
          </w:p>
          <w:p w14:paraId="798AC006" w14:textId="35285484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F385AB1" w14:textId="77777777" w:rsidR="00AF4E84" w:rsidRPr="00BB682C" w:rsidRDefault="00AF4E8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6A7CFD2" w14:textId="77777777" w:rsidR="00AF4E84" w:rsidRPr="000A3621" w:rsidRDefault="00AF4E8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4D51A823" w14:textId="77777777" w:rsidR="00AF4E84" w:rsidRPr="000A3621" w:rsidRDefault="00AF4E8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7AFB94D3" w14:textId="77777777" w:rsidR="00AF4E84" w:rsidRPr="000A3621" w:rsidRDefault="00AF4E8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587D15CF" w14:textId="2CF2D5AA" w:rsidR="00AF4E84" w:rsidRPr="000A3621" w:rsidRDefault="00AF4E8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938818" w14:textId="57B467D8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5DD8D995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HODs of English maths</w:t>
            </w:r>
          </w:p>
          <w:p w14:paraId="6320134D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0915992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432625C2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298356A6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2E9FE99C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47D1CE34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56E07423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7BD434FC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17019253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257277C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549295C4" w14:textId="24FD753E" w:rsidR="00471E04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9F5AAD4" w14:textId="55892D41" w:rsidR="00BB682C" w:rsidRDefault="00BB682C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A99EBE3" w14:textId="77777777" w:rsidR="00BB682C" w:rsidRPr="000A3621" w:rsidRDefault="00BB682C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16885241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7165C0C" w14:textId="77777777" w:rsidR="00471E04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SLT cluster leaders</w:t>
            </w:r>
          </w:p>
          <w:p w14:paraId="51BA87FB" w14:textId="057D3768" w:rsidR="00BB682C" w:rsidRPr="000A3621" w:rsidRDefault="00BB682C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HODs</w:t>
            </w:r>
          </w:p>
        </w:tc>
        <w:tc>
          <w:tcPr>
            <w:tcW w:w="2835" w:type="dxa"/>
          </w:tcPr>
          <w:p w14:paraId="314000BA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On-going and at mock and trial exams</w:t>
            </w:r>
          </w:p>
          <w:p w14:paraId="7F68C04D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 xml:space="preserve">Summative Review </w:t>
            </w:r>
          </w:p>
          <w:p w14:paraId="70A636EA" w14:textId="5871B93A" w:rsidR="00471E04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Sept 20</w:t>
            </w:r>
          </w:p>
          <w:p w14:paraId="3395B368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1107520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F6A0605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175CCE6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7F4280A6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54E4C21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17CB5027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DCEAA8D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2C71E0E1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27CCE2BE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7A23660A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B0E97BA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9DF8B6B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>On-going and at mock and trial exams</w:t>
            </w:r>
          </w:p>
          <w:p w14:paraId="4FF46156" w14:textId="77777777" w:rsidR="00471E04" w:rsidRPr="00BB682C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BB682C">
              <w:rPr>
                <w:rFonts w:cs="Arial"/>
                <w:color w:val="auto"/>
                <w:sz w:val="18"/>
                <w:szCs w:val="18"/>
              </w:rPr>
              <w:t xml:space="preserve">Summative Review </w:t>
            </w:r>
          </w:p>
          <w:p w14:paraId="6D46F56F" w14:textId="4F9C77DB" w:rsidR="00471E04" w:rsidRPr="00BB682C" w:rsidRDefault="00BB682C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Sept 20</w:t>
            </w:r>
          </w:p>
          <w:p w14:paraId="7BFF8398" w14:textId="49F759E2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0A3621" w:rsidRPr="000A3621" w14:paraId="2B21DB50" w14:textId="77777777" w:rsidTr="00AF4E84">
        <w:trPr>
          <w:trHeight w:hRule="exact" w:val="715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0B0C15E" w14:textId="77777777" w:rsidR="00471E04" w:rsidRPr="00113573" w:rsidRDefault="00471E04" w:rsidP="00471E04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lastRenderedPageBreak/>
              <w:t>Attendance of disadvantaged pupils is at least as good as that of other pupils.</w:t>
            </w:r>
          </w:p>
          <w:p w14:paraId="3646418D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ED42597" w14:textId="77777777" w:rsidR="00113573" w:rsidRPr="00113573" w:rsidRDefault="00113573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C30D757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599CE1E6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2D4F81C5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01D9A0D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493472D0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1F046820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D2B27AF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F612EAF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D08F2EA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BE80013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440FC91B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3573F0E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204DC86E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18C5CBCD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CE9DF7D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EB69EDC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71ACA30C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2A7BB8A5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9788E15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1C89AB15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8C9115A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F14731B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5CE7F417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4B200DE5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17F6E9D9" w14:textId="4E451413" w:rsidR="00113573" w:rsidRPr="000A3621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675F43C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-Close liaison between range of pupil support services and SLCs monitors attendance and explores and addresses reasons for poor attendance</w:t>
            </w:r>
          </w:p>
          <w:p w14:paraId="2627954D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-pupils with poor attendance are targeted and supported e.g. home visits/liaison with parents</w:t>
            </w:r>
          </w:p>
          <w:p w14:paraId="579771A1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-inclusion manager and counsellor work with students to re-integrate them back into school after periods of absence and address behaviour/causes of low attendance e.g. through use of crucial skills programme</w:t>
            </w:r>
          </w:p>
          <w:p w14:paraId="36966183" w14:textId="7C2273E6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-Pupil Services team, SLCs and LCs identify any financial barriers to students performing well in school or accessing activities run by the school</w:t>
            </w:r>
          </w:p>
          <w:p w14:paraId="50C526A1" w14:textId="01A7BFB5" w:rsidR="00113573" w:rsidRPr="00113573" w:rsidRDefault="00113573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B722F57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78E0EEA7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17BBD8B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7EF1257" w14:textId="11E46177" w:rsidR="00113573" w:rsidRPr="000A3621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599F802D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See attendance rates cited in Barriers to Learning Section D above.  % attendance of DA pupils tends to be lower than that of other pupils.</w:t>
            </w:r>
          </w:p>
          <w:p w14:paraId="57051FC1" w14:textId="77777777" w:rsidR="00471E04" w:rsidRPr="00113573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</w:p>
          <w:p w14:paraId="7AA00E0B" w14:textId="77777777" w:rsidR="00471E04" w:rsidRPr="00113573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b/>
                <w:color w:val="auto"/>
                <w:sz w:val="18"/>
                <w:szCs w:val="18"/>
              </w:rPr>
              <w:t>EEF toolkit:</w:t>
            </w:r>
          </w:p>
          <w:p w14:paraId="6947C184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Parental Involvement +3 months</w:t>
            </w:r>
          </w:p>
          <w:p w14:paraId="00D7D92C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Behaviour interventions +3 months</w:t>
            </w:r>
          </w:p>
          <w:p w14:paraId="73B315E4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Social and Emotional learning +4 months</w:t>
            </w:r>
          </w:p>
          <w:p w14:paraId="385BD2C7" w14:textId="77777777" w:rsidR="00471E04" w:rsidRPr="00113573" w:rsidRDefault="00471E04" w:rsidP="00471E04">
            <w:pPr>
              <w:spacing w:after="0"/>
              <w:rPr>
                <w:color w:val="auto"/>
                <w:sz w:val="18"/>
                <w:szCs w:val="18"/>
              </w:rPr>
            </w:pPr>
            <w:r w:rsidRPr="00113573">
              <w:rPr>
                <w:color w:val="auto"/>
                <w:sz w:val="18"/>
                <w:szCs w:val="18"/>
              </w:rPr>
              <w:t>‘Out-of-school activities can help build self-confidence. Children from advantaged backgrounds experience more structured and supervised out-of-school activities.’</w:t>
            </w:r>
          </w:p>
          <w:p w14:paraId="35B1E08E" w14:textId="77777777" w:rsidR="00471E04" w:rsidRPr="000A3621" w:rsidRDefault="00471E04" w:rsidP="00471E04">
            <w:pPr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113573">
              <w:rPr>
                <w:i/>
                <w:color w:val="auto"/>
                <w:sz w:val="18"/>
                <w:szCs w:val="18"/>
              </w:rPr>
              <w:t>‘Experiences of poverty and educational disadvantage’ published by the  Joseph Roundtree Foundation September 2007</w:t>
            </w: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04006D46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 xml:space="preserve">-Overall attendance monitored by SLT with pastoral responsibility and each year group’s SLC </w:t>
            </w:r>
          </w:p>
          <w:p w14:paraId="1F6CC70F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All intervention logged on school portal</w:t>
            </w:r>
          </w:p>
          <w:p w14:paraId="2B1D5FDE" w14:textId="5B1BAFED" w:rsidR="00471E04" w:rsidRPr="000A3621" w:rsidRDefault="00471E04" w:rsidP="00113573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-Attend</w:t>
            </w:r>
            <w:r w:rsidR="00113573">
              <w:rPr>
                <w:rFonts w:cs="Arial"/>
                <w:color w:val="auto"/>
                <w:sz w:val="18"/>
                <w:szCs w:val="18"/>
              </w:rPr>
              <w:t xml:space="preserve">ance discussed 3 </w:t>
            </w:r>
            <w:r w:rsidRPr="00113573">
              <w:rPr>
                <w:rFonts w:cs="Arial"/>
                <w:color w:val="auto"/>
                <w:sz w:val="18"/>
                <w:szCs w:val="18"/>
              </w:rPr>
              <w:t>times per year at disadvantaged pupil case conferences and in Learning Champion Meetings</w:t>
            </w:r>
          </w:p>
        </w:tc>
        <w:tc>
          <w:tcPr>
            <w:tcW w:w="1559" w:type="dxa"/>
          </w:tcPr>
          <w:p w14:paraId="20F3A430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 xml:space="preserve">Deputy head with pastoral responsibility </w:t>
            </w:r>
          </w:p>
          <w:p w14:paraId="3DEE856D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2818516" w14:textId="3D087681" w:rsidR="00471E04" w:rsidRPr="00113573" w:rsidRDefault="00113573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Associate</w:t>
            </w:r>
            <w:r w:rsidR="00471E04" w:rsidRPr="00113573">
              <w:rPr>
                <w:rFonts w:cs="Arial"/>
                <w:color w:val="auto"/>
                <w:sz w:val="18"/>
                <w:szCs w:val="18"/>
              </w:rPr>
              <w:t xml:space="preserve"> assistant head </w:t>
            </w:r>
            <w:r w:rsidRPr="00113573">
              <w:rPr>
                <w:rFonts w:cs="Arial"/>
                <w:color w:val="auto"/>
                <w:sz w:val="18"/>
                <w:szCs w:val="18"/>
              </w:rPr>
              <w:t xml:space="preserve">teacher </w:t>
            </w:r>
            <w:r w:rsidR="00471E04" w:rsidRPr="00113573">
              <w:rPr>
                <w:rFonts w:cs="Arial"/>
                <w:color w:val="auto"/>
                <w:sz w:val="18"/>
                <w:szCs w:val="18"/>
              </w:rPr>
              <w:t>with responsibility for disadvantaged students</w:t>
            </w:r>
          </w:p>
          <w:p w14:paraId="3DDB5257" w14:textId="77777777" w:rsidR="00471E04" w:rsidRPr="00113573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21F2BA09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Pupil services team</w:t>
            </w:r>
          </w:p>
        </w:tc>
        <w:tc>
          <w:tcPr>
            <w:tcW w:w="2835" w:type="dxa"/>
          </w:tcPr>
          <w:p w14:paraId="4B7F2B6E" w14:textId="61120F11" w:rsidR="00471E04" w:rsidRPr="00113573" w:rsidRDefault="00113573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18"/>
                <w:szCs w:val="18"/>
              </w:rPr>
              <w:t>June 19</w:t>
            </w:r>
          </w:p>
          <w:p w14:paraId="388FC618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59ABA80F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3845D36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97B4D95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9E29154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15EA4770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4A352E8F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54771694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52E5E3B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4232E04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1AFE28E0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E4E667F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86251B3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C149D8E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377C890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7A207B81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06DC1B58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2D7B4C0C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B80C157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1756803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20D6B769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16C82B3E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7DF32DC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646CC5A4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329FFAD3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5D4605C4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1E395AD1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704A7D03" w14:textId="77777777" w:rsidR="00113573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  <w:p w14:paraId="77D7C15C" w14:textId="0F349BD2" w:rsidR="00113573" w:rsidRPr="000A3621" w:rsidRDefault="00113573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0A3621" w:rsidRPr="000A3621" w14:paraId="4DE06E1B" w14:textId="77777777" w:rsidTr="001D569D">
        <w:trPr>
          <w:trHeight w:hRule="exact" w:val="458"/>
        </w:trPr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4CE74D53" w14:textId="77777777" w:rsidR="00471E04" w:rsidRPr="00863F26" w:rsidRDefault="00471E04" w:rsidP="00471E04">
            <w:pPr>
              <w:spacing w:after="0"/>
              <w:jc w:val="right"/>
              <w:rPr>
                <w:rFonts w:cs="Arial"/>
                <w:color w:val="auto"/>
              </w:rPr>
            </w:pPr>
            <w:r w:rsidRPr="00863F26">
              <w:rPr>
                <w:rFonts w:cs="Arial"/>
                <w:b/>
                <w:color w:val="auto"/>
              </w:rPr>
              <w:t>Total budgeted cost</w:t>
            </w:r>
          </w:p>
        </w:tc>
        <w:tc>
          <w:tcPr>
            <w:tcW w:w="2835" w:type="dxa"/>
          </w:tcPr>
          <w:p w14:paraId="11FA4F22" w14:textId="776E150E" w:rsidR="00113573" w:rsidRPr="00863F26" w:rsidRDefault="00021A75" w:rsidP="00471E04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£76</w:t>
            </w:r>
            <w:r w:rsidR="00863F26" w:rsidRPr="00863F26">
              <w:rPr>
                <w:rFonts w:cs="Arial"/>
                <w:color w:val="auto"/>
              </w:rPr>
              <w:t>, 610</w:t>
            </w:r>
          </w:p>
          <w:p w14:paraId="608E4B02" w14:textId="11A56AAE" w:rsidR="00113573" w:rsidRPr="00863F26" w:rsidRDefault="00113573" w:rsidP="00471E04">
            <w:pPr>
              <w:spacing w:after="0"/>
              <w:rPr>
                <w:rFonts w:cs="Arial"/>
                <w:color w:val="auto"/>
              </w:rPr>
            </w:pPr>
          </w:p>
        </w:tc>
      </w:tr>
      <w:tr w:rsidR="000A3621" w:rsidRPr="000A3621" w14:paraId="5D8A8041" w14:textId="77777777" w:rsidTr="006431E0">
        <w:trPr>
          <w:trHeight w:hRule="exact" w:val="355"/>
        </w:trPr>
        <w:tc>
          <w:tcPr>
            <w:tcW w:w="15559" w:type="dxa"/>
            <w:gridSpan w:val="7"/>
            <w:tcMar>
              <w:top w:w="57" w:type="dxa"/>
              <w:bottom w:w="57" w:type="dxa"/>
            </w:tcMar>
            <w:vAlign w:val="center"/>
          </w:tcPr>
          <w:p w14:paraId="35ECEE9B" w14:textId="77777777" w:rsidR="00471E04" w:rsidRPr="00113573" w:rsidRDefault="00471E04" w:rsidP="00471E0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  <w:color w:val="auto"/>
              </w:rPr>
            </w:pPr>
            <w:r w:rsidRPr="00113573">
              <w:rPr>
                <w:rFonts w:cs="Arial"/>
                <w:b/>
                <w:color w:val="auto"/>
              </w:rPr>
              <w:t>Other approaches</w:t>
            </w:r>
          </w:p>
        </w:tc>
      </w:tr>
      <w:tr w:rsidR="000A3621" w:rsidRPr="000A3621" w14:paraId="3BDA12C0" w14:textId="77777777" w:rsidTr="00AF4E84">
        <w:tc>
          <w:tcPr>
            <w:tcW w:w="2235" w:type="dxa"/>
            <w:tcMar>
              <w:top w:w="57" w:type="dxa"/>
              <w:bottom w:w="57" w:type="dxa"/>
            </w:tcMar>
          </w:tcPr>
          <w:p w14:paraId="2567368D" w14:textId="77777777" w:rsidR="00471E04" w:rsidRPr="00113573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113573">
              <w:rPr>
                <w:rFonts w:cs="Arial"/>
                <w:b/>
                <w:color w:val="auto"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03A47925" w14:textId="77777777" w:rsidR="00471E04" w:rsidRPr="00113573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113573">
              <w:rPr>
                <w:rFonts w:cs="Arial"/>
                <w:b/>
                <w:color w:val="auto"/>
              </w:rPr>
              <w:t>Chosen action / approach</w:t>
            </w: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57C84393" w14:textId="77777777" w:rsidR="00471E04" w:rsidRPr="00113573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113573">
              <w:rPr>
                <w:rFonts w:cs="Arial"/>
                <w:b/>
                <w:color w:val="auto"/>
              </w:rPr>
              <w:t>What is the evidence and rationale for this choice?</w:t>
            </w: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38D55504" w14:textId="77777777" w:rsidR="00471E04" w:rsidRPr="00113573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113573">
              <w:rPr>
                <w:rFonts w:cs="Arial"/>
                <w:b/>
                <w:color w:val="auto"/>
              </w:rPr>
              <w:t>How will you ensure it is implemented well?</w:t>
            </w:r>
          </w:p>
        </w:tc>
        <w:tc>
          <w:tcPr>
            <w:tcW w:w="1559" w:type="dxa"/>
          </w:tcPr>
          <w:p w14:paraId="6B2B4288" w14:textId="77777777" w:rsidR="00471E04" w:rsidRPr="00113573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113573">
              <w:rPr>
                <w:rFonts w:cs="Arial"/>
                <w:b/>
                <w:color w:val="auto"/>
              </w:rPr>
              <w:t>Staff lead</w:t>
            </w:r>
          </w:p>
        </w:tc>
        <w:tc>
          <w:tcPr>
            <w:tcW w:w="2835" w:type="dxa"/>
          </w:tcPr>
          <w:p w14:paraId="75A45191" w14:textId="77777777" w:rsidR="00471E04" w:rsidRPr="00113573" w:rsidRDefault="00471E04" w:rsidP="00471E04">
            <w:pPr>
              <w:spacing w:after="0"/>
              <w:rPr>
                <w:rFonts w:cs="Arial"/>
                <w:b/>
                <w:color w:val="auto"/>
              </w:rPr>
            </w:pPr>
            <w:r w:rsidRPr="00113573">
              <w:rPr>
                <w:rFonts w:cs="Arial"/>
                <w:b/>
                <w:color w:val="auto"/>
              </w:rPr>
              <w:t>When will you review implementation?</w:t>
            </w:r>
          </w:p>
        </w:tc>
      </w:tr>
      <w:tr w:rsidR="000A3621" w:rsidRPr="000A3621" w14:paraId="60E82665" w14:textId="77777777" w:rsidTr="00AF4E84">
        <w:trPr>
          <w:trHeight w:val="302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80E18F5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113573">
              <w:rPr>
                <w:rFonts w:cs="Arial"/>
                <w:color w:val="auto"/>
                <w:sz w:val="20"/>
                <w:szCs w:val="20"/>
              </w:rPr>
              <w:lastRenderedPageBreak/>
              <w:t>Disadvantaged students see relevance and benefits of independent study at home and develop resilience and motivation to complete homework and learning tasks in their own time.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145E020A" w14:textId="2D87B957" w:rsidR="00863F26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0A3621">
              <w:rPr>
                <w:rFonts w:cs="Arial"/>
                <w:color w:val="FF0000"/>
                <w:sz w:val="18"/>
                <w:szCs w:val="18"/>
              </w:rPr>
              <w:t>-</w:t>
            </w:r>
            <w:r w:rsidR="00863F26">
              <w:rPr>
                <w:rFonts w:cs="Arial"/>
                <w:color w:val="FF0000"/>
                <w:sz w:val="18"/>
                <w:szCs w:val="18"/>
              </w:rPr>
              <w:t>Associate assistant Headteacher to lead Pupil Premium strategy</w:t>
            </w:r>
          </w:p>
          <w:p w14:paraId="0FE0343E" w14:textId="6B180AAA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Pastoral SOW includes topic of homework and teaches revision skills where apt</w:t>
            </w:r>
          </w:p>
          <w:p w14:paraId="2740DBB5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-Subject teachers set apt homework and adhere to school policy if homework is not completed</w:t>
            </w:r>
          </w:p>
          <w:p w14:paraId="7E397688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-Subject teachers teach revision skills pertinent to their subject</w:t>
            </w:r>
          </w:p>
          <w:p w14:paraId="7D85400E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-SLCs monitor persistent non-homework offenders &amp; support pupils with homework cards</w:t>
            </w:r>
          </w:p>
          <w:p w14:paraId="7BF754A4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-Where apt, pupils are referred to homework clubs/sessions</w:t>
            </w:r>
          </w:p>
          <w:p w14:paraId="5A7705A6" w14:textId="6C25DC6D" w:rsidR="00471E04" w:rsidRPr="00E331F9" w:rsidRDefault="00E331F9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-Appointment of 5</w:t>
            </w:r>
            <w:r w:rsidR="00471E04" w:rsidRPr="00E331F9">
              <w:rPr>
                <w:rFonts w:cs="Arial"/>
                <w:color w:val="auto"/>
                <w:sz w:val="18"/>
                <w:szCs w:val="18"/>
              </w:rPr>
              <w:t xml:space="preserve">  Learning Champions to work with DA cohorts</w:t>
            </w:r>
          </w:p>
          <w:p w14:paraId="18F75448" w14:textId="77777777" w:rsidR="006E09CD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 xml:space="preserve">SLCs/LCs identify any additional needs E.g. financial support for hardship, learning support materials </w:t>
            </w:r>
          </w:p>
          <w:p w14:paraId="232084B4" w14:textId="60C5A270" w:rsidR="00471E04" w:rsidRDefault="006E09CD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e.g. subsidised  lap top scheme </w:t>
            </w:r>
            <w:r w:rsidR="00471E04" w:rsidRPr="00E331F9">
              <w:rPr>
                <w:rFonts w:cs="Arial"/>
                <w:color w:val="auto"/>
                <w:sz w:val="18"/>
                <w:szCs w:val="18"/>
              </w:rPr>
              <w:t>(includes cost of on-line literacy and numeracy programmes) and ensures provisions are made</w:t>
            </w:r>
          </w:p>
          <w:p w14:paraId="18F595A1" w14:textId="15661E64" w:rsidR="00863F26" w:rsidRDefault="00863F26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Time for LCs to plan strategy/analyse data.</w:t>
            </w:r>
          </w:p>
          <w:p w14:paraId="13805762" w14:textId="4B266B61" w:rsidR="009A6171" w:rsidRPr="00863F26" w:rsidRDefault="009A6171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863F26">
              <w:rPr>
                <w:rFonts w:cs="Arial"/>
                <w:color w:val="FF0000"/>
                <w:sz w:val="18"/>
                <w:szCs w:val="18"/>
              </w:rPr>
              <w:t>PP Admin support is put in place to map provision and ensure some of the admin/logistics are sorted out more promptly.</w:t>
            </w:r>
          </w:p>
          <w:p w14:paraId="318FA73D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lastRenderedPageBreak/>
              <w:t>Relevant staff are offered CPD opportunities</w:t>
            </w:r>
          </w:p>
          <w:p w14:paraId="6F0F8B53" w14:textId="50A6655C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-LC</w:t>
            </w:r>
            <w:r w:rsidR="00E331F9">
              <w:rPr>
                <w:rFonts w:cs="Arial"/>
                <w:color w:val="auto"/>
                <w:sz w:val="18"/>
                <w:szCs w:val="18"/>
              </w:rPr>
              <w:t>s</w:t>
            </w:r>
            <w:r w:rsidRPr="00E331F9">
              <w:rPr>
                <w:rFonts w:cs="Arial"/>
                <w:color w:val="auto"/>
                <w:sz w:val="18"/>
                <w:szCs w:val="18"/>
              </w:rPr>
              <w:t xml:space="preserve"> with responsibi</w:t>
            </w:r>
            <w:r w:rsidR="00E331F9">
              <w:rPr>
                <w:rFonts w:cs="Arial"/>
                <w:color w:val="auto"/>
                <w:sz w:val="18"/>
                <w:szCs w:val="18"/>
              </w:rPr>
              <w:t>lity for ‘catch up’ run</w:t>
            </w:r>
            <w:r w:rsidRPr="00E331F9">
              <w:rPr>
                <w:rFonts w:cs="Arial"/>
                <w:color w:val="auto"/>
                <w:sz w:val="18"/>
                <w:szCs w:val="18"/>
              </w:rPr>
              <w:t xml:space="preserve"> sessions for identified cohort</w:t>
            </w:r>
          </w:p>
          <w:p w14:paraId="4260E9E3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 xml:space="preserve">-Underperforming Y11 students are placed on a mentoring programme </w:t>
            </w:r>
          </w:p>
          <w:p w14:paraId="1AF97153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14655A6A" w14:textId="332FDC48" w:rsidR="00863F26" w:rsidRDefault="00863F26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lastRenderedPageBreak/>
              <w:t>Initiatives need strategic leadership and monitoring at senior level</w:t>
            </w:r>
          </w:p>
          <w:p w14:paraId="24E4E52B" w14:textId="2A7CA1DA" w:rsidR="00863F26" w:rsidRDefault="00863F26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6E7D380B" w14:textId="75DFC712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DA students often experience barriers to successful learning at home e.g. basic facilities or adult role models.  Such independent study is necessary for good progress to be made.</w:t>
            </w:r>
          </w:p>
          <w:p w14:paraId="54DBF55B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5608B8A" w14:textId="77777777" w:rsidR="00471E04" w:rsidRPr="00E331F9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b/>
                <w:color w:val="auto"/>
                <w:sz w:val="18"/>
                <w:szCs w:val="18"/>
              </w:rPr>
              <w:t>EEF Toolkit</w:t>
            </w:r>
          </w:p>
          <w:p w14:paraId="33D5DAB1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Homework +5 months</w:t>
            </w:r>
          </w:p>
          <w:p w14:paraId="2E337C90" w14:textId="77777777" w:rsidR="00471E04" w:rsidRPr="000A3621" w:rsidRDefault="00471E04" w:rsidP="00471E04">
            <w:pPr>
              <w:spacing w:after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Mentoring +1</w:t>
            </w: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083E6600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BBEA1" w14:textId="66A12DCB" w:rsidR="00471E04" w:rsidRPr="00E331F9" w:rsidRDefault="00E331F9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Associate Assistant Headteacher with Responsibility for DA Pupils</w:t>
            </w:r>
          </w:p>
          <w:p w14:paraId="752CFBE7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Deputy with pastoral responsibility</w:t>
            </w:r>
          </w:p>
          <w:p w14:paraId="59C8CFD1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HODs</w:t>
            </w:r>
          </w:p>
          <w:p w14:paraId="07D96B5B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SLCs</w:t>
            </w:r>
          </w:p>
        </w:tc>
        <w:tc>
          <w:tcPr>
            <w:tcW w:w="2835" w:type="dxa"/>
          </w:tcPr>
          <w:p w14:paraId="3AF84126" w14:textId="4BBC6C71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 xml:space="preserve">June </w:t>
            </w:r>
            <w:r w:rsidR="00863F26">
              <w:rPr>
                <w:rFonts w:cs="Arial"/>
                <w:color w:val="auto"/>
                <w:sz w:val="18"/>
                <w:szCs w:val="18"/>
              </w:rPr>
              <w:t>20</w:t>
            </w:r>
          </w:p>
        </w:tc>
      </w:tr>
      <w:tr w:rsidR="000A3621" w:rsidRPr="000A3621" w14:paraId="25EB81DC" w14:textId="77777777" w:rsidTr="00AF4E84">
        <w:trPr>
          <w:trHeight w:val="134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515D77E" w14:textId="77777777" w:rsidR="00471E04" w:rsidRPr="00E331F9" w:rsidRDefault="00471E04" w:rsidP="00471E04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E331F9">
              <w:rPr>
                <w:rFonts w:cs="Arial"/>
                <w:color w:val="auto"/>
                <w:sz w:val="20"/>
                <w:szCs w:val="20"/>
              </w:rPr>
              <w:t>Disadvantaged students aspire to succeed.</w:t>
            </w:r>
          </w:p>
          <w:p w14:paraId="71F8DEB4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38488BD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-Use Pupil Premium Checking Service to ensure appropriate funding is in place</w:t>
            </w:r>
          </w:p>
          <w:p w14:paraId="3E7EA37C" w14:textId="372B22E5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-Use various engagement programmes/activities to encourage aspiration and involvement in out of the classroom experiences.  E.g. range of trips and school holidays, The Extra Mile, The Y8 Challen</w:t>
            </w:r>
            <w:r w:rsidR="00E331F9" w:rsidRPr="00E331F9">
              <w:rPr>
                <w:rFonts w:cs="Arial"/>
                <w:color w:val="auto"/>
                <w:sz w:val="18"/>
                <w:szCs w:val="18"/>
              </w:rPr>
              <w:t xml:space="preserve">ge, BBC School Report, DARE Initiative </w:t>
            </w:r>
            <w:r w:rsidRPr="00E331F9">
              <w:rPr>
                <w:rFonts w:cs="Arial"/>
                <w:color w:val="auto"/>
                <w:sz w:val="18"/>
                <w:szCs w:val="18"/>
              </w:rPr>
              <w:t xml:space="preserve"> and D of E Award Scheme</w:t>
            </w:r>
          </w:p>
          <w:p w14:paraId="1B52AA62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3147" w:type="dxa"/>
            <w:tcMar>
              <w:top w:w="57" w:type="dxa"/>
              <w:bottom w:w="57" w:type="dxa"/>
            </w:tcMar>
          </w:tcPr>
          <w:p w14:paraId="4D5F3F60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Parents may not know of the PP funding/may need assistance with form filling</w:t>
            </w:r>
          </w:p>
          <w:p w14:paraId="5A0F348B" w14:textId="77777777" w:rsidR="00471E04" w:rsidRPr="00E331F9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</w:p>
          <w:p w14:paraId="145F9D34" w14:textId="77777777" w:rsidR="00471E04" w:rsidRPr="00E331F9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</w:p>
          <w:p w14:paraId="331E8C2A" w14:textId="77777777" w:rsidR="00471E04" w:rsidRPr="00E331F9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</w:p>
          <w:p w14:paraId="35F3EA8B" w14:textId="77777777" w:rsidR="00471E04" w:rsidRPr="00E331F9" w:rsidRDefault="00471E04" w:rsidP="00471E04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b/>
                <w:color w:val="auto"/>
                <w:sz w:val="18"/>
                <w:szCs w:val="18"/>
              </w:rPr>
              <w:t>EEF Toolkit</w:t>
            </w:r>
          </w:p>
          <w:p w14:paraId="6979B4AE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Arts participation +2</w:t>
            </w:r>
          </w:p>
          <w:p w14:paraId="7D155D69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Outdoor Adventure Learning +4</w:t>
            </w:r>
          </w:p>
          <w:p w14:paraId="37AD7C0E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Sports Participation +2</w:t>
            </w:r>
          </w:p>
          <w:p w14:paraId="157D091E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color w:val="auto"/>
                <w:sz w:val="18"/>
                <w:szCs w:val="18"/>
              </w:rPr>
              <w:t>‘Out-of-school activities can help build self-confidence. Children from advantaged backgrounds experience more structured and supervised out-of-school activities.’  (See above.)</w:t>
            </w:r>
          </w:p>
        </w:tc>
        <w:tc>
          <w:tcPr>
            <w:tcW w:w="3515" w:type="dxa"/>
            <w:tcMar>
              <w:top w:w="57" w:type="dxa"/>
              <w:bottom w:w="57" w:type="dxa"/>
            </w:tcMar>
          </w:tcPr>
          <w:p w14:paraId="78D38A2E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Track pupil progress</w:t>
            </w:r>
          </w:p>
          <w:p w14:paraId="6668EF16" w14:textId="785D8D3D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Monitor participation in pastoral engagement programmes such as Th</w:t>
            </w:r>
            <w:r w:rsidR="00E331F9">
              <w:rPr>
                <w:rFonts w:cs="Arial"/>
                <w:color w:val="auto"/>
                <w:sz w:val="18"/>
                <w:szCs w:val="18"/>
              </w:rPr>
              <w:t>e Extra Mile or Beat Your Best</w:t>
            </w:r>
          </w:p>
          <w:p w14:paraId="62A8F9E1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Use student voice questionnaire results</w:t>
            </w:r>
          </w:p>
          <w:p w14:paraId="0787133E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Monitor careers’ interview records</w:t>
            </w:r>
          </w:p>
          <w:p w14:paraId="63F9F794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Monitor post 16 destinations</w:t>
            </w:r>
          </w:p>
          <w:p w14:paraId="079BE29A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0250EEC3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75E466E2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564BE736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F1DDCE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School Business Manager</w:t>
            </w:r>
          </w:p>
          <w:p w14:paraId="31D703D9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SLT with responsibility for DA pupils</w:t>
            </w:r>
          </w:p>
          <w:p w14:paraId="20BB77C5" w14:textId="77777777" w:rsidR="00471E04" w:rsidRPr="00E331F9" w:rsidRDefault="00471E04" w:rsidP="00471E04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E331F9">
              <w:rPr>
                <w:rFonts w:cs="Arial"/>
                <w:color w:val="auto"/>
                <w:sz w:val="18"/>
                <w:szCs w:val="18"/>
              </w:rPr>
              <w:t>ALCs</w:t>
            </w:r>
          </w:p>
        </w:tc>
        <w:tc>
          <w:tcPr>
            <w:tcW w:w="2835" w:type="dxa"/>
          </w:tcPr>
          <w:p w14:paraId="52EE9589" w14:textId="77777777" w:rsidR="00471E04" w:rsidRPr="000A3621" w:rsidRDefault="00471E04" w:rsidP="00471E04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471E04" w:rsidRPr="000A3621" w14:paraId="6769869E" w14:textId="77777777" w:rsidTr="001D569D"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56E1ADA3" w14:textId="77777777" w:rsidR="00471E04" w:rsidRPr="00863F26" w:rsidRDefault="00471E04" w:rsidP="00471E04">
            <w:pPr>
              <w:spacing w:after="0"/>
              <w:jc w:val="right"/>
              <w:rPr>
                <w:rFonts w:cs="Arial"/>
                <w:b/>
                <w:color w:val="auto"/>
              </w:rPr>
            </w:pPr>
            <w:r w:rsidRPr="00863F26">
              <w:rPr>
                <w:rFonts w:cs="Arial"/>
                <w:b/>
                <w:color w:val="auto"/>
              </w:rPr>
              <w:t>Total budgeted cost</w:t>
            </w:r>
          </w:p>
        </w:tc>
        <w:tc>
          <w:tcPr>
            <w:tcW w:w="2835" w:type="dxa"/>
          </w:tcPr>
          <w:p w14:paraId="2ACF2274" w14:textId="4F65110F" w:rsidR="00471E04" w:rsidRPr="00863F26" w:rsidRDefault="004F5518" w:rsidP="00471E04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£56</w:t>
            </w:r>
            <w:bookmarkStart w:id="2" w:name="_GoBack"/>
            <w:bookmarkEnd w:id="2"/>
            <w:r w:rsidR="00021A75">
              <w:rPr>
                <w:rFonts w:cs="Arial"/>
                <w:color w:val="auto"/>
              </w:rPr>
              <w:t>,65</w:t>
            </w:r>
            <w:r w:rsidR="00863F26" w:rsidRPr="00863F26">
              <w:rPr>
                <w:rFonts w:cs="Arial"/>
                <w:color w:val="auto"/>
              </w:rPr>
              <w:t>0</w:t>
            </w:r>
          </w:p>
        </w:tc>
      </w:tr>
      <w:tr w:rsidR="00863F26" w:rsidRPr="000A3621" w14:paraId="223E774D" w14:textId="77777777" w:rsidTr="001D569D"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1850A225" w14:textId="25F79C1F" w:rsidR="00863F26" w:rsidRPr="00863F26" w:rsidRDefault="00863F26" w:rsidP="00863F26">
            <w:pPr>
              <w:spacing w:after="0"/>
              <w:rPr>
                <w:rFonts w:cs="Arial"/>
                <w:color w:val="auto"/>
                <w:sz w:val="20"/>
                <w:szCs w:val="20"/>
              </w:rPr>
            </w:pPr>
            <w:r w:rsidRPr="00863F26">
              <w:rPr>
                <w:rFonts w:cs="Arial"/>
                <w:color w:val="auto"/>
                <w:sz w:val="20"/>
                <w:szCs w:val="20"/>
              </w:rPr>
              <w:t>Specific pastoral support is implemented for sevice children when needs are identified</w:t>
            </w:r>
          </w:p>
        </w:tc>
        <w:tc>
          <w:tcPr>
            <w:tcW w:w="2835" w:type="dxa"/>
          </w:tcPr>
          <w:p w14:paraId="68691459" w14:textId="45428F2E" w:rsidR="00863F26" w:rsidRPr="00863F26" w:rsidRDefault="00863F26" w:rsidP="00471E04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£1,500</w:t>
            </w:r>
          </w:p>
        </w:tc>
      </w:tr>
      <w:tr w:rsidR="00863F26" w:rsidRPr="000A3621" w14:paraId="43308FEA" w14:textId="77777777" w:rsidTr="001D569D"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0E316EBD" w14:textId="023C3122" w:rsidR="00863F26" w:rsidRPr="00863F26" w:rsidRDefault="00863F26" w:rsidP="00863F26">
            <w:pPr>
              <w:spacing w:after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Total Pupil Premium Spending</w:t>
            </w:r>
          </w:p>
        </w:tc>
        <w:tc>
          <w:tcPr>
            <w:tcW w:w="2835" w:type="dxa"/>
          </w:tcPr>
          <w:p w14:paraId="1971F0D3" w14:textId="7557829D" w:rsidR="00863F26" w:rsidRDefault="00021A75" w:rsidP="00471E04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£144,760</w:t>
            </w:r>
          </w:p>
        </w:tc>
      </w:tr>
    </w:tbl>
    <w:p w14:paraId="565E4A5E" w14:textId="77777777" w:rsidR="00814458" w:rsidRPr="000A3621" w:rsidRDefault="00814458" w:rsidP="00814458">
      <w:pPr>
        <w:spacing w:after="0"/>
        <w:rPr>
          <w:rFonts w:cs="Arial"/>
          <w:color w:val="FF0000"/>
        </w:rPr>
      </w:pPr>
    </w:p>
    <w:p w14:paraId="7A57D25C" w14:textId="77777777" w:rsidR="00BE4F40" w:rsidRPr="000A3621" w:rsidRDefault="00BE4F40" w:rsidP="00814458">
      <w:pPr>
        <w:spacing w:after="0"/>
        <w:rPr>
          <w:rFonts w:cs="Arial"/>
          <w:color w:val="FF0000"/>
        </w:rPr>
      </w:pPr>
    </w:p>
    <w:p w14:paraId="162E07F0" w14:textId="77777777" w:rsidR="00BE4F40" w:rsidRPr="000A3621" w:rsidRDefault="00BE4F40" w:rsidP="00814458">
      <w:pPr>
        <w:spacing w:after="0"/>
        <w:rPr>
          <w:rFonts w:cs="Arial"/>
          <w:color w:val="FF0000"/>
        </w:rPr>
      </w:pPr>
    </w:p>
    <w:p w14:paraId="7EF3470B" w14:textId="77777777" w:rsidR="00BE4F40" w:rsidRPr="000A3621" w:rsidRDefault="00BE4F40" w:rsidP="00814458">
      <w:pPr>
        <w:spacing w:after="0"/>
        <w:rPr>
          <w:rFonts w:cs="Arial"/>
          <w:color w:val="FF0000"/>
        </w:rPr>
      </w:pPr>
    </w:p>
    <w:p w14:paraId="55F96E6D" w14:textId="77777777" w:rsidR="00BE4F40" w:rsidRPr="000A3621" w:rsidRDefault="00BE4F40" w:rsidP="00814458">
      <w:pPr>
        <w:spacing w:after="0"/>
        <w:rPr>
          <w:rFonts w:cs="Arial"/>
          <w:color w:val="FF0000"/>
        </w:rPr>
      </w:pPr>
    </w:p>
    <w:p w14:paraId="5D0E2822" w14:textId="77777777" w:rsidR="00BE4F40" w:rsidRPr="000A3621" w:rsidRDefault="00BE4F40" w:rsidP="00814458">
      <w:pPr>
        <w:spacing w:after="0"/>
        <w:rPr>
          <w:rFonts w:cs="Arial"/>
          <w:color w:val="FF0000"/>
        </w:rPr>
      </w:pPr>
    </w:p>
    <w:p w14:paraId="032686B5" w14:textId="77777777" w:rsidR="00BE4F40" w:rsidRPr="000A3621" w:rsidRDefault="00BE4F40" w:rsidP="00814458">
      <w:pPr>
        <w:spacing w:after="0"/>
        <w:rPr>
          <w:rFonts w:cs="Arial"/>
          <w:color w:val="FF0000"/>
        </w:rPr>
      </w:pPr>
    </w:p>
    <w:p w14:paraId="47B76034" w14:textId="6E5C2CCF" w:rsidR="006431E0" w:rsidRPr="000A3621" w:rsidRDefault="006431E0">
      <w:pPr>
        <w:rPr>
          <w:color w:val="FF0000"/>
        </w:rPr>
      </w:pPr>
      <w:r w:rsidRPr="000A3621">
        <w:rPr>
          <w:color w:val="FF0000"/>
        </w:rPr>
        <w:br w:type="page"/>
      </w:r>
    </w:p>
    <w:p w14:paraId="30273E5C" w14:textId="77777777" w:rsidR="00531CFD" w:rsidRPr="000A3621" w:rsidRDefault="00531CFD" w:rsidP="00671FA2">
      <w:pPr>
        <w:pStyle w:val="Heading1"/>
        <w:rPr>
          <w:rFonts w:eastAsia="Arial"/>
          <w:color w:val="FF0000"/>
          <w:spacing w:val="-5"/>
          <w:sz w:val="2"/>
          <w:szCs w:val="2"/>
        </w:rPr>
        <w:sectPr w:rsidR="00531CFD" w:rsidRPr="000A3621" w:rsidSect="00531CFD">
          <w:footerReference w:type="default" r:id="rId14"/>
          <w:headerReference w:type="first" r:id="rId15"/>
          <w:pgSz w:w="16840" w:h="11920" w:orient="landscape"/>
          <w:pgMar w:top="426" w:right="1038" w:bottom="284" w:left="958" w:header="0" w:footer="560" w:gutter="0"/>
          <w:cols w:space="720"/>
        </w:sectPr>
      </w:pPr>
      <w:bookmarkStart w:id="3" w:name="_Toc449687249"/>
    </w:p>
    <w:bookmarkEnd w:id="1"/>
    <w:bookmarkEnd w:id="3"/>
    <w:p w14:paraId="6C901268" w14:textId="77777777" w:rsidR="009F41B6" w:rsidRPr="000A3621" w:rsidRDefault="009F41B6" w:rsidP="005F7DBE">
      <w:pPr>
        <w:pStyle w:val="Heading1"/>
        <w:rPr>
          <w:color w:val="FF0000"/>
          <w:sz w:val="2"/>
          <w:szCs w:val="2"/>
        </w:rPr>
      </w:pPr>
    </w:p>
    <w:sectPr w:rsidR="009F41B6" w:rsidRPr="000A3621" w:rsidSect="00BD4A45">
      <w:headerReference w:type="even" r:id="rId16"/>
      <w:headerReference w:type="default" r:id="rId17"/>
      <w:footerReference w:type="default" r:id="rId18"/>
      <w:headerReference w:type="first" r:id="rId19"/>
      <w:pgSz w:w="16840" w:h="11920" w:orient="landscape"/>
      <w:pgMar w:top="1162" w:right="1038" w:bottom="1503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6A7E" w14:textId="77777777" w:rsidR="00385E37" w:rsidRDefault="00385E37" w:rsidP="009F41B6">
      <w:r>
        <w:separator/>
      </w:r>
    </w:p>
    <w:p w14:paraId="45855C7C" w14:textId="77777777" w:rsidR="00385E37" w:rsidRDefault="00385E37" w:rsidP="009F41B6"/>
  </w:endnote>
  <w:endnote w:type="continuationSeparator" w:id="0">
    <w:p w14:paraId="4C6720F8" w14:textId="77777777" w:rsidR="00385E37" w:rsidRDefault="00385E37" w:rsidP="009F41B6">
      <w:r>
        <w:continuationSeparator/>
      </w:r>
    </w:p>
    <w:p w14:paraId="2B689519" w14:textId="77777777" w:rsidR="00385E37" w:rsidRDefault="00385E37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02C" w14:textId="45148154" w:rsidR="00385E37" w:rsidRPr="00531CFD" w:rsidRDefault="00385E37">
    <w:pPr>
      <w:spacing w:after="0" w:line="200" w:lineRule="exact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7C2896" wp14:editId="178E31AD">
              <wp:simplePos x="0" y="0"/>
              <wp:positionH relativeFrom="page">
                <wp:posOffset>3649980</wp:posOffset>
              </wp:positionH>
              <wp:positionV relativeFrom="page">
                <wp:posOffset>10069830</wp:posOffset>
              </wp:positionV>
              <wp:extent cx="222250" cy="177800"/>
              <wp:effectExtent l="0" t="0" r="0" b="0"/>
              <wp:wrapNone/>
              <wp:docPr id="472" name="Text Box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EDA48" w14:textId="42707594" w:rsidR="00385E37" w:rsidRDefault="00385E37">
                          <w:pPr>
                            <w:spacing w:after="0" w:line="265" w:lineRule="exact"/>
                            <w:ind w:left="41" w:right="-20"/>
                            <w:rPr>
                              <w:rFonts w:eastAsia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Arial" w:cs="Arial"/>
                              <w:color w:val="0505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518">
                            <w:rPr>
                              <w:rFonts w:eastAsia="Arial" w:cs="Arial"/>
                              <w:noProof/>
                              <w:color w:val="050505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C2896" id="_x0000_t202" coordsize="21600,21600" o:spt="202" path="m,l,21600r21600,l21600,xe">
              <v:stroke joinstyle="miter"/>
              <v:path gradientshapeok="t" o:connecttype="rect"/>
            </v:shapetype>
            <v:shape id="Text Box 472" o:spid="_x0000_s1026" type="#_x0000_t202" style="position:absolute;margin-left:287.4pt;margin-top:792.9pt;width:17.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" filled="f" stroked="f">
              <v:textbox inset="0,0,0,0">
                <w:txbxContent>
                  <w:p w14:paraId="030EDA48" w14:textId="42707594" w:rsidR="00385E37" w:rsidRDefault="00385E37">
                    <w:pPr>
                      <w:spacing w:after="0" w:line="265" w:lineRule="exact"/>
                      <w:ind w:left="41" w:right="-20"/>
                      <w:rPr>
                        <w:rFonts w:eastAsia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eastAsia="Arial" w:cs="Arial"/>
                        <w:color w:val="0505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518">
                      <w:rPr>
                        <w:rFonts w:eastAsia="Arial" w:cs="Arial"/>
                        <w:noProof/>
                        <w:color w:val="050505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B79" w14:textId="353CC5C7" w:rsidR="00385E37" w:rsidRDefault="00385E37" w:rsidP="00B929B0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BFCD9" w14:textId="77777777" w:rsidR="00385E37" w:rsidRDefault="00385E37" w:rsidP="009F41B6">
      <w:r>
        <w:separator/>
      </w:r>
    </w:p>
    <w:p w14:paraId="7F0FF36F" w14:textId="77777777" w:rsidR="00385E37" w:rsidRDefault="00385E37" w:rsidP="009F41B6"/>
  </w:footnote>
  <w:footnote w:type="continuationSeparator" w:id="0">
    <w:p w14:paraId="32172F34" w14:textId="77777777" w:rsidR="00385E37" w:rsidRDefault="00385E37" w:rsidP="009F41B6">
      <w:r>
        <w:continuationSeparator/>
      </w:r>
    </w:p>
    <w:p w14:paraId="3E7AB88E" w14:textId="77777777" w:rsidR="00385E37" w:rsidRDefault="00385E37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BAC1" w14:textId="77777777" w:rsidR="00385E37" w:rsidRDefault="00385E37" w:rsidP="008327B8">
    <w:pPr>
      <w:pStyle w:val="Header"/>
      <w:jc w:val="center"/>
    </w:pPr>
    <w:r>
      <w:t>OFFICIAL - 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9C00" w14:textId="77777777" w:rsidR="00385E37" w:rsidRDefault="00385E37">
    <w:pPr>
      <w:pStyle w:val="Header"/>
    </w:pPr>
  </w:p>
  <w:p w14:paraId="647CA23D" w14:textId="77777777" w:rsidR="00385E37" w:rsidRDefault="00385E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9A8A" w14:textId="77777777" w:rsidR="00385E37" w:rsidRPr="003F351B" w:rsidRDefault="00385E37" w:rsidP="003F35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54D6" w14:textId="77777777" w:rsidR="00385E37" w:rsidRPr="003F351B" w:rsidRDefault="00385E37" w:rsidP="003F3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5B63DED"/>
    <w:multiLevelType w:val="hybridMultilevel"/>
    <w:tmpl w:val="CFF2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1499B"/>
    <w:multiLevelType w:val="multilevel"/>
    <w:tmpl w:val="F788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15F6187"/>
    <w:multiLevelType w:val="hybridMultilevel"/>
    <w:tmpl w:val="5156BB8A"/>
    <w:lvl w:ilvl="0" w:tplc="2F9258D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04F44"/>
    <w:multiLevelType w:val="hybridMultilevel"/>
    <w:tmpl w:val="713E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E24DE"/>
    <w:multiLevelType w:val="hybridMultilevel"/>
    <w:tmpl w:val="0D9E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84B8E"/>
    <w:multiLevelType w:val="hybridMultilevel"/>
    <w:tmpl w:val="9E56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454F2E45"/>
    <w:multiLevelType w:val="hybridMultilevel"/>
    <w:tmpl w:val="0372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55843"/>
    <w:multiLevelType w:val="hybridMultilevel"/>
    <w:tmpl w:val="734C8484"/>
    <w:lvl w:ilvl="0" w:tplc="45148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80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2F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8F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09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81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45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E3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E5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B7B2D"/>
    <w:multiLevelType w:val="hybridMultilevel"/>
    <w:tmpl w:val="9768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93EC5"/>
    <w:multiLevelType w:val="hybridMultilevel"/>
    <w:tmpl w:val="B93A9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840795"/>
    <w:multiLevelType w:val="hybridMultilevel"/>
    <w:tmpl w:val="3F0A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4548F6"/>
    <w:multiLevelType w:val="hybridMultilevel"/>
    <w:tmpl w:val="5BCE6BBA"/>
    <w:lvl w:ilvl="0" w:tplc="5AD89E4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E5E1D97"/>
    <w:multiLevelType w:val="hybridMultilevel"/>
    <w:tmpl w:val="D282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21"/>
  </w:num>
  <w:num w:numId="8">
    <w:abstractNumId w:val="12"/>
  </w:num>
  <w:num w:numId="9">
    <w:abstractNumId w:val="27"/>
  </w:num>
  <w:num w:numId="10">
    <w:abstractNumId w:val="10"/>
  </w:num>
  <w:num w:numId="11">
    <w:abstractNumId w:val="38"/>
  </w:num>
  <w:num w:numId="12">
    <w:abstractNumId w:val="33"/>
  </w:num>
  <w:num w:numId="13">
    <w:abstractNumId w:val="4"/>
  </w:num>
  <w:num w:numId="14">
    <w:abstractNumId w:val="5"/>
  </w:num>
  <w:num w:numId="15">
    <w:abstractNumId w:val="32"/>
  </w:num>
  <w:num w:numId="16">
    <w:abstractNumId w:val="11"/>
  </w:num>
  <w:num w:numId="17">
    <w:abstractNumId w:val="42"/>
  </w:num>
  <w:num w:numId="18">
    <w:abstractNumId w:val="22"/>
  </w:num>
  <w:num w:numId="19">
    <w:abstractNumId w:val="28"/>
  </w:num>
  <w:num w:numId="20">
    <w:abstractNumId w:val="20"/>
  </w:num>
  <w:num w:numId="21">
    <w:abstractNumId w:val="44"/>
  </w:num>
  <w:num w:numId="22">
    <w:abstractNumId w:val="18"/>
  </w:num>
  <w:num w:numId="23">
    <w:abstractNumId w:val="13"/>
  </w:num>
  <w:num w:numId="24">
    <w:abstractNumId w:val="25"/>
  </w:num>
  <w:num w:numId="25">
    <w:abstractNumId w:val="35"/>
  </w:num>
  <w:num w:numId="26">
    <w:abstractNumId w:val="9"/>
  </w:num>
  <w:num w:numId="27">
    <w:abstractNumId w:val="45"/>
  </w:num>
  <w:num w:numId="28">
    <w:abstractNumId w:val="24"/>
  </w:num>
  <w:num w:numId="29">
    <w:abstractNumId w:val="40"/>
  </w:num>
  <w:num w:numId="30">
    <w:abstractNumId w:val="34"/>
  </w:num>
  <w:num w:numId="31">
    <w:abstractNumId w:val="30"/>
  </w:num>
  <w:num w:numId="32">
    <w:abstractNumId w:val="14"/>
  </w:num>
  <w:num w:numId="33">
    <w:abstractNumId w:val="43"/>
  </w:num>
  <w:num w:numId="34">
    <w:abstractNumId w:val="41"/>
  </w:num>
  <w:num w:numId="35">
    <w:abstractNumId w:val="15"/>
  </w:num>
  <w:num w:numId="36">
    <w:abstractNumId w:val="19"/>
  </w:num>
  <w:num w:numId="37">
    <w:abstractNumId w:val="26"/>
  </w:num>
  <w:num w:numId="38">
    <w:abstractNumId w:val="17"/>
  </w:num>
  <w:num w:numId="39">
    <w:abstractNumId w:val="3"/>
  </w:num>
  <w:num w:numId="40">
    <w:abstractNumId w:val="16"/>
  </w:num>
  <w:num w:numId="41">
    <w:abstractNumId w:val="46"/>
  </w:num>
  <w:num w:numId="42">
    <w:abstractNumId w:val="37"/>
  </w:num>
  <w:num w:numId="43">
    <w:abstractNumId w:val="6"/>
  </w:num>
  <w:num w:numId="44">
    <w:abstractNumId w:val="31"/>
  </w:num>
  <w:num w:numId="45">
    <w:abstractNumId w:val="36"/>
  </w:num>
  <w:num w:numId="46">
    <w:abstractNumId w:val="23"/>
  </w:num>
  <w:num w:numId="47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4915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11A88"/>
    <w:rsid w:val="00013A6E"/>
    <w:rsid w:val="000162C6"/>
    <w:rsid w:val="00021A75"/>
    <w:rsid w:val="0002203B"/>
    <w:rsid w:val="00023913"/>
    <w:rsid w:val="000240E2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41F9"/>
    <w:rsid w:val="00066B1C"/>
    <w:rsid w:val="0007258F"/>
    <w:rsid w:val="00074179"/>
    <w:rsid w:val="00074641"/>
    <w:rsid w:val="00081EE7"/>
    <w:rsid w:val="00083A73"/>
    <w:rsid w:val="00085955"/>
    <w:rsid w:val="00086722"/>
    <w:rsid w:val="00095901"/>
    <w:rsid w:val="000A10F4"/>
    <w:rsid w:val="000A3621"/>
    <w:rsid w:val="000A3817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672E"/>
    <w:rsid w:val="000F73F3"/>
    <w:rsid w:val="00103E77"/>
    <w:rsid w:val="00113573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6EB9"/>
    <w:rsid w:val="001811F8"/>
    <w:rsid w:val="00183AB5"/>
    <w:rsid w:val="00183D0C"/>
    <w:rsid w:val="00190C3A"/>
    <w:rsid w:val="00194711"/>
    <w:rsid w:val="00196306"/>
    <w:rsid w:val="001A0936"/>
    <w:rsid w:val="001A207E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2FB1"/>
    <w:rsid w:val="001D42A6"/>
    <w:rsid w:val="001D569D"/>
    <w:rsid w:val="001D5770"/>
    <w:rsid w:val="001E3581"/>
    <w:rsid w:val="001E6CDB"/>
    <w:rsid w:val="001F257C"/>
    <w:rsid w:val="001F428D"/>
    <w:rsid w:val="001F5DA9"/>
    <w:rsid w:val="00201BEA"/>
    <w:rsid w:val="00203ACA"/>
    <w:rsid w:val="00203EC9"/>
    <w:rsid w:val="002042CF"/>
    <w:rsid w:val="00207CF2"/>
    <w:rsid w:val="00210E6D"/>
    <w:rsid w:val="002113CF"/>
    <w:rsid w:val="00212E0B"/>
    <w:rsid w:val="00213D7A"/>
    <w:rsid w:val="00214378"/>
    <w:rsid w:val="00214713"/>
    <w:rsid w:val="00221A27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41C6"/>
    <w:rsid w:val="00254A0A"/>
    <w:rsid w:val="002575C5"/>
    <w:rsid w:val="00257865"/>
    <w:rsid w:val="002624F5"/>
    <w:rsid w:val="002634E2"/>
    <w:rsid w:val="002708E4"/>
    <w:rsid w:val="0027230F"/>
    <w:rsid w:val="0027252F"/>
    <w:rsid w:val="00272ECC"/>
    <w:rsid w:val="00273718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047E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3EFD"/>
    <w:rsid w:val="00345C15"/>
    <w:rsid w:val="00347C36"/>
    <w:rsid w:val="00357D6D"/>
    <w:rsid w:val="00361752"/>
    <w:rsid w:val="00361FE6"/>
    <w:rsid w:val="00364F65"/>
    <w:rsid w:val="00374981"/>
    <w:rsid w:val="0037557E"/>
    <w:rsid w:val="003810D8"/>
    <w:rsid w:val="003817C5"/>
    <w:rsid w:val="003853A4"/>
    <w:rsid w:val="00385E37"/>
    <w:rsid w:val="00386A28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7032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0CD0"/>
    <w:rsid w:val="00451FA7"/>
    <w:rsid w:val="004572EE"/>
    <w:rsid w:val="00463BB1"/>
    <w:rsid w:val="004671CA"/>
    <w:rsid w:val="00467BC5"/>
    <w:rsid w:val="00470223"/>
    <w:rsid w:val="00471E04"/>
    <w:rsid w:val="00471FEE"/>
    <w:rsid w:val="004726CF"/>
    <w:rsid w:val="00482BF2"/>
    <w:rsid w:val="004866AD"/>
    <w:rsid w:val="004964F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D0B5A"/>
    <w:rsid w:val="004D13A3"/>
    <w:rsid w:val="004D4133"/>
    <w:rsid w:val="004D4F4A"/>
    <w:rsid w:val="004D7F04"/>
    <w:rsid w:val="004E0F5B"/>
    <w:rsid w:val="004E6CD9"/>
    <w:rsid w:val="004F00ED"/>
    <w:rsid w:val="004F19D4"/>
    <w:rsid w:val="004F20E3"/>
    <w:rsid w:val="004F211A"/>
    <w:rsid w:val="004F3159"/>
    <w:rsid w:val="004F4AEF"/>
    <w:rsid w:val="004F5518"/>
    <w:rsid w:val="004F70A9"/>
    <w:rsid w:val="00500764"/>
    <w:rsid w:val="00503147"/>
    <w:rsid w:val="00505A57"/>
    <w:rsid w:val="0050779E"/>
    <w:rsid w:val="00507870"/>
    <w:rsid w:val="00524A70"/>
    <w:rsid w:val="0052566B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69D"/>
    <w:rsid w:val="0056283E"/>
    <w:rsid w:val="00564A36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94F05"/>
    <w:rsid w:val="005A07FF"/>
    <w:rsid w:val="005A4AE2"/>
    <w:rsid w:val="005A5236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41C7"/>
    <w:rsid w:val="005C6416"/>
    <w:rsid w:val="005C657D"/>
    <w:rsid w:val="005D05CE"/>
    <w:rsid w:val="005D1A84"/>
    <w:rsid w:val="005D252F"/>
    <w:rsid w:val="005D380A"/>
    <w:rsid w:val="005D3D25"/>
    <w:rsid w:val="005E3379"/>
    <w:rsid w:val="005E70E7"/>
    <w:rsid w:val="005F107C"/>
    <w:rsid w:val="005F226C"/>
    <w:rsid w:val="005F7472"/>
    <w:rsid w:val="005F7DBE"/>
    <w:rsid w:val="00602008"/>
    <w:rsid w:val="0060702F"/>
    <w:rsid w:val="006108B3"/>
    <w:rsid w:val="00611F91"/>
    <w:rsid w:val="006155C4"/>
    <w:rsid w:val="006215F8"/>
    <w:rsid w:val="006237FB"/>
    <w:rsid w:val="006244E2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0234"/>
    <w:rsid w:val="006A27AA"/>
    <w:rsid w:val="006A3602"/>
    <w:rsid w:val="006B1F9F"/>
    <w:rsid w:val="006C382D"/>
    <w:rsid w:val="006D1162"/>
    <w:rsid w:val="006D5E91"/>
    <w:rsid w:val="006D67EB"/>
    <w:rsid w:val="006E09CD"/>
    <w:rsid w:val="006E22B1"/>
    <w:rsid w:val="006E5DC7"/>
    <w:rsid w:val="006E7F39"/>
    <w:rsid w:val="006F1F96"/>
    <w:rsid w:val="006F50DD"/>
    <w:rsid w:val="006F6DC9"/>
    <w:rsid w:val="00700337"/>
    <w:rsid w:val="00700B01"/>
    <w:rsid w:val="007022F7"/>
    <w:rsid w:val="00702EBF"/>
    <w:rsid w:val="00703958"/>
    <w:rsid w:val="00713414"/>
    <w:rsid w:val="0071604F"/>
    <w:rsid w:val="007236E2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3F13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1410"/>
    <w:rsid w:val="00793877"/>
    <w:rsid w:val="00794F29"/>
    <w:rsid w:val="00796607"/>
    <w:rsid w:val="007A0750"/>
    <w:rsid w:val="007A2250"/>
    <w:rsid w:val="007A432A"/>
    <w:rsid w:val="007A5759"/>
    <w:rsid w:val="007B3CFE"/>
    <w:rsid w:val="007B7C8F"/>
    <w:rsid w:val="007C321D"/>
    <w:rsid w:val="007C41A5"/>
    <w:rsid w:val="007C4B2B"/>
    <w:rsid w:val="007C58BE"/>
    <w:rsid w:val="007C7EEE"/>
    <w:rsid w:val="007D0537"/>
    <w:rsid w:val="007D080B"/>
    <w:rsid w:val="007D100D"/>
    <w:rsid w:val="007D1348"/>
    <w:rsid w:val="007D29D3"/>
    <w:rsid w:val="007D6544"/>
    <w:rsid w:val="007E06DD"/>
    <w:rsid w:val="007E0CE3"/>
    <w:rsid w:val="007E35BC"/>
    <w:rsid w:val="007E5981"/>
    <w:rsid w:val="007F1ACB"/>
    <w:rsid w:val="007F4221"/>
    <w:rsid w:val="007F5292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0DA9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5567"/>
    <w:rsid w:val="00847309"/>
    <w:rsid w:val="008515CE"/>
    <w:rsid w:val="008525F5"/>
    <w:rsid w:val="008620F3"/>
    <w:rsid w:val="00863986"/>
    <w:rsid w:val="00863F26"/>
    <w:rsid w:val="00866257"/>
    <w:rsid w:val="00873A68"/>
    <w:rsid w:val="0087400A"/>
    <w:rsid w:val="00874F24"/>
    <w:rsid w:val="00876230"/>
    <w:rsid w:val="008768A8"/>
    <w:rsid w:val="00877D5B"/>
    <w:rsid w:val="00877E2D"/>
    <w:rsid w:val="00877ECD"/>
    <w:rsid w:val="008862FA"/>
    <w:rsid w:val="00886B1E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3DF6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5D44"/>
    <w:rsid w:val="00917E9C"/>
    <w:rsid w:val="00920ECB"/>
    <w:rsid w:val="00922AF8"/>
    <w:rsid w:val="0092379D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5689"/>
    <w:rsid w:val="0098648B"/>
    <w:rsid w:val="009A1675"/>
    <w:rsid w:val="009A244C"/>
    <w:rsid w:val="009A602D"/>
    <w:rsid w:val="009A6171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3EA"/>
    <w:rsid w:val="00A93FC0"/>
    <w:rsid w:val="00A95D3F"/>
    <w:rsid w:val="00AA000B"/>
    <w:rsid w:val="00AA3484"/>
    <w:rsid w:val="00AA3817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0D7C"/>
    <w:rsid w:val="00AF28C7"/>
    <w:rsid w:val="00AF4E84"/>
    <w:rsid w:val="00AF4F6B"/>
    <w:rsid w:val="00AF785C"/>
    <w:rsid w:val="00B001D6"/>
    <w:rsid w:val="00B05DDC"/>
    <w:rsid w:val="00B1029F"/>
    <w:rsid w:val="00B120FB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491D"/>
    <w:rsid w:val="00B7558C"/>
    <w:rsid w:val="00B83B4E"/>
    <w:rsid w:val="00B845DA"/>
    <w:rsid w:val="00B85794"/>
    <w:rsid w:val="00B9194F"/>
    <w:rsid w:val="00B929B0"/>
    <w:rsid w:val="00BA003B"/>
    <w:rsid w:val="00BA2625"/>
    <w:rsid w:val="00BB05E2"/>
    <w:rsid w:val="00BB682C"/>
    <w:rsid w:val="00BB7C04"/>
    <w:rsid w:val="00BB7F41"/>
    <w:rsid w:val="00BD1111"/>
    <w:rsid w:val="00BD26B6"/>
    <w:rsid w:val="00BD30A0"/>
    <w:rsid w:val="00BD4A45"/>
    <w:rsid w:val="00BD7DF4"/>
    <w:rsid w:val="00BE01C6"/>
    <w:rsid w:val="00BE07AA"/>
    <w:rsid w:val="00BE2099"/>
    <w:rsid w:val="00BE22B3"/>
    <w:rsid w:val="00BE4DAC"/>
    <w:rsid w:val="00BE4F40"/>
    <w:rsid w:val="00BF13F8"/>
    <w:rsid w:val="00BF5454"/>
    <w:rsid w:val="00BF68F1"/>
    <w:rsid w:val="00C01CFF"/>
    <w:rsid w:val="00C02406"/>
    <w:rsid w:val="00C02C7D"/>
    <w:rsid w:val="00C073B9"/>
    <w:rsid w:val="00C07E21"/>
    <w:rsid w:val="00C1225E"/>
    <w:rsid w:val="00C1494D"/>
    <w:rsid w:val="00C15B78"/>
    <w:rsid w:val="00C2207B"/>
    <w:rsid w:val="00C30479"/>
    <w:rsid w:val="00C313D9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7668E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0295"/>
    <w:rsid w:val="00CC2512"/>
    <w:rsid w:val="00CC2FB2"/>
    <w:rsid w:val="00CC4C58"/>
    <w:rsid w:val="00CC547F"/>
    <w:rsid w:val="00CD0909"/>
    <w:rsid w:val="00CD1D06"/>
    <w:rsid w:val="00CD5D21"/>
    <w:rsid w:val="00CE0E9F"/>
    <w:rsid w:val="00CE40D7"/>
    <w:rsid w:val="00CE5F52"/>
    <w:rsid w:val="00CE7906"/>
    <w:rsid w:val="00CF0E19"/>
    <w:rsid w:val="00D01EE5"/>
    <w:rsid w:val="00D029F7"/>
    <w:rsid w:val="00D02CE4"/>
    <w:rsid w:val="00D04B89"/>
    <w:rsid w:val="00D05342"/>
    <w:rsid w:val="00D10355"/>
    <w:rsid w:val="00D21B4A"/>
    <w:rsid w:val="00D265AE"/>
    <w:rsid w:val="00D27D9B"/>
    <w:rsid w:val="00D30402"/>
    <w:rsid w:val="00D30CF1"/>
    <w:rsid w:val="00D319E3"/>
    <w:rsid w:val="00D376DB"/>
    <w:rsid w:val="00D40DE9"/>
    <w:rsid w:val="00D41212"/>
    <w:rsid w:val="00D41F38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0011"/>
    <w:rsid w:val="00D92274"/>
    <w:rsid w:val="00D94339"/>
    <w:rsid w:val="00D9707F"/>
    <w:rsid w:val="00DA165A"/>
    <w:rsid w:val="00DA1F8E"/>
    <w:rsid w:val="00DA57A4"/>
    <w:rsid w:val="00DB0D07"/>
    <w:rsid w:val="00DB0ED9"/>
    <w:rsid w:val="00DB35DD"/>
    <w:rsid w:val="00DC01CC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1994"/>
    <w:rsid w:val="00DE2205"/>
    <w:rsid w:val="00DE3B89"/>
    <w:rsid w:val="00DE6998"/>
    <w:rsid w:val="00DF0054"/>
    <w:rsid w:val="00DF00D5"/>
    <w:rsid w:val="00DF3309"/>
    <w:rsid w:val="00DF5124"/>
    <w:rsid w:val="00DF5709"/>
    <w:rsid w:val="00DF633F"/>
    <w:rsid w:val="00DF7F39"/>
    <w:rsid w:val="00E026F9"/>
    <w:rsid w:val="00E035B8"/>
    <w:rsid w:val="00E1436A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1F9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54676"/>
    <w:rsid w:val="00E61359"/>
    <w:rsid w:val="00E6185D"/>
    <w:rsid w:val="00E66B4F"/>
    <w:rsid w:val="00E70FC4"/>
    <w:rsid w:val="00E71AEC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93B59"/>
    <w:rsid w:val="00E94782"/>
    <w:rsid w:val="00EA4174"/>
    <w:rsid w:val="00EA4D1B"/>
    <w:rsid w:val="00EA7EF1"/>
    <w:rsid w:val="00EB1D11"/>
    <w:rsid w:val="00EB281B"/>
    <w:rsid w:val="00EB79FF"/>
    <w:rsid w:val="00EC1C50"/>
    <w:rsid w:val="00EC55FD"/>
    <w:rsid w:val="00ED121A"/>
    <w:rsid w:val="00ED3D05"/>
    <w:rsid w:val="00ED5025"/>
    <w:rsid w:val="00ED7588"/>
    <w:rsid w:val="00EE072C"/>
    <w:rsid w:val="00EE1C85"/>
    <w:rsid w:val="00EE5713"/>
    <w:rsid w:val="00EE64AE"/>
    <w:rsid w:val="00EE715F"/>
    <w:rsid w:val="00EF0C6F"/>
    <w:rsid w:val="00EF3B77"/>
    <w:rsid w:val="00EF7E61"/>
    <w:rsid w:val="00F06445"/>
    <w:rsid w:val="00F06863"/>
    <w:rsid w:val="00F07114"/>
    <w:rsid w:val="00F127CF"/>
    <w:rsid w:val="00F206A7"/>
    <w:rsid w:val="00F3105E"/>
    <w:rsid w:val="00F31AAB"/>
    <w:rsid w:val="00F31B8F"/>
    <w:rsid w:val="00F41591"/>
    <w:rsid w:val="00F41A43"/>
    <w:rsid w:val="00F41A63"/>
    <w:rsid w:val="00F45BEB"/>
    <w:rsid w:val="00F54523"/>
    <w:rsid w:val="00F5702C"/>
    <w:rsid w:val="00F626AA"/>
    <w:rsid w:val="00F70793"/>
    <w:rsid w:val="00F84544"/>
    <w:rsid w:val="00F84C99"/>
    <w:rsid w:val="00F87538"/>
    <w:rsid w:val="00F9048D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65E9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5843"/>
    <w:rsid w:val="00FF5CC0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6BAE9EFB"/>
  <w15:docId w15:val="{F098EBFF-B1D4-46D4-B4D4-F86F9B7F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0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5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P77SHHUCCQFT-1656113854-17248</_dlc_DocId>
    <_dlc_DocIdUrl xmlns="b8cb3cbd-ce5c-4a72-9da4-9013f91c5903">
      <Url>http://workplaces/sites/ctg/a/_layouts/DocIdRedir.aspx?ID=P77SHHUCCQFT-1656113854-17248</Url>
      <Description>P77SHHUCCQFT-1656113854-17248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004A7-DA13-4287-B433-28DBC6891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  <ds:schemaRef ds:uri="b8cb3cbd-ce5c-4a72-9da4-9013f91c5903"/>
    <ds:schemaRef ds:uri="62bda6d9-15dd-4797-9609-2d5e8913862c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F1B7258-CC35-4AA9-9908-A020992E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2233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14786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Mrs L Payne</cp:lastModifiedBy>
  <cp:revision>3</cp:revision>
  <cp:lastPrinted>2019-12-13T11:27:00Z</cp:lastPrinted>
  <dcterms:created xsi:type="dcterms:W3CDTF">2019-12-13T11:38:00Z</dcterms:created>
  <dcterms:modified xsi:type="dcterms:W3CDTF">2019-12-17T15:51:00Z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0x0101007F645D6FBA204A029FECB8BFC6578C39005279853530254253B886E13194843F8A003AA4A7828D8545A79A935680158123500090692E784D5B8245A9BCC793BA2EE1C9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883a7b46-cb55-417b-9f91-92c86f7101db</vt:lpwstr>
  </property>
  <property fmtid="{D5CDD505-2E9C-101B-9397-08002B2CF9AE}" pid="6" name="IWPOrganisationalUnit">
    <vt:lpwstr>56;#NCTL|50b03fc4-9596-44c0-8ddf-78c55856c7ae</vt:lpwstr>
  </property>
  <property fmtid="{D5CDD505-2E9C-101B-9397-08002B2CF9AE}" pid="7" name="IWPOwner">
    <vt:lpwstr>55;#NCTA|8a55f59b-7d94-44dd-a344-986d47acf947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