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558" w:rsidRDefault="009D71E8" w14:paraId="2A7D54B1" w14:textId="4151DC9A">
      <w:pPr>
        <w:pStyle w:val="Heading1"/>
      </w:pPr>
      <w:bookmarkStart w:name="_Toc400361362" w:id="0"/>
      <w:bookmarkStart w:name="_Toc443397153" w:id="1"/>
      <w:bookmarkStart w:name="_Toc357771638" w:id="2"/>
      <w:bookmarkStart w:name="_Toc346793416" w:id="3"/>
      <w:bookmarkStart w:name="_Toc328122777" w:id="4"/>
      <w:r w:rsidR="009D71E8">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00453997">
        <w:rPr/>
        <w:t xml:space="preserve"> 202</w:t>
      </w:r>
      <w:r w:rsidR="03167DA0">
        <w:rPr/>
        <w:t>4-25</w:t>
      </w:r>
    </w:p>
    <w:p w:rsidR="00E66558" w:rsidRDefault="009D71E8" w14:paraId="2A7D54B2" w14:textId="6E2B53EC">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6C0F73CB"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F81F04" w:rsidTr="6C0F73CB"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B9" w14:textId="39BD585B">
            <w:pPr>
              <w:pStyle w:val="TableRow"/>
            </w:pPr>
            <w:r w:rsidRPr="00B12C15">
              <w:t>St. Edmund’s Catholic Primary School</w:t>
            </w:r>
          </w:p>
        </w:tc>
      </w:tr>
      <w:tr w:rsidR="00F81F04" w:rsidTr="6C0F73CB"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35DF1" w:rsidR="00F81F04" w:rsidP="00F81F04" w:rsidRDefault="00F81F04" w14:paraId="2A7D54BB" w14:textId="77777777">
            <w:pPr>
              <w:pStyle w:val="TableRow"/>
            </w:pPr>
            <w:r w:rsidRPr="00E35DF1">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35DF1" w:rsidR="00F81F04" w:rsidP="00F81F04" w:rsidRDefault="00100A6A" w14:paraId="6A492E11" w14:textId="71B7F142">
            <w:pPr>
              <w:pStyle w:val="TableRow"/>
            </w:pPr>
            <w:r>
              <w:t>69</w:t>
            </w:r>
            <w:r w:rsidR="00E35DF1">
              <w:t xml:space="preserve"> </w:t>
            </w:r>
            <w:r w:rsidRPr="00E35DF1" w:rsidR="61BC401A">
              <w:t>primary children</w:t>
            </w:r>
          </w:p>
          <w:p w:rsidRPr="00E35DF1" w:rsidR="00F81F04" w:rsidP="00F81F04" w:rsidRDefault="00100A6A" w14:paraId="2A7D54BC" w14:textId="3CC3ECF9">
            <w:pPr>
              <w:pStyle w:val="TableRow"/>
            </w:pPr>
            <w:r>
              <w:t>6</w:t>
            </w:r>
            <w:r w:rsidR="00E35DF1">
              <w:t xml:space="preserve"> </w:t>
            </w:r>
            <w:r w:rsidRPr="00E35DF1" w:rsidR="61BC401A">
              <w:t>nursery children</w:t>
            </w:r>
          </w:p>
        </w:tc>
      </w:tr>
      <w:tr w:rsidR="00F81F04" w:rsidTr="6C0F73CB"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35DF1" w:rsidR="00F81F04" w:rsidP="00F81F04" w:rsidRDefault="00F81F04" w14:paraId="2A7D54BE" w14:textId="77777777">
            <w:pPr>
              <w:pStyle w:val="TableRow"/>
            </w:pPr>
            <w:r w:rsidRPr="00E35DF1">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35DF1" w:rsidR="00F81F04" w:rsidP="00F81F04" w:rsidRDefault="51DC6669" w14:paraId="435A81BA" w14:textId="68730F5B">
            <w:pPr>
              <w:pStyle w:val="TableRow"/>
            </w:pPr>
            <w:r w:rsidRPr="00E35DF1">
              <w:t xml:space="preserve">PP - </w:t>
            </w:r>
            <w:r w:rsidR="00100A6A">
              <w:t>61</w:t>
            </w:r>
            <w:r w:rsidRPr="00E35DF1" w:rsidR="00F81F04">
              <w:t xml:space="preserve">% - </w:t>
            </w:r>
            <w:r w:rsidR="00E35DF1">
              <w:t>4</w:t>
            </w:r>
            <w:r w:rsidR="00100A6A">
              <w:t>2</w:t>
            </w:r>
            <w:r w:rsidRPr="00E35DF1" w:rsidR="00F81F04">
              <w:t xml:space="preserve"> children </w:t>
            </w:r>
          </w:p>
          <w:p w:rsidRPr="00E35DF1" w:rsidR="00F81F04" w:rsidP="00F81F04" w:rsidRDefault="00F81F04" w14:paraId="2A7D54BF" w14:textId="2A7F94F6">
            <w:pPr>
              <w:pStyle w:val="TableRow"/>
            </w:pPr>
            <w:r w:rsidRPr="00E35DF1">
              <w:t>EYPP</w:t>
            </w:r>
            <w:r w:rsidRPr="00E35DF1" w:rsidR="293DCAA9">
              <w:t xml:space="preserve"> - </w:t>
            </w:r>
            <w:r w:rsidR="00100A6A">
              <w:t>33</w:t>
            </w:r>
            <w:r w:rsidRPr="00E35DF1" w:rsidR="293DCAA9">
              <w:t xml:space="preserve">% - </w:t>
            </w:r>
            <w:r w:rsidR="00100A6A">
              <w:t>2</w:t>
            </w:r>
            <w:r w:rsidRPr="00E35DF1" w:rsidR="293DCAA9">
              <w:t xml:space="preserve"> children</w:t>
            </w:r>
          </w:p>
        </w:tc>
      </w:tr>
      <w:tr w:rsidR="00F81F04" w:rsidTr="6C0F73CB"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C2" w14:textId="659EE95A">
            <w:pPr>
              <w:pStyle w:val="TableRow"/>
            </w:pPr>
            <w:r w:rsidRPr="00B12C15">
              <w:t>One-year plan</w:t>
            </w:r>
          </w:p>
        </w:tc>
      </w:tr>
      <w:tr w:rsidR="00F81F04" w:rsidTr="6C0F73CB"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C5" w14:textId="0B04352C">
            <w:pPr>
              <w:pStyle w:val="TableRow"/>
            </w:pPr>
            <w:r w:rsidRPr="00B12C15">
              <w:t>September 202</w:t>
            </w:r>
            <w:r w:rsidR="00100A6A">
              <w:t>4</w:t>
            </w:r>
          </w:p>
        </w:tc>
      </w:tr>
      <w:tr w:rsidR="00F81F04" w:rsidTr="6C0F73CB"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C8" w14:textId="1DD63855">
            <w:pPr>
              <w:pStyle w:val="TableRow"/>
            </w:pPr>
            <w:r w:rsidRPr="00B12C15">
              <w:t>September 202</w:t>
            </w:r>
            <w:r w:rsidR="00100A6A">
              <w:t>5</w:t>
            </w:r>
          </w:p>
        </w:tc>
      </w:tr>
      <w:tr w:rsidR="00F81F04" w:rsidTr="6C0F73CB"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CB" w14:textId="3A1710F0">
            <w:pPr>
              <w:pStyle w:val="TableRow"/>
            </w:pPr>
            <w:r w:rsidRPr="00B12C15">
              <w:t>Headteacher</w:t>
            </w:r>
          </w:p>
        </w:tc>
      </w:tr>
      <w:tr w:rsidR="00F81F04" w:rsidTr="6C0F73CB"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CE" w14:textId="21F1A2D4">
            <w:pPr>
              <w:pStyle w:val="TableRow"/>
            </w:pPr>
            <w:r w:rsidRPr="00B12C15">
              <w:t>Headteacher</w:t>
            </w:r>
          </w:p>
        </w:tc>
      </w:tr>
      <w:tr w:rsidR="00F81F04" w:rsidTr="6C0F73CB"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81F04" w:rsidP="00F81F04" w:rsidRDefault="00F81F04" w14:paraId="2A7D54D1" w14:textId="4E00581C">
            <w:pPr>
              <w:pStyle w:val="TableRow"/>
            </w:pPr>
            <w:r w:rsidRPr="00B12C15">
              <w:t>Chair of governors</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0C170D51"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0C170D51"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1B1A67" w:rsidR="00E66558" w:rsidP="0C170D51" w:rsidRDefault="009D71E8" w14:paraId="2A7D54D7" w14:textId="77777777">
            <w:pPr>
              <w:pStyle w:val="TableRow"/>
            </w:pPr>
            <w:r w:rsidRPr="001B1A67">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B1A67" w:rsidR="00E66558" w:rsidP="0C170D51" w:rsidRDefault="009D71E8" w14:paraId="2A7D54D8" w14:textId="7F2ACFA2">
            <w:pPr>
              <w:pStyle w:val="TableRow"/>
            </w:pPr>
            <w:r w:rsidRPr="001B1A67">
              <w:t>£</w:t>
            </w:r>
            <w:r w:rsidR="00100A6A">
              <w:t>68</w:t>
            </w:r>
            <w:r w:rsidR="00E62A78">
              <w:t>,080</w:t>
            </w:r>
          </w:p>
        </w:tc>
      </w:tr>
      <w:tr w:rsidR="00E66558" w:rsidTr="0C170D51"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F7B7B" w:rsidR="00E66558" w:rsidP="0C170D51" w:rsidRDefault="009D71E8" w14:paraId="2A7D54DA" w14:textId="77777777">
            <w:pPr>
              <w:pStyle w:val="TableRow"/>
            </w:pPr>
            <w:r w:rsidRPr="00FF7B7B">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F7B7B" w:rsidR="00E66558" w:rsidP="0C170D51" w:rsidRDefault="009D71E8" w14:paraId="2A7D54DB" w14:textId="01943C25">
            <w:pPr>
              <w:pStyle w:val="TableRow"/>
            </w:pPr>
            <w:r w:rsidRPr="00FF7B7B">
              <w:t>£</w:t>
            </w:r>
            <w:r w:rsidR="00E62A78">
              <w:t>0</w:t>
            </w:r>
          </w:p>
        </w:tc>
      </w:tr>
      <w:tr w:rsidR="00E66558" w:rsidTr="0C170D51"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1B1A67" w:rsidR="00E66558" w:rsidP="0C170D51" w:rsidRDefault="009D71E8" w14:paraId="2A7D54DD" w14:textId="77777777">
            <w:pPr>
              <w:pStyle w:val="TableRow"/>
            </w:pPr>
            <w:r w:rsidRPr="001B1A67">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B1A67" w:rsidR="00E66558" w:rsidP="0C170D51" w:rsidRDefault="009D71E8" w14:paraId="2A7D54DE" w14:textId="7011F0C0">
            <w:pPr>
              <w:pStyle w:val="TableRow"/>
            </w:pPr>
            <w:r w:rsidRPr="001B1A67">
              <w:t>£</w:t>
            </w:r>
            <w:r w:rsidRPr="001B1A67" w:rsidR="0C25B463">
              <w:t>0</w:t>
            </w:r>
          </w:p>
        </w:tc>
      </w:tr>
      <w:tr w:rsidR="00FF7B7B" w:rsidTr="0C170D51" w14:paraId="1428B480"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FF7B7B" w:rsidR="00FF7B7B" w:rsidP="0C170D51" w:rsidRDefault="00FF7B7B" w14:paraId="0D00C464" w14:textId="04FE2EBD">
            <w:pPr>
              <w:pStyle w:val="TableRow"/>
              <w:rPr>
                <w:b/>
              </w:rPr>
            </w:pPr>
            <w:r w:rsidRPr="00FF7B7B">
              <w:rPr>
                <w:b/>
              </w:rPr>
              <w:t>Total Cost</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B1A67" w:rsidR="00FF7B7B" w:rsidP="0C170D51" w:rsidRDefault="00FF7B7B" w14:paraId="717AEED1" w14:textId="22D50DB1">
            <w:pPr>
              <w:pStyle w:val="TableRow"/>
            </w:pPr>
            <w:r>
              <w:t>£6</w:t>
            </w:r>
            <w:r w:rsidR="00E62A78">
              <w:t>8,080</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81F04" w:rsidR="00F81F04" w:rsidP="00F81F04" w:rsidRDefault="00F81F04" w14:paraId="5F19D76B" w14:textId="77777777">
            <w:pPr>
              <w:spacing w:before="120"/>
              <w:rPr>
                <w:i/>
                <w:iCs/>
              </w:rPr>
            </w:pPr>
            <w:r w:rsidRPr="00F81F04">
              <w:rPr>
                <w:i/>
                <w:iCs/>
              </w:rPr>
              <w:t>At St. Edmund’s Catholic Primary School, we aim to identify the academic and social gaps within our Pupil Premium children’s learning and lives.  The school uses funding to address their needs in the following way:</w:t>
            </w:r>
          </w:p>
          <w:p w:rsidRPr="00F81F04" w:rsidR="00F81F04" w:rsidP="00F81F04" w:rsidRDefault="00F81F04" w14:paraId="7D69FE15" w14:textId="77777777">
            <w:pPr>
              <w:pStyle w:val="ListParagraph"/>
              <w:numPr>
                <w:ilvl w:val="0"/>
                <w:numId w:val="14"/>
              </w:numPr>
              <w:spacing w:before="120"/>
              <w:rPr>
                <w:i/>
                <w:iCs/>
              </w:rPr>
            </w:pPr>
            <w:r w:rsidRPr="00F81F04">
              <w:rPr>
                <w:i/>
                <w:iCs/>
              </w:rPr>
              <w:t xml:space="preserve">To provide the children with a ‘culture capital’ which enables them to experience events and activities.  </w:t>
            </w:r>
          </w:p>
          <w:p w:rsidRPr="00F81F04" w:rsidR="00F81F04" w:rsidP="00F81F04" w:rsidRDefault="00F81F04" w14:paraId="66456024" w14:textId="77777777">
            <w:pPr>
              <w:pStyle w:val="ListParagraph"/>
              <w:numPr>
                <w:ilvl w:val="0"/>
                <w:numId w:val="14"/>
              </w:numPr>
              <w:spacing w:before="120"/>
              <w:rPr>
                <w:i/>
                <w:iCs/>
              </w:rPr>
            </w:pPr>
            <w:r w:rsidRPr="00F81F04">
              <w:rPr>
                <w:i/>
                <w:iCs/>
              </w:rPr>
              <w:t xml:space="preserve">To address financial gaps in children’s lives </w:t>
            </w:r>
            <w:proofErr w:type="spellStart"/>
            <w:r w:rsidRPr="00F81F04">
              <w:rPr>
                <w:i/>
                <w:iCs/>
              </w:rPr>
              <w:t>eg</w:t>
            </w:r>
            <w:proofErr w:type="spellEnd"/>
            <w:r w:rsidRPr="00F81F04">
              <w:rPr>
                <w:i/>
                <w:iCs/>
              </w:rPr>
              <w:t xml:space="preserve"> school uniform, school shoes.</w:t>
            </w:r>
          </w:p>
          <w:p w:rsidRPr="00F81F04" w:rsidR="00F81F04" w:rsidP="00F81F04" w:rsidRDefault="00F81F04" w14:paraId="0E86304E" w14:textId="77777777">
            <w:pPr>
              <w:pStyle w:val="ListParagraph"/>
              <w:numPr>
                <w:ilvl w:val="0"/>
                <w:numId w:val="14"/>
              </w:numPr>
              <w:spacing w:before="120"/>
              <w:rPr>
                <w:i/>
                <w:iCs/>
              </w:rPr>
            </w:pPr>
            <w:r w:rsidRPr="00F81F04">
              <w:rPr>
                <w:i/>
                <w:iCs/>
              </w:rPr>
              <w:t xml:space="preserve">To provide support to parents in terms of behaviour, SEN and academics.  </w:t>
            </w:r>
          </w:p>
          <w:p w:rsidRPr="00F81F04" w:rsidR="00F81F04" w:rsidP="00F81F04" w:rsidRDefault="00F81F04" w14:paraId="4CF7D10A" w14:textId="77777777">
            <w:pPr>
              <w:pStyle w:val="ListParagraph"/>
              <w:numPr>
                <w:ilvl w:val="0"/>
                <w:numId w:val="14"/>
              </w:numPr>
              <w:spacing w:before="120"/>
              <w:rPr>
                <w:i/>
                <w:iCs/>
              </w:rPr>
            </w:pPr>
            <w:r w:rsidRPr="00F81F04">
              <w:rPr>
                <w:i/>
                <w:iCs/>
              </w:rPr>
              <w:t>To engage outside agencies in providing support for the children and families.</w:t>
            </w:r>
          </w:p>
          <w:p w:rsidR="00E66558" w:rsidP="00F81F04" w:rsidRDefault="00F81F04" w14:paraId="2A7D54E9" w14:textId="5A1B4905">
            <w:pPr>
              <w:pStyle w:val="ListParagraph"/>
              <w:numPr>
                <w:ilvl w:val="0"/>
                <w:numId w:val="13"/>
              </w:numPr>
              <w:rPr>
                <w:i/>
                <w:iCs/>
              </w:rPr>
            </w:pPr>
            <w:r w:rsidRPr="00F81F04">
              <w:rPr>
                <w:i/>
                <w:iCs/>
              </w:rPr>
              <w:t>To provide resources and strategies to narrow the academic gap.</w:t>
            </w:r>
          </w:p>
        </w:tc>
      </w:tr>
    </w:tbl>
    <w:p w:rsidR="00E66558" w:rsidRDefault="009D71E8" w14:paraId="2A7D54EB" w14:textId="77777777">
      <w:pPr>
        <w:pStyle w:val="Heading2"/>
        <w:spacing w:before="600"/>
      </w:pPr>
      <w:r>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F81F04" w14:paraId="2A7D54F2"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2A7D54F0" w14:textId="77777777">
            <w:pPr>
              <w:pStyle w:val="TableRow"/>
              <w:rPr>
                <w:sz w:val="22"/>
                <w:szCs w:val="22"/>
              </w:rPr>
            </w:pPr>
            <w:r>
              <w:rPr>
                <w:sz w:val="22"/>
                <w:szCs w:val="22"/>
              </w:rPr>
              <w:t>1</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2A7D54F1" w14:textId="3779112D">
            <w:pPr>
              <w:pStyle w:val="TableRowCentered"/>
              <w:jc w:val="left"/>
            </w:pPr>
            <w:r w:rsidRPr="00310DFD">
              <w:t xml:space="preserve">Children come to school without </w:t>
            </w:r>
            <w:r w:rsidR="00457E73">
              <w:t>having enough sustenance.</w:t>
            </w:r>
          </w:p>
        </w:tc>
      </w:tr>
      <w:tr w:rsidR="00F81F04" w14:paraId="2A7D54F5"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2A7D54F3" w14:textId="77777777">
            <w:pPr>
              <w:pStyle w:val="TableRow"/>
              <w:rPr>
                <w:sz w:val="22"/>
                <w:szCs w:val="22"/>
              </w:rPr>
            </w:pPr>
            <w:r>
              <w:rPr>
                <w:sz w:val="22"/>
                <w:szCs w:val="22"/>
              </w:rPr>
              <w:t>2</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2A7D54F4" w14:textId="7EAED95F">
            <w:pPr>
              <w:pStyle w:val="TableRowCentered"/>
              <w:jc w:val="left"/>
              <w:rPr>
                <w:sz w:val="22"/>
                <w:szCs w:val="22"/>
              </w:rPr>
            </w:pPr>
            <w:r w:rsidRPr="00310DFD">
              <w:t>Children do not have school uniform, coats and shoes.</w:t>
            </w:r>
          </w:p>
        </w:tc>
      </w:tr>
      <w:tr w:rsidR="00F81F04" w14:paraId="2A7D54F8"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2A7D54F6" w14:textId="77777777">
            <w:pPr>
              <w:pStyle w:val="TableRow"/>
              <w:rPr>
                <w:sz w:val="22"/>
                <w:szCs w:val="22"/>
              </w:rPr>
            </w:pPr>
            <w:r>
              <w:rPr>
                <w:sz w:val="22"/>
                <w:szCs w:val="22"/>
              </w:rPr>
              <w:t>3</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2A7D54F7" w14:textId="14D5FF36">
            <w:pPr>
              <w:pStyle w:val="TableRowCentered"/>
              <w:jc w:val="left"/>
              <w:rPr>
                <w:sz w:val="22"/>
                <w:szCs w:val="22"/>
              </w:rPr>
            </w:pPr>
            <w:r w:rsidRPr="00310DFD">
              <w:t>Children do not have the same the experiences as children from an affluent area.</w:t>
            </w:r>
          </w:p>
        </w:tc>
      </w:tr>
      <w:tr w:rsidR="00F81F04" w14:paraId="2A7D54FB"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2A7D54F9" w14:textId="77777777">
            <w:pPr>
              <w:pStyle w:val="TableRow"/>
              <w:rPr>
                <w:sz w:val="22"/>
                <w:szCs w:val="22"/>
              </w:rPr>
            </w:pPr>
            <w:r>
              <w:rPr>
                <w:sz w:val="22"/>
                <w:szCs w:val="22"/>
              </w:rPr>
              <w:t>4</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2A7D54FA" w14:textId="01CCE09C">
            <w:pPr>
              <w:pStyle w:val="TableRowCentered"/>
              <w:jc w:val="left"/>
              <w:rPr>
                <w:iCs/>
                <w:sz w:val="22"/>
              </w:rPr>
            </w:pPr>
            <w:r w:rsidRPr="00310DFD">
              <w:t>Parents require support with engagement with outside agencies.</w:t>
            </w:r>
            <w:r>
              <w:t xml:space="preserve"> Parents need support in completing documentation relating to their child’s schooling, medical or society needs e.g. applying to secondary school.</w:t>
            </w:r>
          </w:p>
        </w:tc>
      </w:tr>
      <w:tr w:rsidR="00F81F04" w14:paraId="2A7D54FE"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2A7D54FC" w14:textId="77777777">
            <w:pPr>
              <w:pStyle w:val="TableRow"/>
              <w:rPr>
                <w:sz w:val="22"/>
                <w:szCs w:val="22"/>
              </w:rPr>
            </w:pPr>
            <w:r>
              <w:rPr>
                <w:sz w:val="22"/>
                <w:szCs w:val="22"/>
              </w:rPr>
              <w:t>5</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2A7D54FD" w14:textId="4E25AB0A">
            <w:pPr>
              <w:pStyle w:val="TableRowCentered"/>
              <w:jc w:val="left"/>
              <w:rPr>
                <w:iCs/>
                <w:sz w:val="22"/>
              </w:rPr>
            </w:pPr>
            <w:r w:rsidRPr="00310DFD">
              <w:t>Children are not at Age Related Expectations</w:t>
            </w:r>
            <w:r w:rsidR="00E62A78">
              <w:t xml:space="preserve"> particularly in Mathematics.</w:t>
            </w:r>
          </w:p>
        </w:tc>
      </w:tr>
      <w:tr w:rsidR="00F81F04" w14:paraId="2D14BFEC"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7FF5410D" w14:textId="0F00BEBF">
            <w:pPr>
              <w:pStyle w:val="TableRow"/>
              <w:rPr>
                <w:sz w:val="22"/>
                <w:szCs w:val="22"/>
              </w:rPr>
            </w:pPr>
            <w:r>
              <w:rPr>
                <w:sz w:val="22"/>
                <w:szCs w:val="22"/>
              </w:rPr>
              <w:t>6</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7ECD8282" w14:textId="74846B25">
            <w:pPr>
              <w:pStyle w:val="TableRowCentered"/>
              <w:jc w:val="left"/>
              <w:rPr>
                <w:iCs/>
                <w:sz w:val="22"/>
              </w:rPr>
            </w:pPr>
            <w:r w:rsidRPr="00310DFD">
              <w:t>Children need support with their social and emotional being including anxiety, confidence and low self-esteem. Children</w:t>
            </w:r>
            <w:r w:rsidR="00E62A78">
              <w:t xml:space="preserve"> have found </w:t>
            </w:r>
            <w:r w:rsidRPr="00310DFD">
              <w:t>relationships difficult which can cause problems in relation to behaviour</w:t>
            </w:r>
            <w:r w:rsidR="00D12646">
              <w:t xml:space="preserve"> and academic achievement</w:t>
            </w:r>
            <w:r w:rsidR="00E62A78">
              <w:t xml:space="preserve"> in school</w:t>
            </w:r>
            <w:r w:rsidR="00D12646">
              <w:t>.</w:t>
            </w:r>
            <w:r w:rsidR="00E62A78">
              <w:t xml:space="preserve">  Although all children have made improvements, we continue to fund the support as this is an area which needs constant review and implementation of strategies to ensure behaviour and academic achievement continues to improve so that children can achieve their best. </w:t>
            </w:r>
          </w:p>
        </w:tc>
      </w:tr>
      <w:tr w:rsidR="00F81F04" w14:paraId="52FEFD07"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81F04" w:rsidP="00F81F04" w:rsidRDefault="00F81F04" w14:paraId="10137C9B" w14:textId="2AA26886">
            <w:pPr>
              <w:pStyle w:val="TableRow"/>
              <w:rPr>
                <w:sz w:val="22"/>
                <w:szCs w:val="22"/>
              </w:rPr>
            </w:pPr>
            <w:r>
              <w:rPr>
                <w:sz w:val="22"/>
                <w:szCs w:val="22"/>
              </w:rPr>
              <w:t>7</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35DF1" w:rsidR="00F81F04" w:rsidP="00F81F04" w:rsidRDefault="00F81F04" w14:paraId="569FFECE" w14:textId="196F59B4">
            <w:pPr>
              <w:pStyle w:val="TableRowCentered"/>
              <w:jc w:val="left"/>
              <w:rPr>
                <w:iCs/>
                <w:sz w:val="22"/>
              </w:rPr>
            </w:pPr>
            <w:r w:rsidRPr="00E35DF1">
              <w:t>Some children do not attend school on a regular basis.</w:t>
            </w:r>
          </w:p>
        </w:tc>
      </w:tr>
    </w:tbl>
    <w:p w:rsidR="00E66558" w:rsidRDefault="009D71E8" w14:paraId="2A7D54FF" w14:textId="77777777">
      <w:pPr>
        <w:pStyle w:val="Heading2"/>
        <w:spacing w:before="600"/>
      </w:pPr>
      <w:bookmarkStart w:name="_Toc443397160" w:id="16"/>
      <w:r>
        <w:lastRenderedPageBreak/>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D12646" w14:paraId="2A7D550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12646" w:rsidP="00D12646" w:rsidRDefault="00D12646" w14:paraId="2A7D5504" w14:textId="0743C7D3">
            <w:pPr>
              <w:pStyle w:val="TableRow"/>
            </w:pPr>
            <w:r w:rsidRPr="000E4DA1">
              <w:t>All children to be ready for learning.</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12646" w:rsidP="00D12646" w:rsidRDefault="00D12646" w14:paraId="2A7D5505" w14:textId="30B8488E">
            <w:pPr>
              <w:pStyle w:val="TableRowCentered"/>
              <w:jc w:val="left"/>
              <w:rPr>
                <w:sz w:val="22"/>
                <w:szCs w:val="22"/>
              </w:rPr>
            </w:pPr>
            <w:r w:rsidRPr="000E4DA1">
              <w:t>School to provide every child the opportunity to have breakfast each morning</w:t>
            </w:r>
            <w:r w:rsidR="00457E73">
              <w:t xml:space="preserve"> and a healthy lunch.</w:t>
            </w:r>
          </w:p>
        </w:tc>
      </w:tr>
      <w:tr w:rsidR="00D12646" w14:paraId="2A7D5509"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12646" w:rsidP="00D12646" w:rsidRDefault="00D12646" w14:paraId="2A7D5507" w14:textId="46FDDB33">
            <w:pPr>
              <w:pStyle w:val="TableRow"/>
              <w:rPr>
                <w:sz w:val="22"/>
                <w:szCs w:val="22"/>
              </w:rPr>
            </w:pPr>
            <w:r w:rsidRPr="000E4DA1">
              <w:t>All children to have access to school uniform, coats and shoes.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12646" w:rsidP="00D12646" w:rsidRDefault="00D12646" w14:paraId="2A7D5508" w14:textId="08A7EA4C">
            <w:pPr>
              <w:pStyle w:val="TableRowCentered"/>
              <w:jc w:val="left"/>
              <w:rPr>
                <w:sz w:val="22"/>
                <w:szCs w:val="22"/>
              </w:rPr>
            </w:pPr>
            <w:r w:rsidRPr="000E4DA1">
              <w:t>Identif</w:t>
            </w:r>
            <w:r w:rsidR="00457E73">
              <w:t xml:space="preserve">ied </w:t>
            </w:r>
            <w:r w:rsidRPr="000E4DA1">
              <w:t>children will be provided with a school uniform.</w:t>
            </w:r>
          </w:p>
        </w:tc>
      </w:tr>
      <w:tr w:rsidR="00D12646" w14:paraId="2A7D550C"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12646" w:rsidP="00D12646" w:rsidRDefault="00D12646" w14:paraId="2A7D550A" w14:textId="0C0C609F">
            <w:pPr>
              <w:pStyle w:val="TableRow"/>
              <w:rPr>
                <w:sz w:val="22"/>
                <w:szCs w:val="22"/>
              </w:rPr>
            </w:pPr>
            <w:r w:rsidRPr="000E4DA1">
              <w:t xml:space="preserve">All children will have access to experiences which relate to the school curriculum or expanding their life experiences.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12646" w:rsidP="00D12646" w:rsidRDefault="00D12646" w14:paraId="2A7D550B" w14:textId="576B2FCB">
            <w:pPr>
              <w:pStyle w:val="TableRowCentered"/>
              <w:jc w:val="left"/>
              <w:rPr>
                <w:sz w:val="22"/>
                <w:szCs w:val="22"/>
              </w:rPr>
            </w:pPr>
            <w:r w:rsidRPr="000E4DA1">
              <w:t>All children will attend school trips and have access to a wide variety of school visitors</w:t>
            </w:r>
            <w:r w:rsidR="00E35DF1">
              <w:t xml:space="preserve"> and experiences.</w:t>
            </w:r>
          </w:p>
        </w:tc>
      </w:tr>
      <w:tr w:rsidR="00D12646" w14:paraId="2A7D550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12646" w:rsidP="00D12646" w:rsidRDefault="00D12646" w14:paraId="2A7D550D" w14:textId="37E122AE">
            <w:pPr>
              <w:pStyle w:val="TableRow"/>
              <w:rPr>
                <w:sz w:val="22"/>
                <w:szCs w:val="22"/>
              </w:rPr>
            </w:pPr>
            <w:r w:rsidRPr="00D12646">
              <w:t xml:space="preserve">Parents </w:t>
            </w:r>
            <w:r>
              <w:t xml:space="preserve">will be given </w:t>
            </w:r>
            <w:r w:rsidRPr="00D12646">
              <w:t xml:space="preserve">support with engagement with outside agencies. Parents </w:t>
            </w:r>
            <w:r>
              <w:t xml:space="preserve">will be given </w:t>
            </w:r>
            <w:r w:rsidRPr="00D12646">
              <w:t>support in completing documentation relating to their child’s schooling, medical or society needs e.g. applying to secondary school.</w:t>
            </w:r>
            <w:r w:rsidR="00E62A78">
              <w:t xml:space="preserve">  </w:t>
            </w:r>
            <w:r w:rsidRPr="00E62A78" w:rsidR="00E62A78">
              <w:rPr>
                <w:highlight w:val="yellow"/>
              </w:rPr>
              <w:t>Parents will begin to be given the skills to complete their own forms and documentation so that they become more independent.</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12646" w:rsidP="00D12646" w:rsidRDefault="00D12646" w14:paraId="2A7D550E" w14:textId="066BB89F">
            <w:pPr>
              <w:pStyle w:val="TableRowCentered"/>
              <w:jc w:val="left"/>
              <w:rPr>
                <w:sz w:val="22"/>
                <w:szCs w:val="22"/>
              </w:rPr>
            </w:pPr>
            <w:r w:rsidRPr="000E4DA1">
              <w:t xml:space="preserve">Parents are able to support their children in terms of </w:t>
            </w:r>
            <w:r>
              <w:t>academic, medical or society needs.</w:t>
            </w:r>
          </w:p>
        </w:tc>
      </w:tr>
      <w:tr w:rsidR="00D12646" w14:paraId="2E8D6755"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12646" w:rsidP="00D12646" w:rsidRDefault="00D12646" w14:paraId="4B3337C6" w14:textId="213770BC">
            <w:pPr>
              <w:pStyle w:val="TableRow"/>
              <w:rPr>
                <w:sz w:val="22"/>
                <w:szCs w:val="22"/>
              </w:rPr>
            </w:pPr>
            <w:r w:rsidRPr="000E4DA1">
              <w:t>All children are given academic support with their learning.</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35DF1" w:rsidR="00D12646" w:rsidP="00D12646" w:rsidRDefault="00E62A78" w14:paraId="06EF89FD" w14:textId="1864E9CF">
            <w:pPr>
              <w:pStyle w:val="TableRowCentered"/>
              <w:jc w:val="left"/>
              <w:rPr>
                <w:sz w:val="22"/>
                <w:szCs w:val="22"/>
              </w:rPr>
            </w:pPr>
            <w:r w:rsidRPr="00E62A78">
              <w:rPr>
                <w:highlight w:val="yellow"/>
              </w:rPr>
              <w:t>6</w:t>
            </w:r>
            <w:r w:rsidRPr="00E62A78" w:rsidR="00D12646">
              <w:rPr>
                <w:highlight w:val="yellow"/>
              </w:rPr>
              <w:t xml:space="preserve">0% </w:t>
            </w:r>
            <w:r w:rsidRPr="00E62A78" w:rsidR="00E35DF1">
              <w:rPr>
                <w:highlight w:val="yellow"/>
              </w:rPr>
              <w:t xml:space="preserve">or more </w:t>
            </w:r>
            <w:r w:rsidRPr="00E62A78" w:rsidR="00D12646">
              <w:rPr>
                <w:highlight w:val="yellow"/>
              </w:rPr>
              <w:t>of children h</w:t>
            </w:r>
            <w:r w:rsidRPr="00E62A78" w:rsidR="00E35DF1">
              <w:rPr>
                <w:highlight w:val="yellow"/>
              </w:rPr>
              <w:t xml:space="preserve">ave </w:t>
            </w:r>
            <w:r w:rsidRPr="00E62A78" w:rsidR="00D12646">
              <w:rPr>
                <w:highlight w:val="yellow"/>
              </w:rPr>
              <w:t>reached Age Related Expectations</w:t>
            </w:r>
            <w:r w:rsidRPr="00E62A78">
              <w:rPr>
                <w:highlight w:val="yellow"/>
              </w:rPr>
              <w:t xml:space="preserve"> particularly in Maths.</w:t>
            </w:r>
          </w:p>
        </w:tc>
      </w:tr>
      <w:tr w:rsidR="00D12646" w14:paraId="49132CEB"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12646" w:rsidP="00D12646" w:rsidRDefault="00D12646" w14:paraId="01C1F91B" w14:textId="1E4B79F9">
            <w:pPr>
              <w:pStyle w:val="TableRow"/>
              <w:rPr>
                <w:sz w:val="22"/>
                <w:szCs w:val="22"/>
              </w:rPr>
            </w:pPr>
            <w:r w:rsidRPr="000E4DA1">
              <w:t>All children have the opportunity to learn strategies and techniques to deal with their behaviour.</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35DF1" w:rsidR="00D12646" w:rsidP="00D12646" w:rsidRDefault="00D12646" w14:paraId="097E3064" w14:textId="50930033">
            <w:pPr>
              <w:pStyle w:val="TableRowCentered"/>
              <w:jc w:val="left"/>
              <w:rPr>
                <w:sz w:val="22"/>
                <w:szCs w:val="22"/>
              </w:rPr>
            </w:pPr>
            <w:r w:rsidRPr="00E35DF1">
              <w:t>Those children who required help with their social and emotional being have gained access to the required group or 1 to 1 support.</w:t>
            </w:r>
          </w:p>
        </w:tc>
      </w:tr>
      <w:tr w:rsidR="00D12646" w14:paraId="0501B96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12646" w:rsidP="00D12646" w:rsidRDefault="00D12646" w14:paraId="7FAF13DE" w14:textId="327B8DF4">
            <w:pPr>
              <w:pStyle w:val="TableRow"/>
              <w:rPr>
                <w:sz w:val="22"/>
                <w:szCs w:val="22"/>
              </w:rPr>
            </w:pPr>
            <w:r w:rsidRPr="000E4DA1">
              <w:t>All children will attend school and access learning.</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53997" w:rsidR="00D12646" w:rsidP="00D12646" w:rsidRDefault="00D12646" w14:paraId="7A9A1AC4" w14:textId="77789D6C">
            <w:pPr>
              <w:pStyle w:val="TableRowCentered"/>
              <w:jc w:val="left"/>
              <w:rPr>
                <w:sz w:val="22"/>
                <w:szCs w:val="22"/>
                <w:highlight w:val="yellow"/>
              </w:rPr>
            </w:pPr>
            <w:r w:rsidRPr="00E62A78">
              <w:rPr>
                <w:highlight w:val="yellow"/>
              </w:rPr>
              <w:t>School attendance is 9</w:t>
            </w:r>
            <w:r w:rsidRPr="00E62A78" w:rsidR="00E62A78">
              <w:rPr>
                <w:highlight w:val="yellow"/>
              </w:rPr>
              <w:t>6</w:t>
            </w:r>
            <w:r w:rsidRPr="00E62A78">
              <w:rPr>
                <w:highlight w:val="yellow"/>
              </w:rPr>
              <w:t>% and above.</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1D2F798F">
      <w:r w:rsidRPr="00060A6B">
        <w:t>Budgeted cost: £</w:t>
      </w:r>
      <w:r w:rsidRPr="00060A6B" w:rsidR="7F6C2EA4">
        <w:t>4</w:t>
      </w:r>
      <w:r w:rsidR="00DD2465">
        <w:t>3,</w:t>
      </w:r>
      <w:r w:rsidR="00D578C9">
        <w:t xml:space="preserve"> 217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457E73" w14:paraId="6B35FFEC"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A01F1" w:rsidR="00457E73" w:rsidRDefault="00457E73" w14:paraId="76584534" w14:textId="6109600C">
            <w:pPr>
              <w:pStyle w:val="TableRow"/>
              <w:rPr>
                <w:sz w:val="22"/>
              </w:rPr>
            </w:pPr>
            <w:r w:rsidRPr="003A01F1">
              <w:rPr>
                <w:sz w:val="22"/>
              </w:rPr>
              <w:t xml:space="preserve">To </w:t>
            </w:r>
            <w:r w:rsidRPr="003A01F1" w:rsidR="00E35DF1">
              <w:rPr>
                <w:sz w:val="22"/>
              </w:rPr>
              <w:t xml:space="preserve">provide </w:t>
            </w:r>
            <w:r w:rsidRPr="003A01F1" w:rsidR="00BF22A6">
              <w:rPr>
                <w:sz w:val="22"/>
              </w:rPr>
              <w:t xml:space="preserve">a </w:t>
            </w:r>
            <w:r w:rsidRPr="003A01F1">
              <w:rPr>
                <w:sz w:val="22"/>
              </w:rPr>
              <w:t>Pupil Support Manager</w:t>
            </w:r>
            <w:r w:rsidRPr="003A01F1" w:rsidR="00E35DF1">
              <w:rPr>
                <w:sz w:val="22"/>
              </w:rPr>
              <w:t xml:space="preserve"> who is able to evaluate and provide </w:t>
            </w:r>
            <w:r w:rsidR="003A01F1">
              <w:rPr>
                <w:sz w:val="22"/>
              </w:rPr>
              <w:t>strategies</w:t>
            </w:r>
            <w:r w:rsidRPr="003A01F1" w:rsidR="00E35DF1">
              <w:rPr>
                <w:sz w:val="22"/>
              </w:rPr>
              <w:t xml:space="preserve"> which address children’s emotional and social needs</w:t>
            </w:r>
            <w:r w:rsidRPr="003A01F1">
              <w:rPr>
                <w:sz w:val="22"/>
              </w:rPr>
              <w:t>.</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53D3" w:rsidR="00453997" w:rsidRDefault="00453997" w14:paraId="2CF41795" w14:textId="209A9A6A">
            <w:pPr>
              <w:pStyle w:val="TableRowCentered"/>
              <w:jc w:val="left"/>
              <w:rPr>
                <w:sz w:val="22"/>
              </w:rPr>
            </w:pPr>
            <w:r w:rsidRPr="008C53D3">
              <w:rPr>
                <w:sz w:val="22"/>
              </w:rPr>
              <w:t>Some children struggle</w:t>
            </w:r>
            <w:r w:rsidRPr="008C53D3" w:rsidR="00E35DF1">
              <w:rPr>
                <w:sz w:val="22"/>
              </w:rPr>
              <w:t xml:space="preserve"> to identify and deal with their feelings, particularly if they are negative feelings.  They find </w:t>
            </w:r>
            <w:r w:rsidRPr="008C53D3">
              <w:rPr>
                <w:sz w:val="22"/>
              </w:rPr>
              <w:t>form</w:t>
            </w:r>
            <w:r w:rsidRPr="008C53D3" w:rsidR="00E35DF1">
              <w:rPr>
                <w:sz w:val="22"/>
              </w:rPr>
              <w:t>ing</w:t>
            </w:r>
            <w:r w:rsidRPr="008C53D3">
              <w:rPr>
                <w:sz w:val="22"/>
              </w:rPr>
              <w:t xml:space="preserve"> positive relationships with other children and adults</w:t>
            </w:r>
            <w:r w:rsidRPr="008C53D3" w:rsidR="00E35DF1">
              <w:rPr>
                <w:sz w:val="22"/>
              </w:rPr>
              <w:t xml:space="preserve"> challenging</w:t>
            </w:r>
            <w:r w:rsidRPr="008C53D3">
              <w:rPr>
                <w:sz w:val="22"/>
              </w:rPr>
              <w:t xml:space="preserve">.  This </w:t>
            </w:r>
            <w:r w:rsidRPr="008C53D3" w:rsidR="00E35DF1">
              <w:rPr>
                <w:sz w:val="22"/>
              </w:rPr>
              <w:t xml:space="preserve">can </w:t>
            </w:r>
            <w:r w:rsidRPr="008C53D3">
              <w:rPr>
                <w:sz w:val="22"/>
              </w:rPr>
              <w:t xml:space="preserve">often </w:t>
            </w:r>
            <w:r w:rsidRPr="008C53D3" w:rsidR="00E35DF1">
              <w:rPr>
                <w:sz w:val="22"/>
              </w:rPr>
              <w:t xml:space="preserve">be </w:t>
            </w:r>
            <w:r w:rsidRPr="008C53D3">
              <w:rPr>
                <w:sz w:val="22"/>
              </w:rPr>
              <w:t>a barrier to their academic progress.</w:t>
            </w:r>
          </w:p>
          <w:p w:rsidRPr="008C53D3" w:rsidR="00457E73" w:rsidRDefault="00457E73" w14:paraId="3363E011" w14:textId="3B89B511">
            <w:pPr>
              <w:pStyle w:val="TableRowCentered"/>
              <w:jc w:val="left"/>
              <w:rPr>
                <w:sz w:val="22"/>
              </w:rPr>
            </w:pPr>
            <w:r w:rsidRPr="008C53D3">
              <w:rPr>
                <w:sz w:val="22"/>
              </w:rPr>
              <w:t xml:space="preserve">Some parents find normal society expectations difficult and require support to help them achieve the best for their children </w:t>
            </w:r>
            <w:proofErr w:type="spellStart"/>
            <w:r w:rsidRPr="008C53D3">
              <w:rPr>
                <w:sz w:val="22"/>
              </w:rPr>
              <w:t>eg</w:t>
            </w:r>
            <w:proofErr w:type="spellEnd"/>
            <w:r w:rsidRPr="008C53D3">
              <w:rPr>
                <w:sz w:val="22"/>
              </w:rPr>
              <w:t xml:space="preserve"> writing formal letters, applying for school places.</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53D3" w:rsidR="00457E73" w:rsidRDefault="002B4237" w14:paraId="1997AF8A" w14:textId="3493E1DA">
            <w:pPr>
              <w:pStyle w:val="TableRowCentered"/>
              <w:jc w:val="left"/>
              <w:rPr>
                <w:sz w:val="22"/>
              </w:rPr>
            </w:pPr>
            <w:r>
              <w:rPr>
                <w:sz w:val="22"/>
              </w:rPr>
              <w:t xml:space="preserve">2, </w:t>
            </w:r>
            <w:r w:rsidRPr="008C53D3" w:rsidR="008C53D3">
              <w:rPr>
                <w:sz w:val="22"/>
              </w:rPr>
              <w:t>4, 6, 7</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69C83072">
      <w:r w:rsidRPr="003A01F1">
        <w:t xml:space="preserve">Budgeted </w:t>
      </w:r>
      <w:r w:rsidRPr="00D578C9">
        <w:t>cost: £</w:t>
      </w:r>
      <w:r w:rsidRPr="00D578C9" w:rsidR="00D578C9">
        <w:t>14113.20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14:paraId="2A7D552C"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BF22A6" w14:paraId="2A7D5529" w14:textId="1C8A1139">
            <w:pPr>
              <w:pStyle w:val="TableRow"/>
            </w:pPr>
            <w:r>
              <w:t xml:space="preserve">Little </w:t>
            </w:r>
            <w:proofErr w:type="spellStart"/>
            <w:r>
              <w:t>Wandle</w:t>
            </w:r>
            <w:proofErr w:type="spellEnd"/>
            <w:r>
              <w:t xml:space="preserve"> catch-up sessions and implementation of Little </w:t>
            </w:r>
            <w:proofErr w:type="spellStart"/>
            <w:r>
              <w:t>Wandle</w:t>
            </w:r>
            <w:proofErr w:type="spellEnd"/>
            <w:r>
              <w:t xml:space="preserve"> three reads.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BF22A6" w14:paraId="2A7D552A" w14:textId="7D0FAF05">
            <w:pPr>
              <w:pStyle w:val="TableRowCentered"/>
              <w:jc w:val="left"/>
              <w:rPr>
                <w:sz w:val="22"/>
              </w:rPr>
            </w:pPr>
            <w:r>
              <w:rPr>
                <w:sz w:val="22"/>
              </w:rPr>
              <w:t>Majority of children in the school continue to find reading a challenge.  Reading is a barrier to their progress and attainment in reading.</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0B58DC" w14:paraId="2A7D552B" w14:textId="43337399">
            <w:pPr>
              <w:pStyle w:val="TableRowCentered"/>
              <w:jc w:val="left"/>
              <w:rPr>
                <w:sz w:val="22"/>
              </w:rPr>
            </w:pPr>
            <w:r>
              <w:rPr>
                <w:sz w:val="22"/>
              </w:rPr>
              <w:t>5</w:t>
            </w:r>
          </w:p>
        </w:tc>
      </w:tr>
      <w:tr w:rsidR="008C53D3" w14:paraId="50393F4C"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C53D3" w:rsidRDefault="008C53D3" w14:paraId="3AC0CD88" w14:textId="75D93A15">
            <w:pPr>
              <w:pStyle w:val="TableRow"/>
            </w:pPr>
            <w:proofErr w:type="spellStart"/>
            <w:r>
              <w:t>Welcomm</w:t>
            </w:r>
            <w:proofErr w:type="spellEnd"/>
            <w:r>
              <w:t xml:space="preserve"> intervention provide for those children who are not at ARE in relation to their understanding of speech.</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C53D3" w:rsidRDefault="008C53D3" w14:paraId="11999FB8" w14:textId="2E1C3B3F">
            <w:pPr>
              <w:pStyle w:val="TableRowCentered"/>
              <w:jc w:val="left"/>
              <w:rPr>
                <w:sz w:val="22"/>
              </w:rPr>
            </w:pPr>
            <w:r>
              <w:rPr>
                <w:sz w:val="22"/>
              </w:rPr>
              <w:t xml:space="preserve">Some children in the early years and year one </w:t>
            </w:r>
            <w:proofErr w:type="gramStart"/>
            <w:r>
              <w:rPr>
                <w:sz w:val="22"/>
              </w:rPr>
              <w:t>have</w:t>
            </w:r>
            <w:proofErr w:type="gramEnd"/>
            <w:r>
              <w:rPr>
                <w:sz w:val="22"/>
              </w:rPr>
              <w:t xml:space="preserve"> low levels of understanding in terms of speech.</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C53D3" w:rsidRDefault="008C53D3" w14:paraId="4D9109FE" w14:textId="0C19ABCB">
            <w:pPr>
              <w:pStyle w:val="TableRowCentered"/>
              <w:jc w:val="left"/>
              <w:rPr>
                <w:sz w:val="22"/>
              </w:rPr>
            </w:pPr>
            <w:r>
              <w:rPr>
                <w:sz w:val="22"/>
              </w:rPr>
              <w:t>5</w:t>
            </w:r>
          </w:p>
        </w:tc>
      </w:tr>
      <w:tr w:rsidR="00DD2465" w14:paraId="5D9FC1D2"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36BF" w:rsidR="00DD2465" w:rsidRDefault="00DD2465" w14:paraId="7F11930E" w14:textId="119F5D2D">
            <w:pPr>
              <w:pStyle w:val="TableRow"/>
              <w:rPr>
                <w:highlight w:val="yellow"/>
              </w:rPr>
            </w:pPr>
            <w:r w:rsidRPr="00F636BF">
              <w:rPr>
                <w:highlight w:val="yellow"/>
              </w:rPr>
              <w:t xml:space="preserve">To review and implement a Maths </w:t>
            </w:r>
            <w:r w:rsidRPr="00F636BF">
              <w:rPr>
                <w:highlight w:val="yellow"/>
              </w:rPr>
              <w:lastRenderedPageBreak/>
              <w:t>intervention for all age groups.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36BF" w:rsidR="00DD2465" w:rsidRDefault="00DD2465" w14:paraId="60438D53" w14:textId="43DE8AA8">
            <w:pPr>
              <w:pStyle w:val="TableRowCentered"/>
              <w:jc w:val="left"/>
              <w:rPr>
                <w:sz w:val="22"/>
                <w:highlight w:val="yellow"/>
              </w:rPr>
            </w:pPr>
            <w:r w:rsidRPr="00F636BF">
              <w:rPr>
                <w:sz w:val="22"/>
                <w:highlight w:val="yellow"/>
              </w:rPr>
              <w:lastRenderedPageBreak/>
              <w:t>Maths has been identified as an area for improvement.  Children are not achieving Age Related Expectations.</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636BF" w:rsidR="00DD2465" w:rsidRDefault="00DD2465" w14:paraId="1A919221" w14:textId="1F588AA3">
            <w:pPr>
              <w:pStyle w:val="TableRowCentered"/>
              <w:jc w:val="left"/>
              <w:rPr>
                <w:sz w:val="22"/>
                <w:highlight w:val="yellow"/>
              </w:rPr>
            </w:pPr>
            <w:r w:rsidRPr="00F636BF">
              <w:rPr>
                <w:sz w:val="22"/>
                <w:highlight w:val="yellow"/>
              </w:rPr>
              <w:t>5</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Pr="00BF22A6" w:rsidR="00E66558" w:rsidP="0C170D51" w:rsidRDefault="009D71E8" w14:paraId="2A7D5533" w14:textId="08D126A5">
      <w:pPr>
        <w:spacing w:before="240" w:after="120"/>
      </w:pPr>
      <w:r w:rsidRPr="00FF7B7B">
        <w:t>Budgeted cost: £</w:t>
      </w:r>
      <w:r w:rsidR="00F636BF">
        <w:t>10,750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14:paraId="2A7D553B"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E3808" w:rsidR="00E66558" w:rsidP="00BF22A6" w:rsidRDefault="00BF22A6" w14:paraId="2A7D5538" w14:textId="60FD637E">
            <w:pPr>
              <w:pStyle w:val="TableRow"/>
              <w:ind w:left="0"/>
            </w:pPr>
            <w:r w:rsidRPr="00DE3808">
              <w:rPr>
                <w:iCs/>
                <w:sz w:val="22"/>
                <w:szCs w:val="22"/>
              </w:rPr>
              <w:t>To subsidise the dinner and breakfast service.</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E3808" w:rsidR="00E66558" w:rsidRDefault="00BF22A6" w14:paraId="2A7D5539" w14:textId="6D547C98">
            <w:pPr>
              <w:pStyle w:val="TableRowCentered"/>
              <w:jc w:val="left"/>
              <w:rPr>
                <w:sz w:val="22"/>
              </w:rPr>
            </w:pPr>
            <w:r w:rsidRPr="00DE3808">
              <w:rPr>
                <w:sz w:val="22"/>
              </w:rPr>
              <w:t>Some children come to school having not had breakfast or enough sustenance, this has an impact on their ability to learn</w:t>
            </w:r>
            <w:r w:rsidRPr="00DE3808" w:rsidR="003A01F1">
              <w:rPr>
                <w:sz w:val="22"/>
              </w:rPr>
              <w:t xml:space="preserve"> and their behaviour in class.</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53D3" w:rsidR="00E66558" w:rsidRDefault="000B58DC" w14:paraId="2A7D553A" w14:textId="27E67D1D">
            <w:pPr>
              <w:pStyle w:val="TableRowCentered"/>
              <w:jc w:val="left"/>
              <w:rPr>
                <w:sz w:val="22"/>
              </w:rPr>
            </w:pPr>
            <w:r w:rsidRPr="008C53D3">
              <w:rPr>
                <w:sz w:val="22"/>
              </w:rPr>
              <w:t>1</w:t>
            </w:r>
          </w:p>
        </w:tc>
      </w:tr>
      <w:tr w:rsidR="00257787" w14:paraId="0C4DD7F5"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7787" w:rsidP="00BF22A6" w:rsidRDefault="00257787" w14:paraId="027301E5" w14:textId="354D7F87">
            <w:pPr>
              <w:pStyle w:val="TableRow"/>
              <w:ind w:left="0"/>
              <w:rPr>
                <w:sz w:val="22"/>
              </w:rPr>
            </w:pPr>
            <w:r>
              <w:rPr>
                <w:sz w:val="22"/>
              </w:rPr>
              <w:t>To monitor children’s attire and presentation at school.  To identify children when their presentation slips below a certain standard to offer support to the parents/family.</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57787" w:rsidRDefault="00257787" w14:paraId="111C632B" w14:textId="23EB89C4">
            <w:pPr>
              <w:pStyle w:val="TableRowCentered"/>
              <w:jc w:val="left"/>
              <w:rPr>
                <w:sz w:val="22"/>
              </w:rPr>
            </w:pPr>
            <w:r w:rsidRPr="00257787">
              <w:rPr>
                <w:sz w:val="22"/>
              </w:rPr>
              <w:t>Some parents have difficulties providing their children with the required school uniform, therefore children come to school in the wrong uniform</w:t>
            </w:r>
            <w:r>
              <w:rPr>
                <w:sz w:val="22"/>
              </w:rPr>
              <w:t>.  Some parents may have difficulty because their washing machine has broken and requires maintenance or needs replacing.</w:t>
            </w:r>
            <w:r w:rsidRPr="00257787">
              <w:rPr>
                <w:sz w:val="22"/>
                <w:szCs w:val="24"/>
              </w:rPr>
              <w:t xml:space="preserve"> </w:t>
            </w:r>
            <w:r>
              <w:rPr>
                <w:sz w:val="22"/>
                <w:szCs w:val="24"/>
              </w:rPr>
              <w:t xml:space="preserve">This results in the children </w:t>
            </w:r>
            <w:r w:rsidRPr="00257787">
              <w:rPr>
                <w:sz w:val="22"/>
              </w:rPr>
              <w:t>not feel</w:t>
            </w:r>
            <w:r>
              <w:rPr>
                <w:sz w:val="22"/>
              </w:rPr>
              <w:t xml:space="preserve">ing </w:t>
            </w:r>
            <w:r w:rsidRPr="00257787">
              <w:rPr>
                <w:sz w:val="22"/>
              </w:rPr>
              <w:t xml:space="preserve">part of the school family adding to low self-esteem.  </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53D3" w:rsidR="00257787" w:rsidRDefault="000B58DC" w14:paraId="09152C36" w14:textId="505A94C8">
            <w:pPr>
              <w:pStyle w:val="TableRowCentered"/>
              <w:jc w:val="left"/>
              <w:rPr>
                <w:sz w:val="22"/>
              </w:rPr>
            </w:pPr>
            <w:r w:rsidRPr="008C53D3">
              <w:rPr>
                <w:sz w:val="22"/>
              </w:rPr>
              <w:t>2</w:t>
            </w:r>
          </w:p>
        </w:tc>
      </w:tr>
      <w:tr w:rsidR="00E66558" w14:paraId="2A7D553F"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F22A6" w:rsidR="00E66558" w:rsidP="00BF22A6" w:rsidRDefault="00BF22A6" w14:paraId="2A7D553C" w14:textId="5F531C97">
            <w:pPr>
              <w:pStyle w:val="TableRow"/>
              <w:ind w:left="0"/>
              <w:rPr>
                <w:sz w:val="22"/>
              </w:rPr>
            </w:pPr>
            <w:r>
              <w:rPr>
                <w:sz w:val="22"/>
              </w:rPr>
              <w:t>To subsidise children’s attendance of school trips.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BF22A6" w14:paraId="2A7D553D" w14:textId="64FF20F2">
            <w:pPr>
              <w:pStyle w:val="TableRowCentered"/>
              <w:jc w:val="left"/>
              <w:rPr>
                <w:sz w:val="22"/>
              </w:rPr>
            </w:pPr>
            <w:r>
              <w:rPr>
                <w:sz w:val="22"/>
              </w:rPr>
              <w:t xml:space="preserve">Some </w:t>
            </w:r>
            <w:r w:rsidR="00257787">
              <w:rPr>
                <w:sz w:val="22"/>
              </w:rPr>
              <w:t>families</w:t>
            </w:r>
            <w:r>
              <w:rPr>
                <w:sz w:val="22"/>
              </w:rPr>
              <w:t xml:space="preserve"> are unable to provide a parental contribution when attending a school trip.  School trips are well-planned and relate to class learning</w:t>
            </w:r>
            <w:r w:rsidR="00257787">
              <w:rPr>
                <w:sz w:val="22"/>
              </w:rPr>
              <w:t>, it is essential all children attend.</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53D3" w:rsidR="00E66558" w:rsidRDefault="000B58DC" w14:paraId="2A7D553E" w14:textId="3E0A8EEE">
            <w:pPr>
              <w:pStyle w:val="TableRowCentered"/>
              <w:jc w:val="left"/>
              <w:rPr>
                <w:sz w:val="22"/>
              </w:rPr>
            </w:pPr>
            <w:r w:rsidRPr="008C53D3">
              <w:rPr>
                <w:sz w:val="22"/>
              </w:rPr>
              <w:t>3</w:t>
            </w:r>
          </w:p>
        </w:tc>
      </w:tr>
      <w:tr w:rsidR="00BF22A6" w14:paraId="42A995A8"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F22A6" w:rsidR="00BF22A6" w:rsidRDefault="00257787" w14:paraId="295BD7B4" w14:textId="6CF7CF74">
            <w:pPr>
              <w:pStyle w:val="TableRow"/>
              <w:rPr>
                <w:sz w:val="22"/>
              </w:rPr>
            </w:pPr>
            <w:r>
              <w:rPr>
                <w:sz w:val="22"/>
              </w:rPr>
              <w:t xml:space="preserve">To continue encouraging children </w:t>
            </w:r>
            <w:r w:rsidR="00DE3808">
              <w:rPr>
                <w:sz w:val="22"/>
              </w:rPr>
              <w:t xml:space="preserve">to </w:t>
            </w:r>
            <w:r>
              <w:rPr>
                <w:sz w:val="22"/>
              </w:rPr>
              <w:t>attend school by having a termly attendance draw</w:t>
            </w:r>
            <w:r w:rsidR="00DE3808">
              <w:rPr>
                <w:sz w:val="22"/>
              </w:rPr>
              <w:t xml:space="preserve"> and a prize for those children whose attendance is higher than 95%</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F22A6" w:rsidRDefault="00257787" w14:paraId="436ED74D" w14:textId="433FA6D1">
            <w:pPr>
              <w:pStyle w:val="TableRowCentered"/>
              <w:jc w:val="left"/>
              <w:rPr>
                <w:sz w:val="22"/>
              </w:rPr>
            </w:pPr>
            <w:r>
              <w:rPr>
                <w:sz w:val="22"/>
              </w:rPr>
              <w:t>Some children have difficult in attending school because they are anxious or feel they cannot complete the work, they need to be encouraged to attend school.</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53D3" w:rsidR="00BF22A6" w:rsidRDefault="000B58DC" w14:paraId="0E4686AF" w14:textId="212A7E2F">
            <w:pPr>
              <w:pStyle w:val="TableRowCentered"/>
              <w:jc w:val="left"/>
              <w:rPr>
                <w:sz w:val="22"/>
              </w:rPr>
            </w:pPr>
            <w:r w:rsidRPr="008C53D3">
              <w:rPr>
                <w:sz w:val="22"/>
              </w:rPr>
              <w:t>5, 6, 7</w:t>
            </w:r>
          </w:p>
        </w:tc>
      </w:tr>
      <w:tr w:rsidR="00BF22A6" w14:paraId="0D146C9E"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57787" w:rsidR="00BF22A6" w:rsidRDefault="00257787" w14:paraId="7EDF1CB4" w14:textId="76E2CC93">
            <w:pPr>
              <w:pStyle w:val="TableRow"/>
              <w:rPr>
                <w:sz w:val="22"/>
              </w:rPr>
            </w:pPr>
            <w:r>
              <w:rPr>
                <w:sz w:val="22"/>
              </w:rPr>
              <w:t>Pupil Support Manager to monitor attendance and support those who are considered to be persistent absentees.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F22A6" w:rsidRDefault="00257787" w14:paraId="505D1AF4" w14:textId="039126A9">
            <w:pPr>
              <w:pStyle w:val="TableRowCentered"/>
              <w:jc w:val="left"/>
              <w:rPr>
                <w:sz w:val="22"/>
              </w:rPr>
            </w:pPr>
            <w:r>
              <w:rPr>
                <w:sz w:val="22"/>
              </w:rPr>
              <w:t>As above.</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53D3" w:rsidR="00BF22A6" w:rsidRDefault="000B58DC" w14:paraId="1EDFDC55" w14:textId="0D550EAE">
            <w:pPr>
              <w:pStyle w:val="TableRowCentered"/>
              <w:jc w:val="left"/>
              <w:rPr>
                <w:sz w:val="22"/>
              </w:rPr>
            </w:pPr>
            <w:r w:rsidRPr="008C53D3">
              <w:rPr>
                <w:sz w:val="22"/>
              </w:rPr>
              <w:t>5, 6, 7</w:t>
            </w:r>
          </w:p>
        </w:tc>
      </w:tr>
      <w:tr w:rsidR="000B58DC" w14:paraId="3E12C028"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B58DC" w:rsidRDefault="000B58DC" w14:paraId="38FC0829" w14:textId="19A9E707">
            <w:pPr>
              <w:pStyle w:val="TableRow"/>
              <w:rPr>
                <w:sz w:val="22"/>
              </w:rPr>
            </w:pPr>
            <w:r>
              <w:rPr>
                <w:sz w:val="22"/>
              </w:rPr>
              <w:t>To provide parents with support when engaging with outside agencies including completing documentation relating to their child’s needs.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B58DC" w:rsidRDefault="000B58DC" w14:paraId="37D1E6F6" w14:textId="07E7FCEB">
            <w:pPr>
              <w:pStyle w:val="TableRowCentered"/>
              <w:jc w:val="left"/>
              <w:rPr>
                <w:sz w:val="22"/>
              </w:rPr>
            </w:pPr>
            <w:r>
              <w:rPr>
                <w:sz w:val="22"/>
              </w:rPr>
              <w:t>Some families find normal daily tasks difficult and require assistance.  This could be because they have a learning difficulty or found their own education journey difficult.  This can then create a barrier for their child’s progress and attainment.</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C53D3" w:rsidR="000B58DC" w:rsidRDefault="000B58DC" w14:paraId="0A962B96" w14:textId="1320E54E">
            <w:pPr>
              <w:pStyle w:val="TableRowCentered"/>
              <w:jc w:val="left"/>
              <w:rPr>
                <w:sz w:val="22"/>
              </w:rPr>
            </w:pPr>
            <w:r w:rsidRPr="008C53D3">
              <w:rPr>
                <w:sz w:val="22"/>
              </w:rPr>
              <w:t>4</w:t>
            </w:r>
          </w:p>
        </w:tc>
      </w:tr>
    </w:tbl>
    <w:p w:rsidR="00E66558" w:rsidRDefault="00E66558" w14:paraId="2A7D5540" w14:textId="77777777">
      <w:pPr>
        <w:spacing w:before="240" w:after="0"/>
        <w:rPr>
          <w:b/>
          <w:bCs/>
          <w:color w:val="104F75"/>
          <w:sz w:val="28"/>
          <w:szCs w:val="28"/>
        </w:rPr>
      </w:pPr>
    </w:p>
    <w:p w:rsidR="00E66558" w:rsidP="0C170D51" w:rsidRDefault="009D71E8" w14:paraId="2A7D5541" w14:textId="2C54FD77">
      <w:pPr>
        <w:rPr>
          <w:i/>
          <w:iCs/>
          <w:color w:val="104F75"/>
          <w:sz w:val="28"/>
          <w:szCs w:val="28"/>
        </w:rPr>
      </w:pPr>
      <w:r w:rsidRPr="00FF7B7B">
        <w:rPr>
          <w:b/>
          <w:bCs/>
          <w:color w:val="104F75"/>
          <w:sz w:val="28"/>
          <w:szCs w:val="28"/>
        </w:rPr>
        <w:t>Total budgeted cost: £</w:t>
      </w:r>
      <w:r w:rsidR="00F636BF">
        <w:rPr>
          <w:b/>
          <w:bCs/>
          <w:color w:val="104F75"/>
          <w:sz w:val="28"/>
          <w:szCs w:val="28"/>
        </w:rPr>
        <w:t>68,080</w:t>
      </w:r>
    </w:p>
    <w:p w:rsidR="00E66558" w:rsidRDefault="009D71E8" w14:paraId="2A7D5542" w14:textId="77777777">
      <w:pPr>
        <w:pStyle w:val="Heading1"/>
      </w:pPr>
      <w:r>
        <w:lastRenderedPageBreak/>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7E31A171">
      <w:r>
        <w:t>This details the impact that our pupil premium activity had on pupils in the 202</w:t>
      </w:r>
      <w:r w:rsidR="00CE2F99">
        <w:t>2</w:t>
      </w:r>
      <w:r>
        <w:t xml:space="preserve"> to 202</w:t>
      </w:r>
      <w:r w:rsidR="00CE2F99">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6C0F73CB"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14841" w:rsidP="00914841" w:rsidRDefault="00914841" w14:paraId="3FEF9B2B" w14:textId="651997AF">
            <w:r>
              <w:t xml:space="preserve">The following data was collected for expected progress and above </w:t>
            </w:r>
            <w:r w:rsidR="0074529A">
              <w:t>and attainment from the end of year data point:</w:t>
            </w:r>
          </w:p>
          <w:tbl>
            <w:tblPr>
              <w:tblStyle w:val="TableGrid"/>
              <w:tblW w:w="0" w:type="auto"/>
              <w:tblInd w:w="0" w:type="dxa"/>
              <w:tblLook w:val="04A0" w:firstRow="1" w:lastRow="0" w:firstColumn="1" w:lastColumn="0" w:noHBand="0" w:noVBand="1"/>
            </w:tblPr>
            <w:tblGrid>
              <w:gridCol w:w="2326"/>
              <w:gridCol w:w="2283"/>
              <w:gridCol w:w="2329"/>
              <w:gridCol w:w="2329"/>
            </w:tblGrid>
            <w:tr w:rsidR="00CE2F99" w:rsidTr="00CE2F99" w14:paraId="4AE689DC" w14:textId="77777777">
              <w:trPr>
                <w:trHeight w:val="334"/>
              </w:trPr>
              <w:tc>
                <w:tcPr>
                  <w:tcW w:w="2326" w:type="dxa"/>
                  <w:tcBorders>
                    <w:top w:val="single" w:color="auto" w:sz="4" w:space="0"/>
                    <w:left w:val="single" w:color="auto" w:sz="4" w:space="0"/>
                    <w:bottom w:val="single" w:color="auto" w:sz="4" w:space="0"/>
                    <w:right w:val="single" w:color="auto" w:sz="4" w:space="0"/>
                  </w:tcBorders>
                  <w:hideMark/>
                </w:tcPr>
                <w:p w:rsidRPr="0074529A" w:rsidR="00CE2F99" w:rsidP="00914841" w:rsidRDefault="00CE2F99" w14:paraId="6620A40D" w14:textId="77777777">
                  <w:pPr>
                    <w:autoSpaceDN w:val="0"/>
                    <w:rPr>
                      <w:rFonts w:ascii="Arial" w:hAnsi="Arial" w:eastAsia="Times New Roman" w:cs="Arial"/>
                      <w:b/>
                      <w:sz w:val="22"/>
                      <w:szCs w:val="22"/>
                      <w:lang w:eastAsia="en-GB"/>
                    </w:rPr>
                  </w:pPr>
                  <w:r w:rsidRPr="0074529A">
                    <w:rPr>
                      <w:rFonts w:ascii="Arial" w:hAnsi="Arial" w:eastAsia="Times New Roman" w:cs="Arial"/>
                      <w:b/>
                      <w:sz w:val="22"/>
                      <w:szCs w:val="22"/>
                      <w:lang w:eastAsia="en-GB"/>
                    </w:rPr>
                    <w:t>Subject</w:t>
                  </w:r>
                </w:p>
              </w:tc>
              <w:tc>
                <w:tcPr>
                  <w:tcW w:w="2283" w:type="dxa"/>
                  <w:tcBorders>
                    <w:top w:val="single" w:color="auto" w:sz="4" w:space="0"/>
                    <w:left w:val="single" w:color="auto" w:sz="4" w:space="0"/>
                    <w:bottom w:val="single" w:color="auto" w:sz="4" w:space="0"/>
                    <w:right w:val="single" w:color="auto" w:sz="4" w:space="0"/>
                  </w:tcBorders>
                </w:tcPr>
                <w:p w:rsidRPr="0074529A" w:rsidR="00CE2F99" w:rsidP="00914841" w:rsidRDefault="00CE2F99" w14:paraId="20FE6DC6" w14:textId="77777777">
                  <w:pPr>
                    <w:rPr>
                      <w:rFonts w:ascii="Arial" w:hAnsi="Arial" w:cs="Arial"/>
                      <w:b/>
                      <w:sz w:val="22"/>
                      <w:szCs w:val="22"/>
                    </w:rPr>
                  </w:pPr>
                </w:p>
              </w:tc>
              <w:tc>
                <w:tcPr>
                  <w:tcW w:w="2329" w:type="dxa"/>
                  <w:tcBorders>
                    <w:top w:val="single" w:color="auto" w:sz="4" w:space="0"/>
                    <w:left w:val="single" w:color="auto" w:sz="4" w:space="0"/>
                    <w:bottom w:val="single" w:color="auto" w:sz="4" w:space="0"/>
                    <w:right w:val="single" w:color="auto" w:sz="4" w:space="0"/>
                  </w:tcBorders>
                  <w:hideMark/>
                </w:tcPr>
                <w:p w:rsidRPr="0074529A" w:rsidR="00CE2F99" w:rsidP="00914841" w:rsidRDefault="00CE2F99" w14:paraId="0D4261FD" w14:textId="59FEDA02">
                  <w:pPr>
                    <w:autoSpaceDN w:val="0"/>
                    <w:rPr>
                      <w:rFonts w:ascii="Arial" w:hAnsi="Arial" w:eastAsia="Times New Roman" w:cs="Arial"/>
                      <w:b/>
                      <w:sz w:val="22"/>
                      <w:szCs w:val="22"/>
                      <w:lang w:eastAsia="en-GB"/>
                    </w:rPr>
                  </w:pPr>
                  <w:r w:rsidRPr="0074529A">
                    <w:rPr>
                      <w:rFonts w:ascii="Arial" w:hAnsi="Arial" w:eastAsia="Times New Roman" w:cs="Arial"/>
                      <w:b/>
                      <w:sz w:val="22"/>
                      <w:szCs w:val="22"/>
                      <w:lang w:eastAsia="en-GB"/>
                    </w:rPr>
                    <w:t>Pupil Premium</w:t>
                  </w:r>
                </w:p>
              </w:tc>
              <w:tc>
                <w:tcPr>
                  <w:tcW w:w="2329" w:type="dxa"/>
                  <w:tcBorders>
                    <w:top w:val="single" w:color="auto" w:sz="4" w:space="0"/>
                    <w:left w:val="single" w:color="auto" w:sz="4" w:space="0"/>
                    <w:bottom w:val="single" w:color="auto" w:sz="4" w:space="0"/>
                    <w:right w:val="single" w:color="auto" w:sz="4" w:space="0"/>
                  </w:tcBorders>
                  <w:hideMark/>
                </w:tcPr>
                <w:p w:rsidRPr="0074529A" w:rsidR="00CE2F99" w:rsidP="00914841" w:rsidRDefault="00CE2F99" w14:paraId="46B5E387" w14:textId="77777777">
                  <w:pPr>
                    <w:autoSpaceDN w:val="0"/>
                    <w:rPr>
                      <w:rFonts w:ascii="Arial" w:hAnsi="Arial" w:eastAsia="Times New Roman" w:cs="Arial"/>
                      <w:b/>
                      <w:sz w:val="22"/>
                      <w:szCs w:val="22"/>
                      <w:lang w:eastAsia="en-GB"/>
                    </w:rPr>
                  </w:pPr>
                  <w:r w:rsidRPr="0074529A">
                    <w:rPr>
                      <w:rFonts w:ascii="Arial" w:hAnsi="Arial" w:eastAsia="Times New Roman" w:cs="Arial"/>
                      <w:b/>
                      <w:sz w:val="22"/>
                      <w:szCs w:val="22"/>
                      <w:lang w:eastAsia="en-GB"/>
                    </w:rPr>
                    <w:t>Non-Pupil Premium</w:t>
                  </w:r>
                </w:p>
              </w:tc>
            </w:tr>
            <w:tr w:rsidR="00CE2F99" w:rsidTr="00CE2F99" w14:paraId="731DB93E" w14:textId="77777777">
              <w:trPr>
                <w:trHeight w:val="341"/>
              </w:trPr>
              <w:tc>
                <w:tcPr>
                  <w:tcW w:w="2326" w:type="dxa"/>
                  <w:vMerge w:val="restart"/>
                  <w:tcBorders>
                    <w:top w:val="single" w:color="auto" w:sz="4" w:space="0"/>
                    <w:left w:val="single" w:color="auto" w:sz="4" w:space="0"/>
                    <w:right w:val="single" w:color="auto" w:sz="4" w:space="0"/>
                  </w:tcBorders>
                  <w:hideMark/>
                </w:tcPr>
                <w:p w:rsidRPr="0074529A" w:rsidR="00CE2F99" w:rsidP="00914841" w:rsidRDefault="00CE2F99" w14:paraId="09439245" w14:textId="77777777">
                  <w:pPr>
                    <w:autoSpaceDN w:val="0"/>
                    <w:rPr>
                      <w:rFonts w:ascii="Arial" w:hAnsi="Arial" w:eastAsia="Times New Roman" w:cs="Arial"/>
                      <w:b/>
                      <w:sz w:val="22"/>
                      <w:szCs w:val="22"/>
                      <w:lang w:eastAsia="en-GB"/>
                    </w:rPr>
                  </w:pPr>
                  <w:r w:rsidRPr="0074529A">
                    <w:rPr>
                      <w:rFonts w:ascii="Arial" w:hAnsi="Arial" w:eastAsia="Times New Roman" w:cs="Arial"/>
                      <w:b/>
                      <w:sz w:val="22"/>
                      <w:szCs w:val="22"/>
                      <w:lang w:eastAsia="en-GB"/>
                    </w:rPr>
                    <w:t>Reading</w:t>
                  </w:r>
                </w:p>
              </w:tc>
              <w:tc>
                <w:tcPr>
                  <w:tcW w:w="2283" w:type="dxa"/>
                  <w:tcBorders>
                    <w:top w:val="single" w:color="auto" w:sz="4" w:space="0"/>
                    <w:left w:val="single" w:color="auto" w:sz="4" w:space="0"/>
                    <w:bottom w:val="single" w:color="auto" w:sz="4" w:space="0"/>
                    <w:right w:val="single" w:color="auto" w:sz="4" w:space="0"/>
                  </w:tcBorders>
                </w:tcPr>
                <w:p w:rsidRPr="0074529A" w:rsidR="00CE2F99" w:rsidP="00914841" w:rsidRDefault="00CE2F99" w14:paraId="2C0B0981" w14:textId="0E8ADD15">
                  <w:pPr>
                    <w:rPr>
                      <w:rFonts w:ascii="Arial" w:hAnsi="Arial" w:cs="Arial"/>
                      <w:sz w:val="22"/>
                      <w:szCs w:val="22"/>
                    </w:rPr>
                  </w:pPr>
                  <w:r w:rsidRPr="0074529A">
                    <w:rPr>
                      <w:rFonts w:ascii="Arial" w:hAnsi="Arial" w:cs="Arial"/>
                      <w:sz w:val="22"/>
                      <w:szCs w:val="22"/>
                    </w:rPr>
                    <w:t>Attainment</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914841" w:rsidRDefault="002B7EDC" w14:paraId="004F1047" w14:textId="17B8F47A">
                  <w:pPr>
                    <w:autoSpaceDN w:val="0"/>
                    <w:rPr>
                      <w:rFonts w:ascii="Arial" w:hAnsi="Arial" w:eastAsia="Times New Roman" w:cs="Arial"/>
                      <w:sz w:val="22"/>
                      <w:szCs w:val="22"/>
                      <w:lang w:eastAsia="en-GB"/>
                    </w:rPr>
                  </w:pPr>
                  <w:r>
                    <w:rPr>
                      <w:rFonts w:ascii="Arial" w:hAnsi="Arial" w:eastAsia="Times New Roman" w:cs="Arial"/>
                      <w:sz w:val="22"/>
                      <w:szCs w:val="22"/>
                      <w:lang w:eastAsia="en-GB"/>
                    </w:rPr>
                    <w:t>41</w:t>
                  </w:r>
                  <w:r w:rsidR="0074529A">
                    <w:rPr>
                      <w:rFonts w:ascii="Arial" w:hAnsi="Arial" w:eastAsia="Times New Roman" w:cs="Arial"/>
                      <w:sz w:val="22"/>
                      <w:szCs w:val="22"/>
                      <w:lang w:eastAsia="en-GB"/>
                    </w:rPr>
                    <w:t>%</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914841" w:rsidRDefault="009107A7" w14:paraId="74301189" w14:textId="0CDDB44B">
                  <w:pPr>
                    <w:autoSpaceDN w:val="0"/>
                    <w:rPr>
                      <w:rFonts w:ascii="Arial" w:hAnsi="Arial" w:eastAsia="Times New Roman" w:cs="Arial"/>
                      <w:sz w:val="22"/>
                      <w:szCs w:val="22"/>
                      <w:lang w:eastAsia="en-GB"/>
                    </w:rPr>
                  </w:pPr>
                  <w:r>
                    <w:rPr>
                      <w:rFonts w:ascii="Arial" w:hAnsi="Arial" w:eastAsia="Times New Roman" w:cs="Arial"/>
                      <w:sz w:val="22"/>
                      <w:szCs w:val="22"/>
                      <w:lang w:eastAsia="en-GB"/>
                    </w:rPr>
                    <w:t>42</w:t>
                  </w:r>
                  <w:r w:rsidR="0074529A">
                    <w:rPr>
                      <w:rFonts w:ascii="Arial" w:hAnsi="Arial" w:eastAsia="Times New Roman" w:cs="Arial"/>
                      <w:sz w:val="22"/>
                      <w:szCs w:val="22"/>
                      <w:lang w:eastAsia="en-GB"/>
                    </w:rPr>
                    <w:t>%</w:t>
                  </w:r>
                </w:p>
              </w:tc>
            </w:tr>
            <w:tr w:rsidR="00CE2F99" w:rsidTr="00ED27C7" w14:paraId="2BB2C21E" w14:textId="77777777">
              <w:trPr>
                <w:trHeight w:val="341"/>
              </w:trPr>
              <w:tc>
                <w:tcPr>
                  <w:tcW w:w="2326" w:type="dxa"/>
                  <w:vMerge/>
                  <w:tcBorders>
                    <w:left w:val="single" w:color="auto" w:sz="4" w:space="0"/>
                    <w:bottom w:val="single" w:color="auto" w:sz="4" w:space="0"/>
                    <w:right w:val="single" w:color="auto" w:sz="4" w:space="0"/>
                  </w:tcBorders>
                </w:tcPr>
                <w:p w:rsidRPr="0074529A" w:rsidR="00CE2F99" w:rsidP="00914841" w:rsidRDefault="00CE2F99" w14:paraId="69561C34" w14:textId="77777777">
                  <w:pPr>
                    <w:rPr>
                      <w:rFonts w:ascii="Arial" w:hAnsi="Arial" w:cs="Arial"/>
                      <w:b/>
                      <w:sz w:val="22"/>
                      <w:szCs w:val="22"/>
                    </w:rPr>
                  </w:pPr>
                </w:p>
              </w:tc>
              <w:tc>
                <w:tcPr>
                  <w:tcW w:w="2283" w:type="dxa"/>
                  <w:tcBorders>
                    <w:top w:val="single" w:color="auto" w:sz="4" w:space="0"/>
                    <w:left w:val="single" w:color="auto" w:sz="4" w:space="0"/>
                    <w:bottom w:val="single" w:color="auto" w:sz="4" w:space="0"/>
                    <w:right w:val="single" w:color="auto" w:sz="4" w:space="0"/>
                  </w:tcBorders>
                </w:tcPr>
                <w:p w:rsidRPr="0074529A" w:rsidR="00CE2F99" w:rsidP="00914841" w:rsidRDefault="00CE2F99" w14:paraId="10D5D868" w14:textId="73F36B24">
                  <w:pPr>
                    <w:rPr>
                      <w:rFonts w:ascii="Arial" w:hAnsi="Arial" w:cs="Arial"/>
                      <w:sz w:val="22"/>
                      <w:szCs w:val="22"/>
                    </w:rPr>
                  </w:pPr>
                  <w:r w:rsidRPr="0074529A">
                    <w:rPr>
                      <w:rFonts w:ascii="Arial" w:hAnsi="Arial" w:cs="Arial"/>
                      <w:sz w:val="22"/>
                      <w:szCs w:val="22"/>
                    </w:rPr>
                    <w:t>Progress (Expected or better)</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914841" w:rsidRDefault="0074529A" w14:paraId="2784E70F" w14:textId="48AAF407">
                  <w:pPr>
                    <w:rPr>
                      <w:rFonts w:ascii="Arial" w:hAnsi="Arial" w:cs="Arial"/>
                      <w:sz w:val="22"/>
                      <w:szCs w:val="22"/>
                    </w:rPr>
                  </w:pPr>
                  <w:r>
                    <w:rPr>
                      <w:rFonts w:ascii="Arial" w:hAnsi="Arial" w:cs="Arial"/>
                      <w:sz w:val="22"/>
                      <w:szCs w:val="22"/>
                    </w:rPr>
                    <w:t>5</w:t>
                  </w:r>
                  <w:r w:rsidR="002B7EDC">
                    <w:rPr>
                      <w:rFonts w:ascii="Arial" w:hAnsi="Arial" w:cs="Arial"/>
                      <w:sz w:val="22"/>
                      <w:szCs w:val="22"/>
                    </w:rPr>
                    <w:t>4</w:t>
                  </w:r>
                  <w:r>
                    <w:rPr>
                      <w:rFonts w:ascii="Arial" w:hAnsi="Arial" w:cs="Arial"/>
                      <w:sz w:val="22"/>
                      <w:szCs w:val="22"/>
                    </w:rPr>
                    <w:t>%</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914841" w:rsidRDefault="009107A7" w14:paraId="30A10111" w14:textId="6AEEC390">
                  <w:pPr>
                    <w:rPr>
                      <w:rFonts w:ascii="Arial" w:hAnsi="Arial" w:cs="Arial"/>
                      <w:sz w:val="22"/>
                      <w:szCs w:val="22"/>
                    </w:rPr>
                  </w:pPr>
                  <w:r>
                    <w:rPr>
                      <w:rFonts w:ascii="Arial" w:hAnsi="Arial" w:cs="Arial"/>
                      <w:sz w:val="22"/>
                      <w:szCs w:val="22"/>
                    </w:rPr>
                    <w:t>80</w:t>
                  </w:r>
                  <w:r w:rsidR="0074529A">
                    <w:rPr>
                      <w:rFonts w:ascii="Arial" w:hAnsi="Arial" w:cs="Arial"/>
                      <w:sz w:val="22"/>
                      <w:szCs w:val="22"/>
                    </w:rPr>
                    <w:t>%</w:t>
                  </w:r>
                </w:p>
              </w:tc>
            </w:tr>
            <w:tr w:rsidR="00CE2F99" w:rsidTr="00CE2F99" w14:paraId="6457C1D6" w14:textId="77777777">
              <w:trPr>
                <w:trHeight w:val="334"/>
              </w:trPr>
              <w:tc>
                <w:tcPr>
                  <w:tcW w:w="2326" w:type="dxa"/>
                  <w:vMerge w:val="restart"/>
                  <w:tcBorders>
                    <w:top w:val="single" w:color="auto" w:sz="4" w:space="0"/>
                    <w:left w:val="single" w:color="auto" w:sz="4" w:space="0"/>
                    <w:right w:val="single" w:color="auto" w:sz="4" w:space="0"/>
                  </w:tcBorders>
                  <w:hideMark/>
                </w:tcPr>
                <w:p w:rsidRPr="0074529A" w:rsidR="00CE2F99" w:rsidP="00CE2F99" w:rsidRDefault="00CE2F99" w14:paraId="56586D24" w14:textId="77777777">
                  <w:pPr>
                    <w:autoSpaceDN w:val="0"/>
                    <w:rPr>
                      <w:rFonts w:ascii="Arial" w:hAnsi="Arial" w:eastAsia="Times New Roman" w:cs="Arial"/>
                      <w:b/>
                      <w:sz w:val="22"/>
                      <w:szCs w:val="22"/>
                      <w:lang w:eastAsia="en-GB"/>
                    </w:rPr>
                  </w:pPr>
                  <w:r w:rsidRPr="0074529A">
                    <w:rPr>
                      <w:rFonts w:ascii="Arial" w:hAnsi="Arial" w:eastAsia="Times New Roman" w:cs="Arial"/>
                      <w:b/>
                      <w:sz w:val="22"/>
                      <w:szCs w:val="22"/>
                      <w:lang w:eastAsia="en-GB"/>
                    </w:rPr>
                    <w:t>Writing</w:t>
                  </w:r>
                </w:p>
              </w:tc>
              <w:tc>
                <w:tcPr>
                  <w:tcW w:w="2283" w:type="dxa"/>
                  <w:tcBorders>
                    <w:top w:val="single" w:color="auto" w:sz="4" w:space="0"/>
                    <w:left w:val="single" w:color="auto" w:sz="4" w:space="0"/>
                    <w:bottom w:val="single" w:color="auto" w:sz="4" w:space="0"/>
                    <w:right w:val="single" w:color="auto" w:sz="4" w:space="0"/>
                  </w:tcBorders>
                </w:tcPr>
                <w:p w:rsidRPr="0074529A" w:rsidR="00CE2F99" w:rsidP="00CE2F99" w:rsidRDefault="00CE2F99" w14:paraId="4A229379" w14:textId="5CAAF8D5">
                  <w:pPr>
                    <w:rPr>
                      <w:rFonts w:ascii="Arial" w:hAnsi="Arial" w:cs="Arial"/>
                      <w:sz w:val="22"/>
                      <w:szCs w:val="22"/>
                    </w:rPr>
                  </w:pPr>
                  <w:r w:rsidRPr="0074529A">
                    <w:rPr>
                      <w:rFonts w:ascii="Arial" w:hAnsi="Arial" w:cs="Arial"/>
                      <w:sz w:val="22"/>
                      <w:szCs w:val="22"/>
                    </w:rPr>
                    <w:t>Attainment</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CE2F99" w:rsidRDefault="009107A7" w14:paraId="195FF465" w14:textId="70A12F4E">
                  <w:pPr>
                    <w:autoSpaceDN w:val="0"/>
                    <w:rPr>
                      <w:rFonts w:ascii="Arial" w:hAnsi="Arial" w:eastAsia="Times New Roman" w:cs="Arial"/>
                      <w:sz w:val="22"/>
                      <w:szCs w:val="22"/>
                      <w:lang w:eastAsia="en-GB"/>
                    </w:rPr>
                  </w:pPr>
                  <w:r>
                    <w:rPr>
                      <w:rFonts w:ascii="Arial" w:hAnsi="Arial" w:eastAsia="Times New Roman" w:cs="Arial"/>
                      <w:sz w:val="22"/>
                      <w:szCs w:val="22"/>
                      <w:lang w:eastAsia="en-GB"/>
                    </w:rPr>
                    <w:t>42</w:t>
                  </w:r>
                  <w:r w:rsidR="0074529A">
                    <w:rPr>
                      <w:rFonts w:ascii="Arial" w:hAnsi="Arial" w:eastAsia="Times New Roman" w:cs="Arial"/>
                      <w:sz w:val="22"/>
                      <w:szCs w:val="22"/>
                      <w:lang w:eastAsia="en-GB"/>
                    </w:rPr>
                    <w:t>%</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CE2F99" w:rsidRDefault="009107A7" w14:paraId="112F72E7" w14:textId="64BA770F">
                  <w:pPr>
                    <w:autoSpaceDN w:val="0"/>
                    <w:rPr>
                      <w:rFonts w:ascii="Arial" w:hAnsi="Arial" w:eastAsia="Times New Roman" w:cs="Arial"/>
                      <w:sz w:val="22"/>
                      <w:szCs w:val="22"/>
                      <w:lang w:eastAsia="en-GB"/>
                    </w:rPr>
                  </w:pPr>
                  <w:r>
                    <w:rPr>
                      <w:rFonts w:ascii="Arial" w:hAnsi="Arial" w:eastAsia="Times New Roman" w:cs="Arial"/>
                      <w:sz w:val="22"/>
                      <w:szCs w:val="22"/>
                      <w:lang w:eastAsia="en-GB"/>
                    </w:rPr>
                    <w:t>46</w:t>
                  </w:r>
                  <w:r w:rsidR="0074529A">
                    <w:rPr>
                      <w:rFonts w:ascii="Arial" w:hAnsi="Arial" w:eastAsia="Times New Roman" w:cs="Arial"/>
                      <w:sz w:val="22"/>
                      <w:szCs w:val="22"/>
                      <w:lang w:eastAsia="en-GB"/>
                    </w:rPr>
                    <w:t>%</w:t>
                  </w:r>
                </w:p>
              </w:tc>
            </w:tr>
            <w:tr w:rsidR="00CE2F99" w:rsidTr="00AF3188" w14:paraId="3B0C4DA8" w14:textId="77777777">
              <w:trPr>
                <w:trHeight w:val="334"/>
              </w:trPr>
              <w:tc>
                <w:tcPr>
                  <w:tcW w:w="2326" w:type="dxa"/>
                  <w:vMerge/>
                  <w:tcBorders>
                    <w:left w:val="single" w:color="auto" w:sz="4" w:space="0"/>
                    <w:bottom w:val="single" w:color="auto" w:sz="4" w:space="0"/>
                    <w:right w:val="single" w:color="auto" w:sz="4" w:space="0"/>
                  </w:tcBorders>
                </w:tcPr>
                <w:p w:rsidRPr="0074529A" w:rsidR="00CE2F99" w:rsidP="00CE2F99" w:rsidRDefault="00CE2F99" w14:paraId="2CB20889" w14:textId="77777777">
                  <w:pPr>
                    <w:rPr>
                      <w:rFonts w:ascii="Arial" w:hAnsi="Arial" w:cs="Arial"/>
                      <w:b/>
                      <w:sz w:val="22"/>
                      <w:szCs w:val="22"/>
                    </w:rPr>
                  </w:pPr>
                </w:p>
              </w:tc>
              <w:tc>
                <w:tcPr>
                  <w:tcW w:w="2283" w:type="dxa"/>
                  <w:tcBorders>
                    <w:top w:val="single" w:color="auto" w:sz="4" w:space="0"/>
                    <w:left w:val="single" w:color="auto" w:sz="4" w:space="0"/>
                    <w:bottom w:val="single" w:color="auto" w:sz="4" w:space="0"/>
                    <w:right w:val="single" w:color="auto" w:sz="4" w:space="0"/>
                  </w:tcBorders>
                </w:tcPr>
                <w:p w:rsidRPr="0074529A" w:rsidR="00CE2F99" w:rsidP="00CE2F99" w:rsidRDefault="00CE2F99" w14:paraId="226B136E" w14:textId="2618EB62">
                  <w:pPr>
                    <w:rPr>
                      <w:rFonts w:ascii="Arial" w:hAnsi="Arial" w:cs="Arial"/>
                      <w:sz w:val="22"/>
                      <w:szCs w:val="22"/>
                    </w:rPr>
                  </w:pPr>
                  <w:r w:rsidRPr="0074529A">
                    <w:rPr>
                      <w:rFonts w:ascii="Arial" w:hAnsi="Arial" w:cs="Arial"/>
                      <w:sz w:val="22"/>
                      <w:szCs w:val="22"/>
                    </w:rPr>
                    <w:t>Progress (Expected or better)</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CE2F99" w:rsidRDefault="009107A7" w14:paraId="44FE4CD5" w14:textId="6119D2B4">
                  <w:pPr>
                    <w:rPr>
                      <w:rFonts w:ascii="Arial" w:hAnsi="Arial" w:cs="Arial"/>
                      <w:sz w:val="22"/>
                      <w:szCs w:val="22"/>
                    </w:rPr>
                  </w:pPr>
                  <w:r>
                    <w:rPr>
                      <w:rFonts w:ascii="Arial" w:hAnsi="Arial" w:cs="Arial"/>
                      <w:sz w:val="22"/>
                      <w:szCs w:val="22"/>
                    </w:rPr>
                    <w:t>73</w:t>
                  </w:r>
                  <w:r w:rsidR="0074529A">
                    <w:rPr>
                      <w:rFonts w:ascii="Arial" w:hAnsi="Arial" w:cs="Arial"/>
                      <w:sz w:val="22"/>
                      <w:szCs w:val="22"/>
                    </w:rPr>
                    <w:t>%</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CE2F99" w:rsidRDefault="009107A7" w14:paraId="6AD651C8" w14:textId="508EB389">
                  <w:pPr>
                    <w:rPr>
                      <w:rFonts w:ascii="Arial" w:hAnsi="Arial" w:cs="Arial"/>
                      <w:sz w:val="22"/>
                      <w:szCs w:val="22"/>
                    </w:rPr>
                  </w:pPr>
                  <w:r>
                    <w:rPr>
                      <w:rFonts w:ascii="Arial" w:hAnsi="Arial" w:cs="Arial"/>
                      <w:sz w:val="22"/>
                      <w:szCs w:val="22"/>
                    </w:rPr>
                    <w:t>80</w:t>
                  </w:r>
                  <w:r w:rsidR="0074529A">
                    <w:rPr>
                      <w:rFonts w:ascii="Arial" w:hAnsi="Arial" w:cs="Arial"/>
                      <w:sz w:val="22"/>
                      <w:szCs w:val="22"/>
                    </w:rPr>
                    <w:t>%</w:t>
                  </w:r>
                </w:p>
              </w:tc>
            </w:tr>
            <w:tr w:rsidR="00CE2F99" w:rsidTr="00CE2F99" w14:paraId="298248E4" w14:textId="77777777">
              <w:trPr>
                <w:trHeight w:val="341"/>
              </w:trPr>
              <w:tc>
                <w:tcPr>
                  <w:tcW w:w="2326" w:type="dxa"/>
                  <w:vMerge w:val="restart"/>
                  <w:tcBorders>
                    <w:top w:val="single" w:color="auto" w:sz="4" w:space="0"/>
                    <w:left w:val="single" w:color="auto" w:sz="4" w:space="0"/>
                    <w:right w:val="single" w:color="auto" w:sz="4" w:space="0"/>
                  </w:tcBorders>
                  <w:hideMark/>
                </w:tcPr>
                <w:p w:rsidRPr="0074529A" w:rsidR="00CE2F99" w:rsidP="00CE2F99" w:rsidRDefault="00CE2F99" w14:paraId="15B4183E" w14:textId="77777777">
                  <w:pPr>
                    <w:autoSpaceDN w:val="0"/>
                    <w:rPr>
                      <w:rFonts w:ascii="Arial" w:hAnsi="Arial" w:eastAsia="Times New Roman" w:cs="Arial"/>
                      <w:b/>
                      <w:sz w:val="22"/>
                      <w:szCs w:val="22"/>
                      <w:lang w:eastAsia="en-GB"/>
                    </w:rPr>
                  </w:pPr>
                  <w:r w:rsidRPr="0074529A">
                    <w:rPr>
                      <w:rFonts w:ascii="Arial" w:hAnsi="Arial" w:eastAsia="Times New Roman" w:cs="Arial"/>
                      <w:b/>
                      <w:sz w:val="22"/>
                      <w:szCs w:val="22"/>
                      <w:lang w:eastAsia="en-GB"/>
                    </w:rPr>
                    <w:t>Maths</w:t>
                  </w:r>
                </w:p>
              </w:tc>
              <w:tc>
                <w:tcPr>
                  <w:tcW w:w="2283" w:type="dxa"/>
                  <w:tcBorders>
                    <w:top w:val="single" w:color="auto" w:sz="4" w:space="0"/>
                    <w:left w:val="single" w:color="auto" w:sz="4" w:space="0"/>
                    <w:bottom w:val="single" w:color="auto" w:sz="4" w:space="0"/>
                    <w:right w:val="single" w:color="auto" w:sz="4" w:space="0"/>
                  </w:tcBorders>
                </w:tcPr>
                <w:p w:rsidRPr="0074529A" w:rsidR="00CE2F99" w:rsidP="00CE2F99" w:rsidRDefault="00CE2F99" w14:paraId="0933452C" w14:textId="7F554982">
                  <w:pPr>
                    <w:rPr>
                      <w:rFonts w:ascii="Arial" w:hAnsi="Arial" w:cs="Arial"/>
                      <w:sz w:val="22"/>
                      <w:szCs w:val="22"/>
                    </w:rPr>
                  </w:pPr>
                  <w:r w:rsidRPr="0074529A">
                    <w:rPr>
                      <w:rFonts w:ascii="Arial" w:hAnsi="Arial" w:cs="Arial"/>
                      <w:sz w:val="22"/>
                      <w:szCs w:val="22"/>
                    </w:rPr>
                    <w:t>Attainment</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CE2F99" w:rsidRDefault="009107A7" w14:paraId="3912D2C6" w14:textId="01660C03">
                  <w:pPr>
                    <w:autoSpaceDN w:val="0"/>
                    <w:rPr>
                      <w:rFonts w:ascii="Arial" w:hAnsi="Arial" w:eastAsia="Times New Roman" w:cs="Arial"/>
                      <w:sz w:val="22"/>
                      <w:szCs w:val="22"/>
                      <w:lang w:eastAsia="en-GB"/>
                    </w:rPr>
                  </w:pPr>
                  <w:r>
                    <w:rPr>
                      <w:rFonts w:ascii="Arial" w:hAnsi="Arial" w:eastAsia="Times New Roman" w:cs="Arial"/>
                      <w:sz w:val="22"/>
                      <w:szCs w:val="22"/>
                      <w:lang w:eastAsia="en-GB"/>
                    </w:rPr>
                    <w:t>46</w:t>
                  </w:r>
                  <w:r w:rsidR="0074529A">
                    <w:rPr>
                      <w:rFonts w:ascii="Arial" w:hAnsi="Arial" w:eastAsia="Times New Roman" w:cs="Arial"/>
                      <w:sz w:val="22"/>
                      <w:szCs w:val="22"/>
                      <w:lang w:eastAsia="en-GB"/>
                    </w:rPr>
                    <w:t>%</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CE2F99" w:rsidRDefault="0074529A" w14:paraId="222CBE03" w14:textId="10916938">
                  <w:pPr>
                    <w:autoSpaceDN w:val="0"/>
                    <w:rPr>
                      <w:rFonts w:ascii="Arial" w:hAnsi="Arial" w:eastAsia="Times New Roman" w:cs="Arial"/>
                      <w:sz w:val="22"/>
                      <w:szCs w:val="22"/>
                      <w:lang w:eastAsia="en-GB"/>
                    </w:rPr>
                  </w:pPr>
                  <w:r>
                    <w:rPr>
                      <w:rFonts w:ascii="Arial" w:hAnsi="Arial" w:eastAsia="Times New Roman" w:cs="Arial"/>
                      <w:sz w:val="22"/>
                      <w:szCs w:val="22"/>
                      <w:lang w:eastAsia="en-GB"/>
                    </w:rPr>
                    <w:t>5</w:t>
                  </w:r>
                  <w:r w:rsidR="009107A7">
                    <w:rPr>
                      <w:rFonts w:ascii="Arial" w:hAnsi="Arial" w:eastAsia="Times New Roman" w:cs="Arial"/>
                      <w:sz w:val="22"/>
                      <w:szCs w:val="22"/>
                      <w:lang w:eastAsia="en-GB"/>
                    </w:rPr>
                    <w:t>0</w:t>
                  </w:r>
                  <w:r>
                    <w:rPr>
                      <w:rFonts w:ascii="Arial" w:hAnsi="Arial" w:eastAsia="Times New Roman" w:cs="Arial"/>
                      <w:sz w:val="22"/>
                      <w:szCs w:val="22"/>
                      <w:lang w:eastAsia="en-GB"/>
                    </w:rPr>
                    <w:t>%</w:t>
                  </w:r>
                </w:p>
              </w:tc>
            </w:tr>
            <w:tr w:rsidR="00CE2F99" w:rsidTr="006B1BC9" w14:paraId="390D3ABA" w14:textId="77777777">
              <w:trPr>
                <w:trHeight w:val="341"/>
              </w:trPr>
              <w:tc>
                <w:tcPr>
                  <w:tcW w:w="2326" w:type="dxa"/>
                  <w:vMerge/>
                  <w:tcBorders>
                    <w:left w:val="single" w:color="auto" w:sz="4" w:space="0"/>
                    <w:bottom w:val="single" w:color="auto" w:sz="4" w:space="0"/>
                    <w:right w:val="single" w:color="auto" w:sz="4" w:space="0"/>
                  </w:tcBorders>
                </w:tcPr>
                <w:p w:rsidRPr="0074529A" w:rsidR="00CE2F99" w:rsidP="00CE2F99" w:rsidRDefault="00CE2F99" w14:paraId="3EFF3F20" w14:textId="77777777">
                  <w:pPr>
                    <w:rPr>
                      <w:rFonts w:ascii="Arial" w:hAnsi="Arial" w:cs="Arial"/>
                      <w:sz w:val="22"/>
                      <w:szCs w:val="22"/>
                    </w:rPr>
                  </w:pPr>
                </w:p>
              </w:tc>
              <w:tc>
                <w:tcPr>
                  <w:tcW w:w="2283" w:type="dxa"/>
                  <w:tcBorders>
                    <w:top w:val="single" w:color="auto" w:sz="4" w:space="0"/>
                    <w:left w:val="single" w:color="auto" w:sz="4" w:space="0"/>
                    <w:bottom w:val="single" w:color="auto" w:sz="4" w:space="0"/>
                    <w:right w:val="single" w:color="auto" w:sz="4" w:space="0"/>
                  </w:tcBorders>
                </w:tcPr>
                <w:p w:rsidRPr="0074529A" w:rsidR="00CE2F99" w:rsidP="00CE2F99" w:rsidRDefault="00CE2F99" w14:paraId="10227719" w14:textId="05F1EB61">
                  <w:pPr>
                    <w:rPr>
                      <w:rFonts w:ascii="Arial" w:hAnsi="Arial" w:cs="Arial"/>
                      <w:sz w:val="22"/>
                      <w:szCs w:val="22"/>
                    </w:rPr>
                  </w:pPr>
                  <w:r w:rsidRPr="0074529A">
                    <w:rPr>
                      <w:rFonts w:ascii="Arial" w:hAnsi="Arial" w:cs="Arial"/>
                      <w:sz w:val="22"/>
                      <w:szCs w:val="22"/>
                    </w:rPr>
                    <w:t>Progress (Expected or better)</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CE2F99" w:rsidRDefault="0074529A" w14:paraId="61257DE6" w14:textId="47F8B5CB">
                  <w:pPr>
                    <w:rPr>
                      <w:rFonts w:ascii="Arial" w:hAnsi="Arial" w:cs="Arial"/>
                      <w:sz w:val="22"/>
                      <w:szCs w:val="22"/>
                    </w:rPr>
                  </w:pPr>
                  <w:r>
                    <w:rPr>
                      <w:rFonts w:ascii="Arial" w:hAnsi="Arial" w:cs="Arial"/>
                      <w:sz w:val="22"/>
                      <w:szCs w:val="22"/>
                    </w:rPr>
                    <w:t>5</w:t>
                  </w:r>
                  <w:r w:rsidR="009107A7">
                    <w:rPr>
                      <w:rFonts w:ascii="Arial" w:hAnsi="Arial" w:cs="Arial"/>
                      <w:sz w:val="22"/>
                      <w:szCs w:val="22"/>
                    </w:rPr>
                    <w:t>5</w:t>
                  </w:r>
                  <w:r>
                    <w:rPr>
                      <w:rFonts w:ascii="Arial" w:hAnsi="Arial" w:cs="Arial"/>
                      <w:sz w:val="22"/>
                      <w:szCs w:val="22"/>
                    </w:rPr>
                    <w:t>%</w:t>
                  </w:r>
                </w:p>
              </w:tc>
              <w:tc>
                <w:tcPr>
                  <w:tcW w:w="2329" w:type="dxa"/>
                  <w:tcBorders>
                    <w:top w:val="single" w:color="auto" w:sz="4" w:space="0"/>
                    <w:left w:val="single" w:color="auto" w:sz="4" w:space="0"/>
                    <w:bottom w:val="single" w:color="auto" w:sz="4" w:space="0"/>
                    <w:right w:val="single" w:color="auto" w:sz="4" w:space="0"/>
                  </w:tcBorders>
                </w:tcPr>
                <w:p w:rsidRPr="0074529A" w:rsidR="00CE2F99" w:rsidP="00CE2F99" w:rsidRDefault="009107A7" w14:paraId="765BC122" w14:textId="3B694F30">
                  <w:pPr>
                    <w:rPr>
                      <w:rFonts w:ascii="Arial" w:hAnsi="Arial" w:cs="Arial"/>
                      <w:sz w:val="22"/>
                      <w:szCs w:val="22"/>
                    </w:rPr>
                  </w:pPr>
                  <w:r>
                    <w:rPr>
                      <w:rFonts w:ascii="Arial" w:hAnsi="Arial" w:cs="Arial"/>
                      <w:sz w:val="22"/>
                      <w:szCs w:val="22"/>
                    </w:rPr>
                    <w:t>83</w:t>
                  </w:r>
                  <w:r w:rsidR="0074529A">
                    <w:rPr>
                      <w:rFonts w:ascii="Arial" w:hAnsi="Arial" w:cs="Arial"/>
                      <w:sz w:val="22"/>
                      <w:szCs w:val="22"/>
                    </w:rPr>
                    <w:t>%</w:t>
                  </w:r>
                </w:p>
              </w:tc>
            </w:tr>
          </w:tbl>
          <w:p w:rsidRPr="00914841" w:rsidR="00E66558" w:rsidP="00914841" w:rsidRDefault="004320C2" w14:paraId="2A7D5546" w14:textId="418140DE">
            <w:pPr>
              <w:rPr>
                <w:iCs/>
                <w:lang w:eastAsia="en-US"/>
              </w:rPr>
            </w:pPr>
            <w:r w:rsidRPr="00100A6A">
              <w:rPr>
                <w:iCs/>
                <w:highlight w:val="yellow"/>
                <w:lang w:eastAsia="en-US"/>
              </w:rPr>
              <w:t>Non-Pupil Premium children and Pupil Premium children are attending at the same level within Reading, Writing and Maths.  Non-Pupil Premium children and Pupil Premium are keeping the same progress in writing.  Non-Pupil Premium children are making better progress in reading and maths than Pupil Premium children.  In conclusion, we could suggest that the strategies which have been put into place are making a difference to the progress of all children and because of the characteristics of the Non-Pupil Premium child, they are achieving greater levels of progress.</w:t>
            </w: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Tr="030DDEDF"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914841" w:rsidTr="030DDEDF" w14:paraId="1547D47B"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914841" w:rsidRDefault="00914841" w14:paraId="41CC7AF9" w14:textId="77777777">
            <w:pPr>
              <w:spacing w:before="60" w:after="60" w:line="240" w:lineRule="auto"/>
              <w:ind w:left="57" w:right="57"/>
            </w:pPr>
            <w:r>
              <w:lastRenderedPageBreak/>
              <w:t>White Rose Maths – Mixed-Aged Planning</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914841" w:rsidRDefault="00914841" w14:paraId="5C9683B6" w14:textId="77777777">
            <w:pPr>
              <w:spacing w:before="60" w:after="60" w:line="240" w:lineRule="auto"/>
              <w:ind w:left="57" w:right="57"/>
              <w:rPr>
                <w:szCs w:val="20"/>
              </w:rPr>
            </w:pPr>
            <w:r>
              <w:rPr>
                <w:szCs w:val="20"/>
              </w:rPr>
              <w:t>White Rose</w:t>
            </w:r>
          </w:p>
        </w:tc>
      </w:tr>
      <w:tr w:rsidR="00914841" w:rsidTr="030DDEDF" w14:paraId="22E5A6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914841" w:rsidRDefault="00914841" w14:paraId="7FAF33B8" w14:textId="77777777">
            <w:pPr>
              <w:spacing w:before="60" w:after="60" w:line="240" w:lineRule="auto"/>
              <w:ind w:left="57" w:right="57"/>
            </w:pPr>
            <w:r>
              <w:t>Thrive Approach</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914841" w:rsidRDefault="00914841" w14:paraId="7F600D28" w14:textId="77777777">
            <w:pPr>
              <w:spacing w:before="60" w:after="60" w:line="240" w:lineRule="auto"/>
              <w:ind w:left="57" w:right="57"/>
              <w:rPr>
                <w:szCs w:val="20"/>
              </w:rPr>
            </w:pPr>
            <w:r>
              <w:rPr>
                <w:szCs w:val="20"/>
              </w:rPr>
              <w:t>Thrive</w:t>
            </w:r>
          </w:p>
        </w:tc>
      </w:tr>
      <w:tr w:rsidR="00914841" w:rsidTr="030DDEDF" w14:paraId="2D466D1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914841" w:rsidRDefault="00914841" w14:paraId="5F2B970C" w14:textId="77777777">
            <w:pPr>
              <w:spacing w:before="60" w:after="60" w:line="240" w:lineRule="auto"/>
              <w:ind w:left="57" w:right="57"/>
            </w:pPr>
            <w:r>
              <w:t xml:space="preserve">Little </w:t>
            </w:r>
            <w:proofErr w:type="spellStart"/>
            <w:r>
              <w:t>Wandle</w:t>
            </w:r>
            <w:proofErr w:type="spellEnd"/>
            <w:r>
              <w:t xml:space="preserve"> Phonics 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914841" w:rsidRDefault="00914841" w14:paraId="264E84B9" w14:textId="77777777">
            <w:pPr>
              <w:spacing w:before="60" w:after="60" w:line="240" w:lineRule="auto"/>
              <w:ind w:left="57" w:right="57"/>
              <w:rPr>
                <w:szCs w:val="20"/>
              </w:rPr>
            </w:pPr>
            <w:proofErr w:type="spellStart"/>
            <w:r>
              <w:rPr>
                <w:szCs w:val="20"/>
              </w:rPr>
              <w:t>Wandle</w:t>
            </w:r>
            <w:proofErr w:type="spellEnd"/>
            <w:r>
              <w:rPr>
                <w:szCs w:val="20"/>
              </w:rPr>
              <w:t xml:space="preserve"> and Little Sutton English Hubs</w:t>
            </w:r>
          </w:p>
        </w:tc>
      </w:tr>
      <w:tr w:rsidR="00914841" w:rsidTr="030DDEDF" w14:paraId="3BCED8AE"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914841" w:rsidRDefault="00914841" w14:paraId="01D515C8" w14:textId="77777777">
            <w:pPr>
              <w:spacing w:before="60" w:after="60" w:line="240" w:lineRule="auto"/>
              <w:ind w:left="57" w:right="57"/>
            </w:pPr>
            <w:r>
              <w:t xml:space="preserve">TT </w:t>
            </w:r>
            <w:proofErr w:type="spellStart"/>
            <w:r>
              <w:t>Rockstars</w:t>
            </w:r>
            <w:proofErr w:type="spellEnd"/>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914841" w:rsidRDefault="00F636BF" w14:paraId="66B15320" w14:textId="691E55B4">
            <w:pPr>
              <w:spacing w:before="60" w:after="60" w:line="240" w:lineRule="auto"/>
              <w:ind w:left="57" w:right="57"/>
              <w:rPr>
                <w:szCs w:val="20"/>
              </w:rPr>
            </w:pPr>
            <w:proofErr w:type="spellStart"/>
            <w:r>
              <w:rPr>
                <w:szCs w:val="20"/>
              </w:rPr>
              <w:t>EShed</w:t>
            </w:r>
            <w:proofErr w:type="spellEnd"/>
          </w:p>
        </w:tc>
      </w:tr>
      <w:tr w:rsidR="00914841" w:rsidTr="030DDEDF" w14:paraId="03113F6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914841" w:rsidRDefault="00914841" w14:paraId="095B64D4" w14:textId="77777777">
            <w:pPr>
              <w:spacing w:before="60" w:after="60" w:line="240" w:lineRule="auto"/>
              <w:ind w:left="57" w:right="57"/>
            </w:pPr>
            <w:r>
              <w:t>Spelling Shed</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914841" w:rsidRDefault="00F636BF" w14:paraId="1237D5C9" w14:textId="2822445D">
            <w:pPr>
              <w:spacing w:before="60" w:after="60" w:line="240" w:lineRule="auto"/>
              <w:ind w:left="57" w:right="57"/>
              <w:rPr>
                <w:szCs w:val="20"/>
              </w:rPr>
            </w:pPr>
            <w:r>
              <w:rPr>
                <w:szCs w:val="20"/>
              </w:rPr>
              <w:t>ES</w:t>
            </w:r>
            <w:bookmarkStart w:name="_GoBack" w:id="17"/>
            <w:bookmarkEnd w:id="17"/>
            <w:r>
              <w:rPr>
                <w:szCs w:val="20"/>
              </w:rPr>
              <w:t>hed</w:t>
            </w:r>
          </w:p>
        </w:tc>
      </w:tr>
      <w:tr w:rsidR="00F636BF" w:rsidTr="030DDEDF" w14:paraId="65DE953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636BF" w:rsidP="030DDEDF" w:rsidRDefault="00F636BF" w14:paraId="178BB876" w14:textId="0F32D91E" w14:noSpellErr="1">
            <w:pPr>
              <w:spacing w:before="60" w:after="60" w:line="240" w:lineRule="auto"/>
              <w:ind w:left="57" w:right="57"/>
              <w:rPr>
                <w:highlight w:val="yellow"/>
              </w:rPr>
            </w:pPr>
            <w:r w:rsidRPr="030DDEDF" w:rsidR="00F636BF">
              <w:rPr>
                <w:highlight w:val="yellow"/>
              </w:rPr>
              <w:t>Reading Plus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636BF" w:rsidP="030DDEDF" w:rsidRDefault="00F636BF" w14:paraId="66304BF3" w14:textId="07A4AC28" w14:noSpellErr="1">
            <w:pPr>
              <w:spacing w:before="60" w:after="60" w:line="240" w:lineRule="auto"/>
              <w:ind w:left="57" w:right="57"/>
              <w:rPr>
                <w:highlight w:val="yellow"/>
              </w:rPr>
            </w:pPr>
            <w:r w:rsidRPr="030DDEDF" w:rsidR="00F636BF">
              <w:rPr>
                <w:highlight w:val="yellow"/>
              </w:rPr>
              <w:t>Dream Box</w:t>
            </w:r>
          </w:p>
        </w:tc>
      </w:tr>
    </w:tbl>
    <w:p w:rsidR="00E66558" w:rsidRDefault="00E66558" w14:paraId="2A7D555E" w14:textId="77777777"/>
    <w:p w:rsidR="00E66558" w:rsidRDefault="00E66558" w14:paraId="2A7D555F" w14:textId="77777777">
      <w:pPr>
        <w:spacing w:after="0" w:line="240" w:lineRule="auto"/>
      </w:pPr>
    </w:p>
    <w:bookmarkEnd w:id="14"/>
    <w:bookmarkEnd w:id="15"/>
    <w:bookmarkEnd w:id="16"/>
    <w:p w:rsidR="00E66558" w:rsidRDefault="00E66558" w14:paraId="2A7D5564" w14:textId="77777777"/>
    <w:sectPr w:rsidR="00E66558">
      <w:headerReference w:type="default" r:id="rId10"/>
      <w:footerReference w:type="default" r:id="rId1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DBA" w:rsidRDefault="005F4DBA" w14:paraId="71E49715" w14:textId="77777777">
      <w:pPr>
        <w:spacing w:after="0" w:line="240" w:lineRule="auto"/>
      </w:pPr>
      <w:r>
        <w:separator/>
      </w:r>
    </w:p>
  </w:endnote>
  <w:endnote w:type="continuationSeparator" w:id="0">
    <w:p w:rsidR="005F4DBA" w:rsidRDefault="005F4DBA" w14:paraId="2D6F89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DBA" w:rsidRDefault="005F4DBA" w14:paraId="115C44E2" w14:textId="77777777">
      <w:pPr>
        <w:spacing w:after="0" w:line="240" w:lineRule="auto"/>
      </w:pPr>
      <w:r>
        <w:separator/>
      </w:r>
    </w:p>
  </w:footnote>
  <w:footnote w:type="continuationSeparator" w:id="0">
    <w:p w:rsidR="005F4DBA" w:rsidRDefault="005F4DBA" w14:paraId="603350B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F636BF"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CC4EE6"/>
    <w:multiLevelType w:val="hybridMultilevel"/>
    <w:tmpl w:val="639A97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3B4"/>
    <w:rsid w:val="00060A6B"/>
    <w:rsid w:val="00066B73"/>
    <w:rsid w:val="000B58DC"/>
    <w:rsid w:val="00100A6A"/>
    <w:rsid w:val="00120AB1"/>
    <w:rsid w:val="001B1A67"/>
    <w:rsid w:val="00257787"/>
    <w:rsid w:val="002B4237"/>
    <w:rsid w:val="002B7EDC"/>
    <w:rsid w:val="002E695D"/>
    <w:rsid w:val="0037437C"/>
    <w:rsid w:val="003A01F1"/>
    <w:rsid w:val="004044AA"/>
    <w:rsid w:val="004320C2"/>
    <w:rsid w:val="00453997"/>
    <w:rsid w:val="00457E73"/>
    <w:rsid w:val="005F4DBA"/>
    <w:rsid w:val="00634238"/>
    <w:rsid w:val="00635FBC"/>
    <w:rsid w:val="006E6B4A"/>
    <w:rsid w:val="006E7FB1"/>
    <w:rsid w:val="00741B9E"/>
    <w:rsid w:val="0074529A"/>
    <w:rsid w:val="007C2F04"/>
    <w:rsid w:val="008C53D3"/>
    <w:rsid w:val="009107A7"/>
    <w:rsid w:val="00914841"/>
    <w:rsid w:val="00966F50"/>
    <w:rsid w:val="009D71E8"/>
    <w:rsid w:val="009E0495"/>
    <w:rsid w:val="00BF22A6"/>
    <w:rsid w:val="00C542F5"/>
    <w:rsid w:val="00CE2F99"/>
    <w:rsid w:val="00CF3CBC"/>
    <w:rsid w:val="00D06874"/>
    <w:rsid w:val="00D12646"/>
    <w:rsid w:val="00D33FE5"/>
    <w:rsid w:val="00D578C9"/>
    <w:rsid w:val="00DD2465"/>
    <w:rsid w:val="00DE3808"/>
    <w:rsid w:val="00DE6129"/>
    <w:rsid w:val="00E35DF1"/>
    <w:rsid w:val="00E62A78"/>
    <w:rsid w:val="00E66558"/>
    <w:rsid w:val="00ED010A"/>
    <w:rsid w:val="00F636BF"/>
    <w:rsid w:val="00F81F04"/>
    <w:rsid w:val="00FF7B7B"/>
    <w:rsid w:val="030DDEDF"/>
    <w:rsid w:val="03167DA0"/>
    <w:rsid w:val="08AEB321"/>
    <w:rsid w:val="0C170D51"/>
    <w:rsid w:val="0C25B463"/>
    <w:rsid w:val="10271E95"/>
    <w:rsid w:val="11797D8D"/>
    <w:rsid w:val="16F0284C"/>
    <w:rsid w:val="1C860759"/>
    <w:rsid w:val="1F0B1703"/>
    <w:rsid w:val="1F9534F1"/>
    <w:rsid w:val="200EB305"/>
    <w:rsid w:val="21908C8E"/>
    <w:rsid w:val="253B5324"/>
    <w:rsid w:val="28609AEB"/>
    <w:rsid w:val="29284EF3"/>
    <w:rsid w:val="293DCAA9"/>
    <w:rsid w:val="2A45DA5E"/>
    <w:rsid w:val="2B1E4013"/>
    <w:rsid w:val="34401D98"/>
    <w:rsid w:val="3530EEE6"/>
    <w:rsid w:val="37A53188"/>
    <w:rsid w:val="38442B4A"/>
    <w:rsid w:val="4477AA3A"/>
    <w:rsid w:val="449F0542"/>
    <w:rsid w:val="46794B65"/>
    <w:rsid w:val="4C93BEA3"/>
    <w:rsid w:val="51645FED"/>
    <w:rsid w:val="51DC6669"/>
    <w:rsid w:val="58F1B8B1"/>
    <w:rsid w:val="61BC401A"/>
    <w:rsid w:val="62699414"/>
    <w:rsid w:val="6700A50F"/>
    <w:rsid w:val="6A580A09"/>
    <w:rsid w:val="6C0F73CB"/>
    <w:rsid w:val="6C7E6C65"/>
    <w:rsid w:val="70858FEB"/>
    <w:rsid w:val="7974260B"/>
    <w:rsid w:val="7B0FF66C"/>
    <w:rsid w:val="7D5BC1C1"/>
    <w:rsid w:val="7F6C2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table" w:styleId="TableGrid">
    <w:name w:val="Table Grid"/>
    <w:basedOn w:val="TableNormal"/>
    <w:uiPriority w:val="39"/>
    <w:rsid w:val="00914841"/>
    <w:pPr>
      <w:autoSpaceDN/>
    </w:pPr>
    <w:rPr>
      <w:rFonts w:asciiTheme="minorHAnsi" w:hAnsiTheme="minorHAnsi" w:eastAsiaTheme="minorHAnsi" w:cstheme="minorBidi"/>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96971">
      <w:bodyDiv w:val="1"/>
      <w:marLeft w:val="0"/>
      <w:marRight w:val="0"/>
      <w:marTop w:val="0"/>
      <w:marBottom w:val="0"/>
      <w:divBdr>
        <w:top w:val="none" w:sz="0" w:space="0" w:color="auto"/>
        <w:left w:val="none" w:sz="0" w:space="0" w:color="auto"/>
        <w:bottom w:val="none" w:sz="0" w:space="0" w:color="auto"/>
        <w:right w:val="none" w:sz="0" w:space="0" w:color="auto"/>
      </w:divBdr>
    </w:div>
    <w:div w:id="128164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8" ma:contentTypeDescription="Create a new document." ma:contentTypeScope="" ma:versionID="0fe2e04483f362b2537fb3448140be6d">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e0701b84ebc8cd3055447e66579016eb"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2A3DC-C4D1-4D0B-AE94-0292C50A08D9}">
  <ds:schemaRefs>
    <ds:schemaRef ds:uri="http://schemas.microsoft.com/office/infopath/2007/PartnerControls"/>
    <ds:schemaRef ds:uri="http://purl.org/dc/elements/1.1/"/>
    <ds:schemaRef ds:uri="http://schemas.microsoft.com/office/2006/metadata/properties"/>
    <ds:schemaRef ds:uri="9f9b07cf-d70d-4183-a823-0de9bb675dab"/>
    <ds:schemaRef ds:uri="7db00ae3-145f-4aeb-a9c3-1e0289ac1cd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F54A3F2-C4C6-4C56-BC3C-45C14AFC23A8}">
  <ds:schemaRefs>
    <ds:schemaRef ds:uri="http://schemas.microsoft.com/sharepoint/v3/contenttype/forms"/>
  </ds:schemaRefs>
</ds:datastoreItem>
</file>

<file path=customXml/itemProps3.xml><?xml version="1.0" encoding="utf-8"?>
<ds:datastoreItem xmlns:ds="http://schemas.openxmlformats.org/officeDocument/2006/customXml" ds:itemID="{D5100168-AEA1-43CA-B682-367842B34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Annette Birmingham</lastModifiedBy>
  <revision>4</revision>
  <lastPrinted>2023-09-25T19:14:00.0000000Z</lastPrinted>
  <dcterms:created xsi:type="dcterms:W3CDTF">2024-09-17T10:41:00.0000000Z</dcterms:created>
  <dcterms:modified xsi:type="dcterms:W3CDTF">2024-09-17T20:38:56.4222532Z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0x010100CCCF234D5CAAE048A5A527968EBB12F3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