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81"/>
        <w:tblW w:w="107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7569"/>
      </w:tblGrid>
      <w:tr w:rsidR="00586106" w:rsidRPr="006D4638" w14:paraId="44296181" w14:textId="77777777" w:rsidTr="00EA7290">
        <w:trPr>
          <w:trHeight w:val="2833"/>
          <w:tblCellSpacing w:w="0" w:type="dxa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28D96" w14:textId="67FADD1F" w:rsidR="00586106" w:rsidRDefault="00586106" w:rsidP="00EA7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 </w:t>
            </w:r>
            <w:r w:rsidR="000B7EF4">
              <w:rPr>
                <w:noProof/>
              </w:rPr>
              <w:drawing>
                <wp:inline distT="0" distB="0" distL="0" distR="0" wp14:anchorId="1E01D8AA" wp14:editId="1E771A3F">
                  <wp:extent cx="1181100" cy="1417320"/>
                  <wp:effectExtent l="0" t="0" r="0" b="0"/>
                  <wp:docPr id="4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E8B16" w14:textId="1503100E" w:rsidR="00586106" w:rsidRDefault="00586106" w:rsidP="00EA7290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A8B6F" w14:textId="77777777" w:rsidR="00586106" w:rsidRPr="00640FE8" w:rsidRDefault="00586106" w:rsidP="00EA7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640FE8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Our school is adopting a Mastery approach to mathematics.</w:t>
            </w:r>
          </w:p>
          <w:p w14:paraId="6883DCE4" w14:textId="77777777" w:rsidR="00586106" w:rsidRPr="00640FE8" w:rsidRDefault="00586106" w:rsidP="00EA7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640FE8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We use the White Rose Maths scheme from Year 1 to 6, supplemented by various other mastery materials.</w:t>
            </w:r>
          </w:p>
          <w:p w14:paraId="25BE002E" w14:textId="77777777" w:rsidR="00586106" w:rsidRPr="00640FE8" w:rsidRDefault="00586106" w:rsidP="00EA7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640FE8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Underpinning the use of these materials are the key points as described below.</w:t>
            </w:r>
          </w:p>
          <w:p w14:paraId="0519A707" w14:textId="77777777" w:rsidR="00586106" w:rsidRPr="006D4638" w:rsidRDefault="00586106" w:rsidP="00EA72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40FE8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What can you expect?</w:t>
            </w:r>
          </w:p>
        </w:tc>
        <w:bookmarkStart w:id="0" w:name="_GoBack"/>
        <w:bookmarkEnd w:id="0"/>
      </w:tr>
      <w:tr w:rsidR="00586106" w:rsidRPr="006D4638" w14:paraId="54DB70F3" w14:textId="77777777" w:rsidTr="00EA7290">
        <w:trPr>
          <w:trHeight w:val="397"/>
          <w:tblCellSpacing w:w="0" w:type="dxa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E60EB" w14:textId="77777777" w:rsidR="00586106" w:rsidRPr="006D4638" w:rsidRDefault="00586106" w:rsidP="00EA729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40F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en-GB"/>
              </w:rPr>
              <w:t xml:space="preserve">  </w:t>
            </w:r>
            <w:r w:rsidRPr="006D463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  <w:lang w:eastAsia="en-GB"/>
              </w:rPr>
              <w:t>Structure of our class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  <w:lang w:eastAsia="en-GB"/>
              </w:rPr>
              <w:t>es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8BCB0" w14:textId="77777777" w:rsidR="00586106" w:rsidRPr="006D4638" w:rsidRDefault="00586106" w:rsidP="00EA729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40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  </w:t>
            </w:r>
            <w:r w:rsidRPr="006D463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  <w:lang w:eastAsia="en-GB"/>
              </w:rPr>
              <w:t>Structure of our learning</w:t>
            </w:r>
          </w:p>
        </w:tc>
      </w:tr>
      <w:tr w:rsidR="00586106" w:rsidRPr="006D4638" w14:paraId="5D9DD811" w14:textId="77777777" w:rsidTr="00EA7290">
        <w:trPr>
          <w:trHeight w:val="1078"/>
          <w:tblCellSpacing w:w="0" w:type="dxa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8EFED" w14:textId="742CFCDF" w:rsidR="00586106" w:rsidRPr="006D4638" w:rsidRDefault="00586106" w:rsidP="00EA7290">
            <w:pPr>
              <w:numPr>
                <w:ilvl w:val="0"/>
                <w:numId w:val="7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A Mastery approach rejects the idea that some children ‘can’t do maths’.  We </w:t>
            </w:r>
            <w:r w:rsidR="00640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believe </w:t>
            </w: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that all children can achieve well in maths.</w:t>
            </w:r>
          </w:p>
          <w:p w14:paraId="7D68FBCF" w14:textId="77777777" w:rsidR="00586106" w:rsidRPr="006D4638" w:rsidRDefault="00586106" w:rsidP="00EA7290">
            <w:pPr>
              <w:numPr>
                <w:ilvl w:val="0"/>
                <w:numId w:val="7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Children will support each other’s learning in mixed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attainment</w:t>
            </w: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 pairs.</w:t>
            </w:r>
          </w:p>
          <w:p w14:paraId="3F91348E" w14:textId="77777777" w:rsidR="00586106" w:rsidRPr="006D4638" w:rsidRDefault="00586106" w:rsidP="00EA7290">
            <w:pPr>
              <w:numPr>
                <w:ilvl w:val="0"/>
                <w:numId w:val="7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Children will use carefully chosen equipment to represent mathematical problems to expose mathematical structures.</w:t>
            </w:r>
          </w:p>
          <w:p w14:paraId="4099F072" w14:textId="77777777" w:rsidR="00586106" w:rsidRPr="006D4638" w:rsidRDefault="00586106" w:rsidP="00EA7290">
            <w:pPr>
              <w:numPr>
                <w:ilvl w:val="0"/>
                <w:numId w:val="7"/>
              </w:num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D463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Children can talk about and explain the mathematics they are learning.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A1C7A" w14:textId="15AFF872" w:rsidR="00586106" w:rsidRDefault="00586106" w:rsidP="00EA729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Our maths lessons last 45 mins, </w:t>
            </w:r>
            <w:r w:rsidR="000B7EF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and follow the structure:</w:t>
            </w: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3BB27F86" w14:textId="77777777" w:rsidR="000B7EF4" w:rsidRPr="000B7EF4" w:rsidRDefault="000B7EF4" w:rsidP="00EA7290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7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‘Review and Do’ </w:t>
            </w:r>
            <w:r w:rsidRPr="000B7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related to previous learning, to strengthen children’s retention of knowledge.</w:t>
            </w:r>
          </w:p>
          <w:p w14:paraId="49D31C29" w14:textId="77777777" w:rsidR="000B7EF4" w:rsidRPr="000B7EF4" w:rsidRDefault="000B7EF4" w:rsidP="00EA7290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7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Teach, Model &amp; Scaffold- </w:t>
            </w:r>
            <w:r w:rsidRPr="000B7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Explicit teaching and modelling (Examples: Use of interactive whiteboard, concrete resources, pictorial representations and abstract as appropriate)</w:t>
            </w:r>
          </w:p>
          <w:p w14:paraId="42EC1AA0" w14:textId="77777777" w:rsidR="000B7EF4" w:rsidRPr="000B7EF4" w:rsidRDefault="000B7EF4" w:rsidP="00EA7290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7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Practise – </w:t>
            </w:r>
            <w:r w:rsidRPr="000B7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could be independent on whiteboards or jotters, partner talk, and may include using resources.</w:t>
            </w:r>
          </w:p>
          <w:p w14:paraId="76C63BC5" w14:textId="77777777" w:rsidR="000B7EF4" w:rsidRPr="000B7EF4" w:rsidRDefault="000B7EF4" w:rsidP="00EA7290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7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Apply- </w:t>
            </w:r>
            <w:r w:rsidRPr="000B7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activity including fluency, reasoning and problem solving.</w:t>
            </w:r>
          </w:p>
          <w:p w14:paraId="2DEFF7FE" w14:textId="77777777" w:rsidR="000B7EF4" w:rsidRPr="000B7EF4" w:rsidRDefault="000B7EF4" w:rsidP="00EA7290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7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Consolidate- </w:t>
            </w:r>
            <w:r w:rsidRPr="000B7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Reasoning or problem-solving question to end every maths lesson (whole class).</w:t>
            </w:r>
          </w:p>
          <w:p w14:paraId="55137712" w14:textId="379A77D4" w:rsidR="00586106" w:rsidRPr="008352B8" w:rsidRDefault="00586106" w:rsidP="00EA729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Our learning uses a Concrete Pictorial Abstract model.</w:t>
            </w:r>
          </w:p>
          <w:p w14:paraId="66CBC607" w14:textId="77777777" w:rsidR="00586106" w:rsidRPr="008352B8" w:rsidRDefault="00586106" w:rsidP="00EA729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Through careful lesson planning, all children are on a learning journey together from a shared starting point through small coherent steps that are achievable by all.</w:t>
            </w:r>
          </w:p>
          <w:p w14:paraId="3278E83D" w14:textId="77777777" w:rsidR="00586106" w:rsidRPr="00BA271A" w:rsidRDefault="00586106" w:rsidP="00EA7290">
            <w:pPr>
              <w:numPr>
                <w:ilvl w:val="0"/>
                <w:numId w:val="8"/>
              </w:num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The whole class is taught mathematics together </w:t>
            </w:r>
            <w:r w:rsidRPr="00BA271A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in their own mixed ability classes, moving through the same curriculum at broadly the same pace</w:t>
            </w:r>
            <w:r w:rsidRPr="008352B8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 xml:space="preserve">. </w:t>
            </w:r>
            <w:r w:rsidRPr="00BA271A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All</w:t>
            </w:r>
            <w:r w:rsidRPr="008352B8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 xml:space="preserve"> of</w:t>
            </w:r>
            <w:r w:rsidRPr="00BA271A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 xml:space="preserve"> the children are exposed to both </w:t>
            </w:r>
            <w:r w:rsidRPr="008352B8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 xml:space="preserve">years </w:t>
            </w:r>
            <w:r w:rsidRPr="00BA271A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maths objectives throughout the year and the same objectives are then repeated the following year</w:t>
            </w:r>
            <w:r w:rsidRPr="008352B8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 xml:space="preserve">. This enables the </w:t>
            </w:r>
            <w:r w:rsidRPr="008352B8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children to consolidate their understanding and deepen </w:t>
            </w: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their </w:t>
            </w:r>
            <w:r w:rsidRPr="008352B8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conceptual understanding which allows </w:t>
            </w: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the </w:t>
            </w:r>
            <w:r w:rsidRPr="008352B8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children to progress from where they were the previous year.</w:t>
            </w:r>
          </w:p>
          <w:p w14:paraId="63724300" w14:textId="77777777" w:rsidR="00586106" w:rsidRPr="008352B8" w:rsidRDefault="00586106" w:rsidP="00EA72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Our children’s learning needs are addressed by careful scaffolding, skilful questioning and by offering 3 levels of challenge.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We feel that t</w:t>
            </w: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his is appropriate for our mixed age classes and their wide range of ability. </w:t>
            </w:r>
          </w:p>
          <w:p w14:paraId="318144D9" w14:textId="77777777" w:rsidR="00586106" w:rsidRPr="00586106" w:rsidRDefault="00586106" w:rsidP="00EA72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Children are encouraged to choose their own level of challenge depending on how confident they are feeling during each lesson. Teachers ensure that there are tasks available that are accessible </w:t>
            </w: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to</w:t>
            </w:r>
            <w:r w:rsidRPr="008352B8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all children linked to the</w:t>
            </w: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daily l</w:t>
            </w:r>
            <w:r w:rsidRPr="008352B8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esson objective. </w:t>
            </w:r>
          </w:p>
          <w:p w14:paraId="473AF73F" w14:textId="77777777" w:rsidR="00586106" w:rsidRPr="008352B8" w:rsidRDefault="00586106" w:rsidP="00EA72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Challenges will be available to all for deep learning, reasoning and </w:t>
            </w:r>
            <w:proofErr w:type="gramStart"/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open ended</w:t>
            </w:r>
            <w:proofErr w:type="gramEnd"/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challenging problems.</w:t>
            </w:r>
          </w:p>
          <w:p w14:paraId="3C2C117D" w14:textId="77777777" w:rsidR="00586106" w:rsidRPr="008352B8" w:rsidRDefault="00586106" w:rsidP="00EA72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SEN children are given personalised outcomes.</w:t>
            </w:r>
          </w:p>
          <w:p w14:paraId="01A7CDF1" w14:textId="77777777" w:rsidR="00586106" w:rsidRPr="008352B8" w:rsidRDefault="00586106" w:rsidP="00EA72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The reasoning behind mathematical processes is emphasised.  Teacher/pupil interaction explores in detail how answers were obtained, why the method/strategy worked and what might be the most efficient method/strategy. Difficult points and potential misconceptions are identified in advance and strategies to address them planned.</w:t>
            </w:r>
          </w:p>
          <w:p w14:paraId="1D944EC0" w14:textId="5CAF94F2" w:rsidR="00586106" w:rsidRPr="006D4638" w:rsidRDefault="00586106" w:rsidP="00EA72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Fluency will be taught in a separate </w:t>
            </w:r>
            <w:proofErr w:type="gramStart"/>
            <w:r w:rsidR="00ED7E2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15 </w:t>
            </w:r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minute</w:t>
            </w:r>
            <w:proofErr w:type="gramEnd"/>
            <w:r w:rsidRPr="008352B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lesson each day.</w:t>
            </w:r>
          </w:p>
        </w:tc>
      </w:tr>
    </w:tbl>
    <w:p w14:paraId="77031B45" w14:textId="77777777" w:rsidR="000B7EF4" w:rsidRDefault="000B7EF4" w:rsidP="00734A5A"/>
    <w:sectPr w:rsidR="000B7EF4" w:rsidSect="00640F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B793" w14:textId="77777777" w:rsidR="00B542FF" w:rsidRDefault="00B542FF" w:rsidP="00B542FF">
      <w:pPr>
        <w:spacing w:after="0" w:line="240" w:lineRule="auto"/>
      </w:pPr>
      <w:r>
        <w:separator/>
      </w:r>
    </w:p>
  </w:endnote>
  <w:endnote w:type="continuationSeparator" w:id="0">
    <w:p w14:paraId="7D9D6619" w14:textId="77777777" w:rsidR="00B542FF" w:rsidRDefault="00B542FF" w:rsidP="00B5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7476" w14:textId="77777777" w:rsidR="00B542FF" w:rsidRDefault="00B542FF" w:rsidP="00B542FF">
      <w:pPr>
        <w:spacing w:after="0" w:line="240" w:lineRule="auto"/>
      </w:pPr>
      <w:r>
        <w:separator/>
      </w:r>
    </w:p>
  </w:footnote>
  <w:footnote w:type="continuationSeparator" w:id="0">
    <w:p w14:paraId="0C92040B" w14:textId="77777777" w:rsidR="00B542FF" w:rsidRDefault="00B542FF" w:rsidP="00B5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7892" w14:textId="7A8E3E14" w:rsidR="00B542FF" w:rsidRPr="00EA7290" w:rsidRDefault="00B542FF" w:rsidP="00B542FF">
    <w:pPr>
      <w:pStyle w:val="Header"/>
      <w:jc w:val="center"/>
      <w:rPr>
        <w:rFonts w:ascii="Comic Sans MS" w:hAnsi="Comic Sans MS"/>
        <w:sz w:val="36"/>
        <w:u w:val="single"/>
      </w:rPr>
    </w:pPr>
    <w:r w:rsidRPr="00EA7290">
      <w:rPr>
        <w:rFonts w:ascii="Comic Sans MS" w:hAnsi="Comic Sans MS"/>
        <w:sz w:val="36"/>
        <w:u w:val="single"/>
      </w:rPr>
      <w:t>Mathematics</w:t>
    </w:r>
    <w:r w:rsidR="00BC268E">
      <w:rPr>
        <w:rFonts w:ascii="Comic Sans MS" w:hAnsi="Comic Sans MS"/>
        <w:sz w:val="36"/>
        <w:u w:val="single"/>
      </w:rPr>
      <w:t xml:space="preserve"> at St Edmund’s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5C8A"/>
    <w:multiLevelType w:val="multilevel"/>
    <w:tmpl w:val="AE3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B71D4"/>
    <w:multiLevelType w:val="multilevel"/>
    <w:tmpl w:val="4AA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531C"/>
    <w:multiLevelType w:val="multilevel"/>
    <w:tmpl w:val="254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02967"/>
    <w:multiLevelType w:val="multilevel"/>
    <w:tmpl w:val="05945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A5B35"/>
    <w:multiLevelType w:val="multilevel"/>
    <w:tmpl w:val="A9A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235B3"/>
    <w:multiLevelType w:val="multilevel"/>
    <w:tmpl w:val="BA8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D5E0D"/>
    <w:multiLevelType w:val="multilevel"/>
    <w:tmpl w:val="E7F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679BE"/>
    <w:multiLevelType w:val="multilevel"/>
    <w:tmpl w:val="785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90E61"/>
    <w:multiLevelType w:val="multilevel"/>
    <w:tmpl w:val="B96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062B2"/>
    <w:multiLevelType w:val="multilevel"/>
    <w:tmpl w:val="019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38"/>
    <w:rsid w:val="000B7EF4"/>
    <w:rsid w:val="000C0771"/>
    <w:rsid w:val="001877D0"/>
    <w:rsid w:val="001A1CAE"/>
    <w:rsid w:val="001A7A98"/>
    <w:rsid w:val="00492C89"/>
    <w:rsid w:val="004D4507"/>
    <w:rsid w:val="00503FD2"/>
    <w:rsid w:val="00527B70"/>
    <w:rsid w:val="00586106"/>
    <w:rsid w:val="00640FE8"/>
    <w:rsid w:val="006C194C"/>
    <w:rsid w:val="006D4638"/>
    <w:rsid w:val="00734A5A"/>
    <w:rsid w:val="007369ED"/>
    <w:rsid w:val="00767314"/>
    <w:rsid w:val="008352B8"/>
    <w:rsid w:val="008A4BEE"/>
    <w:rsid w:val="00925021"/>
    <w:rsid w:val="009850CF"/>
    <w:rsid w:val="00A860DC"/>
    <w:rsid w:val="00AF63F4"/>
    <w:rsid w:val="00B542FF"/>
    <w:rsid w:val="00BA271A"/>
    <w:rsid w:val="00BC268E"/>
    <w:rsid w:val="00C54FD7"/>
    <w:rsid w:val="00CF37DF"/>
    <w:rsid w:val="00E166BA"/>
    <w:rsid w:val="00EA7290"/>
    <w:rsid w:val="00ED7E2E"/>
    <w:rsid w:val="00F3662E"/>
    <w:rsid w:val="00F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D50DD"/>
  <w15:docId w15:val="{8323BD4E-E4AF-496B-9D1B-118B5ED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60DC"/>
    <w:rPr>
      <w:b/>
      <w:bCs/>
    </w:rPr>
  </w:style>
  <w:style w:type="character" w:styleId="Emphasis">
    <w:name w:val="Emphasis"/>
    <w:basedOn w:val="DefaultParagraphFont"/>
    <w:uiPriority w:val="20"/>
    <w:qFormat/>
    <w:rsid w:val="00A860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FF"/>
  </w:style>
  <w:style w:type="paragraph" w:styleId="Footer">
    <w:name w:val="footer"/>
    <w:basedOn w:val="Normal"/>
    <w:link w:val="FooterChar"/>
    <w:uiPriority w:val="99"/>
    <w:unhideWhenUsed/>
    <w:rsid w:val="00B5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Primary School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thornhill</dc:creator>
  <cp:lastModifiedBy>Michelle Nickson</cp:lastModifiedBy>
  <cp:revision>2</cp:revision>
  <cp:lastPrinted>2022-03-23T08:55:00Z</cp:lastPrinted>
  <dcterms:created xsi:type="dcterms:W3CDTF">2022-03-23T08:56:00Z</dcterms:created>
  <dcterms:modified xsi:type="dcterms:W3CDTF">2022-03-23T08:56:00Z</dcterms:modified>
</cp:coreProperties>
</file>