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81"/>
        <w:tblW w:w="10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7569"/>
      </w:tblGrid>
      <w:tr w:rsidR="00586106" w:rsidRPr="006D4638" w14:paraId="44296181" w14:textId="77777777" w:rsidTr="00EA7290">
        <w:trPr>
          <w:trHeight w:val="2833"/>
          <w:tblCellSpacing w:w="0" w:type="dxa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128D96" w14:textId="67FADD1F" w:rsidR="00586106" w:rsidRDefault="00586106" w:rsidP="00EA7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 </w:t>
            </w:r>
            <w:r w:rsidR="000B7EF4">
              <w:rPr>
                <w:noProof/>
              </w:rPr>
              <w:drawing>
                <wp:inline distT="0" distB="0" distL="0" distR="0" wp14:anchorId="1E01D8AA" wp14:editId="1E771A3F">
                  <wp:extent cx="1181100" cy="1417320"/>
                  <wp:effectExtent l="0" t="0" r="0" b="0"/>
                  <wp:docPr id="4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E8B16" w14:textId="1503100E" w:rsidR="00586106" w:rsidRDefault="00586106" w:rsidP="00EA7290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A8B6F" w14:textId="77777777" w:rsidR="00586106" w:rsidRPr="00640FE8" w:rsidRDefault="00586106" w:rsidP="00EA7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640FE8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Our school is adopting a Mastery approach to mathematics.</w:t>
            </w:r>
          </w:p>
          <w:p w14:paraId="6883DCE4" w14:textId="77777777" w:rsidR="00586106" w:rsidRPr="00640FE8" w:rsidRDefault="00586106" w:rsidP="00EA7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640FE8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We use the White Rose Maths scheme from Year 1 to 6, supplemented by various other mastery materials.</w:t>
            </w:r>
          </w:p>
          <w:p w14:paraId="25BE002E" w14:textId="77777777" w:rsidR="00586106" w:rsidRPr="00640FE8" w:rsidRDefault="00586106" w:rsidP="00EA7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</w:pPr>
            <w:r w:rsidRPr="00640FE8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Underpinning the use of these materials are the key points as described below.</w:t>
            </w:r>
          </w:p>
          <w:p w14:paraId="0519A707" w14:textId="77777777" w:rsidR="00586106" w:rsidRPr="006D4638" w:rsidRDefault="00586106" w:rsidP="00EA72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40FE8">
              <w:rPr>
                <w:rFonts w:ascii="Arial" w:eastAsia="Times New Roman" w:hAnsi="Arial" w:cs="Arial"/>
                <w:b/>
                <w:color w:val="333333"/>
                <w:sz w:val="20"/>
                <w:lang w:eastAsia="en-GB"/>
              </w:rPr>
              <w:t>What can you expect?</w:t>
            </w:r>
          </w:p>
        </w:tc>
      </w:tr>
      <w:tr w:rsidR="00586106" w:rsidRPr="006D4638" w14:paraId="54DB70F3" w14:textId="77777777" w:rsidTr="00EA7290">
        <w:trPr>
          <w:trHeight w:val="397"/>
          <w:tblCellSpacing w:w="0" w:type="dxa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8E60EB" w14:textId="77777777" w:rsidR="00586106" w:rsidRPr="006D4638" w:rsidRDefault="00586106" w:rsidP="00EA7290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40FE8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en-GB"/>
              </w:rPr>
              <w:t xml:space="preserve">  </w:t>
            </w:r>
            <w:r w:rsidRPr="006D4638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u w:val="single"/>
                <w:lang w:eastAsia="en-GB"/>
              </w:rPr>
              <w:t>Structure of our class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u w:val="single"/>
                <w:lang w:eastAsia="en-GB"/>
              </w:rPr>
              <w:t>es</w:t>
            </w:r>
          </w:p>
        </w:tc>
        <w:tc>
          <w:tcPr>
            <w:tcW w:w="7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28BCB0" w14:textId="77777777" w:rsidR="00586106" w:rsidRPr="006D4638" w:rsidRDefault="00586106" w:rsidP="00EA7290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40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  </w:t>
            </w:r>
            <w:r w:rsidRPr="006D4638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u w:val="single"/>
                <w:lang w:eastAsia="en-GB"/>
              </w:rPr>
              <w:t>Structure of our learning</w:t>
            </w:r>
          </w:p>
        </w:tc>
      </w:tr>
      <w:tr w:rsidR="00586106" w:rsidRPr="006D4638" w14:paraId="5D9DD811" w14:textId="77777777" w:rsidTr="00EA7290">
        <w:trPr>
          <w:trHeight w:val="1078"/>
          <w:tblCellSpacing w:w="0" w:type="dxa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88EFED" w14:textId="742CFCDF" w:rsidR="00586106" w:rsidRPr="006D4638" w:rsidRDefault="00586106" w:rsidP="00EA7290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 xml:space="preserve">A Mastery approach rejects the idea that some children ‘can’t do maths’.  We </w:t>
            </w:r>
            <w:r w:rsidR="00640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 xml:space="preserve">believe </w:t>
            </w: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that all children can achieve well in maths.</w:t>
            </w:r>
          </w:p>
          <w:p w14:paraId="7D68FBCF" w14:textId="77777777" w:rsidR="00586106" w:rsidRPr="006D4638" w:rsidRDefault="00586106" w:rsidP="00EA7290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 xml:space="preserve">Children will support each other’s learning in mixed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attainment</w:t>
            </w: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 xml:space="preserve"> pairs.</w:t>
            </w:r>
          </w:p>
          <w:p w14:paraId="3F91348E" w14:textId="77777777" w:rsidR="00586106" w:rsidRPr="006D4638" w:rsidRDefault="00586106" w:rsidP="00EA7290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Children will use carefully chosen equipment to represent mathematical problems to expose mathematical structures.</w:t>
            </w:r>
          </w:p>
          <w:p w14:paraId="4099F072" w14:textId="77777777" w:rsidR="00586106" w:rsidRPr="006D4638" w:rsidRDefault="00586106" w:rsidP="00EA7290">
            <w:pPr>
              <w:numPr>
                <w:ilvl w:val="0"/>
                <w:numId w:val="7"/>
              </w:num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6D4638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Children can talk about and explain the mathematics they are learning.</w:t>
            </w:r>
          </w:p>
        </w:tc>
        <w:tc>
          <w:tcPr>
            <w:tcW w:w="7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AA1C7A" w14:textId="15AFF872" w:rsidR="00586106" w:rsidRDefault="00586106" w:rsidP="00EA729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Our maths lessons last 45 mins, </w:t>
            </w:r>
            <w:r w:rsidR="000B7EF4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and follow the structure:</w:t>
            </w: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14:paraId="678DC15D" w14:textId="77777777" w:rsidR="006F296D" w:rsidRPr="006F296D" w:rsidRDefault="000B7EF4" w:rsidP="006F296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B7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‘</w:t>
            </w:r>
            <w:r w:rsidR="006F296D" w:rsidRPr="006F2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Review &amp; Do </w:t>
            </w:r>
            <w:r w:rsidR="006F296D" w:rsidRPr="006F296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 Quick recap of prior learning (retrieval practice) to activate prior knowledge and address misconceptions.</w:t>
            </w:r>
          </w:p>
          <w:p w14:paraId="4440001A" w14:textId="77777777" w:rsidR="006F296D" w:rsidRPr="006F296D" w:rsidRDefault="006F296D" w:rsidP="006F296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F2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Teach &amp; Model - </w:t>
            </w:r>
            <w:r w:rsidRPr="006F296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Teacher-led introduction to the new concept, using tools such as interactive boards, concrete resources, pictorial representations, and interactive modelling.</w:t>
            </w:r>
          </w:p>
          <w:p w14:paraId="6650ADD3" w14:textId="77777777" w:rsidR="006F296D" w:rsidRPr="006F296D" w:rsidRDefault="006F296D" w:rsidP="006F296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F2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Guided Practice – </w:t>
            </w:r>
            <w:r w:rsidRPr="006F296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Pupils work through selected questions with support. This may involve partner work, small group focus, or use of mini whiteboards to check understanding.</w:t>
            </w:r>
          </w:p>
          <w:p w14:paraId="40296353" w14:textId="77777777" w:rsidR="006F296D" w:rsidRPr="006F296D" w:rsidRDefault="006F296D" w:rsidP="006F296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F2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Independent Practice - </w:t>
            </w:r>
            <w:r w:rsidRPr="006F296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Independent tasks from the White Rose worksheets, with teachers carefully selecting questions for individuals or groups of pupils.</w:t>
            </w:r>
          </w:p>
          <w:p w14:paraId="1239AB12" w14:textId="77777777" w:rsidR="006F296D" w:rsidRPr="006F296D" w:rsidRDefault="006F296D" w:rsidP="006F296D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6F29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Plenary &amp; Review - </w:t>
            </w:r>
            <w:r w:rsidRPr="006F296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Whole class or small groups come together to reflect on learning. This may include a challenge question or problem-solving task.</w:t>
            </w:r>
          </w:p>
          <w:p w14:paraId="55137712" w14:textId="63781E92" w:rsidR="00586106" w:rsidRPr="006F296D" w:rsidRDefault="00586106" w:rsidP="006F296D">
            <w:pPr>
              <w:numPr>
                <w:ilvl w:val="1"/>
                <w:numId w:val="8"/>
              </w:numPr>
              <w:tabs>
                <w:tab w:val="clear" w:pos="1440"/>
                <w:tab w:val="num" w:pos="705"/>
              </w:tabs>
              <w:spacing w:before="100" w:beforeAutospacing="1" w:after="100" w:afterAutospacing="1"/>
              <w:ind w:hanging="1018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6F296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Our learning uses a Concrete Pictorial Abstract model.</w:t>
            </w:r>
          </w:p>
          <w:p w14:paraId="66CBC607" w14:textId="77777777" w:rsidR="00586106" w:rsidRPr="008352B8" w:rsidRDefault="00586106" w:rsidP="00EA729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Through careful lesson planning, all children are on a learning journey together from a shared starting point through small coherent steps that are achievable by all.</w:t>
            </w:r>
          </w:p>
          <w:p w14:paraId="3278E83D" w14:textId="77777777" w:rsidR="00586106" w:rsidRPr="00BA271A" w:rsidRDefault="00586106" w:rsidP="00EA7290">
            <w:pPr>
              <w:numPr>
                <w:ilvl w:val="0"/>
                <w:numId w:val="8"/>
              </w:num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</w:pP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The whole class is taught mathematics together </w:t>
            </w:r>
            <w:r w:rsidRPr="00BA271A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in their own mixed ability classes, moving through the same curriculum at broadly the same pace</w:t>
            </w:r>
            <w:r w:rsidRPr="008352B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. </w:t>
            </w:r>
            <w:r w:rsidRPr="00BA271A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All</w:t>
            </w:r>
            <w:r w:rsidRPr="008352B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of</w:t>
            </w:r>
            <w:r w:rsidRPr="00BA271A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the children are exposed to both </w:t>
            </w:r>
            <w:r w:rsidRPr="008352B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years </w:t>
            </w:r>
            <w:r w:rsidRPr="00BA271A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maths objectives throughout the year and the same objectives are then repeated the following year</w:t>
            </w:r>
            <w:r w:rsidRPr="008352B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. This enables the </w:t>
            </w:r>
            <w:r w:rsidRPr="008352B8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children to consolidate their understanding and deepen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their </w:t>
            </w:r>
            <w:r w:rsidRPr="008352B8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conceptual understanding which allows </w:t>
            </w: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 xml:space="preserve">the </w:t>
            </w:r>
            <w:r w:rsidRPr="008352B8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children to progress from where they were the previous year.</w:t>
            </w:r>
          </w:p>
          <w:p w14:paraId="3C2C117D" w14:textId="77777777" w:rsidR="00586106" w:rsidRPr="008352B8" w:rsidRDefault="00586106" w:rsidP="00EA729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SEN children are given personalised outcomes.</w:t>
            </w:r>
          </w:p>
          <w:p w14:paraId="01A7CDF1" w14:textId="77777777" w:rsidR="00586106" w:rsidRPr="008352B8" w:rsidRDefault="00586106" w:rsidP="00EA729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reasoning behind mathematical processes is emphasised.  Teacher/pupil interaction explores in detail how answers were obtained, why the method/strategy worked and what might be the most efficient method/strategy. Difficult points and potential misconceptions are identified in advance and strategies to address them planned.</w:t>
            </w:r>
          </w:p>
          <w:p w14:paraId="1D944EC0" w14:textId="5CAF94F2" w:rsidR="00586106" w:rsidRPr="006D4638" w:rsidRDefault="00586106" w:rsidP="00EA729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Fluency will be taught in a separate </w:t>
            </w:r>
            <w:proofErr w:type="gramStart"/>
            <w:r w:rsidR="00ED7E2E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15 </w:t>
            </w:r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minute</w:t>
            </w:r>
            <w:proofErr w:type="gramEnd"/>
            <w:r w:rsidRPr="008352B8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lesson each day.</w:t>
            </w:r>
          </w:p>
        </w:tc>
      </w:tr>
    </w:tbl>
    <w:p w14:paraId="77031B45" w14:textId="77777777" w:rsidR="000B7EF4" w:rsidRDefault="000B7EF4" w:rsidP="00734A5A"/>
    <w:sectPr w:rsidR="000B7EF4" w:rsidSect="00640FE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4CE0" w14:textId="77777777" w:rsidR="00FD6E9E" w:rsidRDefault="00FD6E9E" w:rsidP="00B542FF">
      <w:pPr>
        <w:spacing w:after="0" w:line="240" w:lineRule="auto"/>
      </w:pPr>
      <w:r>
        <w:separator/>
      </w:r>
    </w:p>
  </w:endnote>
  <w:endnote w:type="continuationSeparator" w:id="0">
    <w:p w14:paraId="5C08E110" w14:textId="77777777" w:rsidR="00FD6E9E" w:rsidRDefault="00FD6E9E" w:rsidP="00B5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F726" w14:textId="77777777" w:rsidR="00FD6E9E" w:rsidRDefault="00FD6E9E" w:rsidP="00B542FF">
      <w:pPr>
        <w:spacing w:after="0" w:line="240" w:lineRule="auto"/>
      </w:pPr>
      <w:r>
        <w:separator/>
      </w:r>
    </w:p>
  </w:footnote>
  <w:footnote w:type="continuationSeparator" w:id="0">
    <w:p w14:paraId="76E4668B" w14:textId="77777777" w:rsidR="00FD6E9E" w:rsidRDefault="00FD6E9E" w:rsidP="00B5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7892" w14:textId="7A8E3E14" w:rsidR="00B542FF" w:rsidRPr="00EA7290" w:rsidRDefault="00B542FF" w:rsidP="00B542FF">
    <w:pPr>
      <w:pStyle w:val="Header"/>
      <w:jc w:val="center"/>
      <w:rPr>
        <w:rFonts w:ascii="Comic Sans MS" w:hAnsi="Comic Sans MS"/>
        <w:sz w:val="36"/>
        <w:u w:val="single"/>
      </w:rPr>
    </w:pPr>
    <w:r w:rsidRPr="00EA7290">
      <w:rPr>
        <w:rFonts w:ascii="Comic Sans MS" w:hAnsi="Comic Sans MS"/>
        <w:sz w:val="36"/>
        <w:u w:val="single"/>
      </w:rPr>
      <w:t>Mathematics</w:t>
    </w:r>
    <w:r w:rsidR="00BC268E">
      <w:rPr>
        <w:rFonts w:ascii="Comic Sans MS" w:hAnsi="Comic Sans MS"/>
        <w:sz w:val="36"/>
        <w:u w:val="single"/>
      </w:rPr>
      <w:t xml:space="preserve"> at St Edmund’s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1DBC"/>
    <w:multiLevelType w:val="multilevel"/>
    <w:tmpl w:val="C55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25C8A"/>
    <w:multiLevelType w:val="multilevel"/>
    <w:tmpl w:val="AE3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B71D4"/>
    <w:multiLevelType w:val="multilevel"/>
    <w:tmpl w:val="4AA0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F531C"/>
    <w:multiLevelType w:val="multilevel"/>
    <w:tmpl w:val="254E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02967"/>
    <w:multiLevelType w:val="multilevel"/>
    <w:tmpl w:val="05945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A5B35"/>
    <w:multiLevelType w:val="multilevel"/>
    <w:tmpl w:val="A9A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235B3"/>
    <w:multiLevelType w:val="multilevel"/>
    <w:tmpl w:val="BA88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D5E0D"/>
    <w:multiLevelType w:val="multilevel"/>
    <w:tmpl w:val="E7F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679BE"/>
    <w:multiLevelType w:val="multilevel"/>
    <w:tmpl w:val="785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90E61"/>
    <w:multiLevelType w:val="multilevel"/>
    <w:tmpl w:val="FE3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062B2"/>
    <w:multiLevelType w:val="multilevel"/>
    <w:tmpl w:val="019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38"/>
    <w:rsid w:val="000B7EF4"/>
    <w:rsid w:val="000C0771"/>
    <w:rsid w:val="001877D0"/>
    <w:rsid w:val="001A1CAE"/>
    <w:rsid w:val="001A7A98"/>
    <w:rsid w:val="00492C89"/>
    <w:rsid w:val="004D4507"/>
    <w:rsid w:val="00503FD2"/>
    <w:rsid w:val="00527B70"/>
    <w:rsid w:val="00586106"/>
    <w:rsid w:val="00640FE8"/>
    <w:rsid w:val="006C194C"/>
    <w:rsid w:val="006D4638"/>
    <w:rsid w:val="006F296D"/>
    <w:rsid w:val="00734A5A"/>
    <w:rsid w:val="007369ED"/>
    <w:rsid w:val="00767314"/>
    <w:rsid w:val="008352B8"/>
    <w:rsid w:val="008A4BEE"/>
    <w:rsid w:val="00925021"/>
    <w:rsid w:val="009850CF"/>
    <w:rsid w:val="00A860DC"/>
    <w:rsid w:val="00AF63F4"/>
    <w:rsid w:val="00B542FF"/>
    <w:rsid w:val="00BA271A"/>
    <w:rsid w:val="00BC268E"/>
    <w:rsid w:val="00C54FD7"/>
    <w:rsid w:val="00CF37DF"/>
    <w:rsid w:val="00E166BA"/>
    <w:rsid w:val="00EA7290"/>
    <w:rsid w:val="00ED7E2E"/>
    <w:rsid w:val="00F3662E"/>
    <w:rsid w:val="00F51E9D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50DD"/>
  <w15:docId w15:val="{8323BD4E-E4AF-496B-9D1B-118B5EDC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60DC"/>
    <w:rPr>
      <w:b/>
      <w:bCs/>
    </w:rPr>
  </w:style>
  <w:style w:type="character" w:styleId="Emphasis">
    <w:name w:val="Emphasis"/>
    <w:basedOn w:val="DefaultParagraphFont"/>
    <w:uiPriority w:val="20"/>
    <w:qFormat/>
    <w:rsid w:val="00A860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FF"/>
  </w:style>
  <w:style w:type="paragraph" w:styleId="Footer">
    <w:name w:val="footer"/>
    <w:basedOn w:val="Normal"/>
    <w:link w:val="FooterChar"/>
    <w:uiPriority w:val="99"/>
    <w:unhideWhenUsed/>
    <w:rsid w:val="00B5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Primary School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thornhill</dc:creator>
  <cp:lastModifiedBy>Annette Birmingham</cp:lastModifiedBy>
  <cp:revision>3</cp:revision>
  <cp:lastPrinted>2025-08-28T17:17:00Z</cp:lastPrinted>
  <dcterms:created xsi:type="dcterms:W3CDTF">2022-03-23T08:56:00Z</dcterms:created>
  <dcterms:modified xsi:type="dcterms:W3CDTF">2025-08-28T17:23:00Z</dcterms:modified>
</cp:coreProperties>
</file>