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CE2A" w14:textId="750CE04D" w:rsidR="00212649" w:rsidRPr="000A7EA5" w:rsidRDefault="00EF37EE" w:rsidP="00386ABC">
      <w:pPr>
        <w:jc w:val="center"/>
        <w:rPr>
          <w:rFonts w:ascii="Twinkl" w:hAnsi="Twinkl"/>
          <w:b/>
          <w:bCs/>
          <w:color w:val="CC0066"/>
          <w:sz w:val="32"/>
          <w:szCs w:val="32"/>
          <w:u w:val="single"/>
        </w:rPr>
      </w:pPr>
      <w:r w:rsidRPr="000A7EA5"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702272" behindDoc="0" locked="0" layoutInCell="1" allowOverlap="1" wp14:anchorId="0A05F245" wp14:editId="3D7AD75D">
            <wp:simplePos x="0" y="0"/>
            <wp:positionH relativeFrom="column">
              <wp:posOffset>-15240</wp:posOffset>
            </wp:positionH>
            <wp:positionV relativeFrom="paragraph">
              <wp:posOffset>-619760</wp:posOffset>
            </wp:positionV>
            <wp:extent cx="807720" cy="9279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St Edmunds Catholic Primary School: </w:t>
      </w:r>
      <w:r w:rsidR="007E149C"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Early Years Foundation Stage </w:t>
      </w:r>
    </w:p>
    <w:p w14:paraId="6685E3F1" w14:textId="7E59078D" w:rsidR="007E149C" w:rsidRPr="000A7EA5" w:rsidRDefault="006F3C73" w:rsidP="00386ABC">
      <w:pPr>
        <w:jc w:val="center"/>
        <w:rPr>
          <w:rFonts w:ascii="Twinkl" w:hAnsi="Twinkl"/>
          <w:b/>
          <w:bCs/>
          <w:sz w:val="32"/>
          <w:szCs w:val="32"/>
          <w:u w:val="single"/>
        </w:rPr>
      </w:pPr>
      <w:r w:rsidRPr="000A7EA5">
        <w:rPr>
          <w:rFonts w:ascii="Twinkl" w:hAnsi="Twinkl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0E2DBD3" wp14:editId="64244EA1">
            <wp:simplePos x="0" y="0"/>
            <wp:positionH relativeFrom="margin">
              <wp:posOffset>9819005</wp:posOffset>
            </wp:positionH>
            <wp:positionV relativeFrom="paragraph">
              <wp:posOffset>1276985</wp:posOffset>
            </wp:positionV>
            <wp:extent cx="605287" cy="828675"/>
            <wp:effectExtent l="0" t="0" r="4445" b="0"/>
            <wp:wrapNone/>
            <wp:docPr id="10" name="Picture 10" descr="Pudsey Bear - Children In Need Bear Clipart (#65151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dsey Bear - Children In Need Bear Clipart (#651517)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4D" w:rsidRPr="000A7EA5">
        <w:rPr>
          <w:rFonts w:ascii="Twinkl" w:hAnsi="Twinkl"/>
          <w:b/>
          <w:bCs/>
          <w:sz w:val="32"/>
          <w:szCs w:val="32"/>
          <w:u w:val="single"/>
        </w:rPr>
        <w:t xml:space="preserve">Spring 1 </w:t>
      </w:r>
      <w:r w:rsidR="009B743D" w:rsidRPr="000A7EA5">
        <w:rPr>
          <w:rFonts w:ascii="Twinkl" w:hAnsi="Twinkl"/>
          <w:b/>
          <w:bCs/>
          <w:sz w:val="32"/>
          <w:szCs w:val="32"/>
          <w:u w:val="single"/>
        </w:rPr>
        <w:t xml:space="preserve">– </w:t>
      </w:r>
      <w:r w:rsidR="005D5C4D" w:rsidRPr="000A7EA5">
        <w:rPr>
          <w:rFonts w:ascii="Twinkl" w:hAnsi="Twinkl"/>
          <w:b/>
          <w:bCs/>
          <w:sz w:val="32"/>
          <w:szCs w:val="32"/>
          <w:u w:val="single"/>
        </w:rPr>
        <w:t>Once Upon a Time</w:t>
      </w:r>
      <w:r w:rsidR="00755D66" w:rsidRPr="000A7EA5">
        <w:rPr>
          <w:rFonts w:ascii="Twinkl" w:hAnsi="Twinkl" w:cs="Times New Roman"/>
          <w:noProof/>
          <w:sz w:val="32"/>
          <w:szCs w:val="32"/>
        </w:rPr>
        <w:t xml:space="preserve"> </w:t>
      </w:r>
    </w:p>
    <w:tbl>
      <w:tblPr>
        <w:tblStyle w:val="TableGrid"/>
        <w:tblW w:w="14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4"/>
        <w:gridCol w:w="778"/>
        <w:gridCol w:w="2816"/>
        <w:gridCol w:w="1436"/>
        <w:gridCol w:w="2158"/>
        <w:gridCol w:w="3594"/>
      </w:tblGrid>
      <w:tr w:rsidR="00381C28" w:rsidRPr="00EF37EE" w14:paraId="15764A9C" w14:textId="77777777" w:rsidTr="009E0284">
        <w:trPr>
          <w:trHeight w:val="405"/>
        </w:trPr>
        <w:tc>
          <w:tcPr>
            <w:tcW w:w="4372" w:type="dxa"/>
            <w:gridSpan w:val="2"/>
            <w:tcBorders>
              <w:bottom w:val="single" w:sz="18" w:space="0" w:color="auto"/>
            </w:tcBorders>
            <w:shd w:val="clear" w:color="auto" w:fill="FFCC99"/>
          </w:tcPr>
          <w:p w14:paraId="7D6D051F" w14:textId="11CB1093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Communication &amp; Language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7CBF4C21" w14:textId="019ADECA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Physical Development</w:t>
            </w:r>
          </w:p>
        </w:tc>
        <w:tc>
          <w:tcPr>
            <w:tcW w:w="5752" w:type="dxa"/>
            <w:gridSpan w:val="2"/>
            <w:shd w:val="clear" w:color="auto" w:fill="B4C6E7" w:themeFill="accent1" w:themeFillTint="66"/>
          </w:tcPr>
          <w:p w14:paraId="79F3B511" w14:textId="46D1754D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Personal, Social and Emotional Development</w:t>
            </w:r>
          </w:p>
        </w:tc>
      </w:tr>
      <w:tr w:rsidR="00381C28" w:rsidRPr="00EF37EE" w14:paraId="49FA2B62" w14:textId="77777777" w:rsidTr="00755D66">
        <w:trPr>
          <w:trHeight w:val="2376"/>
        </w:trPr>
        <w:tc>
          <w:tcPr>
            <w:tcW w:w="4372" w:type="dxa"/>
            <w:gridSpan w:val="2"/>
            <w:tcBorders>
              <w:top w:val="single" w:sz="18" w:space="0" w:color="auto"/>
            </w:tcBorders>
          </w:tcPr>
          <w:p w14:paraId="06AFD8CD" w14:textId="4F2F0E72" w:rsidR="00411B47" w:rsidRDefault="002C0E3A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Focusing on a rich literacy environment</w:t>
            </w:r>
            <w:r w:rsidR="009B775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 Create the Three Bears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9B775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Cottage - role play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            Asking questions through hot seating</w:t>
            </w:r>
            <w:r w:rsidR="00A92457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. Establishing talking partners.                                              </w:t>
            </w:r>
          </w:p>
          <w:p w14:paraId="02D5C51E" w14:textId="257FDB3D" w:rsidR="00411B47" w:rsidRDefault="002C0E3A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Continue to e</w:t>
            </w:r>
            <w:r w:rsidR="00381C2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xtend vocabulary/exploring the sound and meaning of new words                                            </w:t>
            </w:r>
          </w:p>
          <w:p w14:paraId="08688BEB" w14:textId="77777777" w:rsidR="00BF24E9" w:rsidRDefault="00BF24E9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1F6C4126" wp14:editId="6C01479B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205105</wp:posOffset>
                  </wp:positionV>
                  <wp:extent cx="688340" cy="516255"/>
                  <wp:effectExtent l="0" t="0" r="0" b="0"/>
                  <wp:wrapNone/>
                  <wp:docPr id="19" name="Picture 19" descr="Goldilocks and the three bears role play area. The Three Bears Cottage. |  Dramatic play preschool, Goldilocks and the three bears, Fairy tales 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oldilocks and the three bears role play area. The Three Bears Cottage. |  Dramatic play preschool, Goldilocks and the three bears, Fairy tales  pr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C2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Continu</w:t>
            </w:r>
            <w:r w:rsidR="00A92457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</w:t>
            </w:r>
            <w:r w:rsidR="00381C2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to build on a repertoire of rhymes and songs and favourite stories and identify</w:t>
            </w:r>
          </w:p>
          <w:p w14:paraId="5175A47E" w14:textId="0CBB4C3E" w:rsidR="00381C28" w:rsidRPr="000A7EA5" w:rsidRDefault="00381C28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new vocabulary</w:t>
            </w:r>
            <w:r w:rsidR="00755D6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  <w:r w:rsidR="001B0506" w:rsidRPr="000A7EA5">
              <w:rPr>
                <w:rFonts w:ascii="Twinkl" w:hAnsi="Twinkl" w:cs="Times New Roman"/>
                <w:noProof/>
                <w:sz w:val="16"/>
                <w:szCs w:val="16"/>
              </w:rPr>
              <w:t xml:space="preserve"> </w:t>
            </w:r>
          </w:p>
          <w:p w14:paraId="132144BD" w14:textId="4116F2B7" w:rsidR="00755D66" w:rsidRPr="000A7EA5" w:rsidRDefault="00755D6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B54E5BA" w14:textId="5A917543" w:rsidR="0064416D" w:rsidRPr="000A7EA5" w:rsidRDefault="0064416D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2D161CE4" w14:textId="51632247" w:rsidR="002C0E3A" w:rsidRPr="000A7EA5" w:rsidRDefault="00897C5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Moving creatively to music</w:t>
            </w:r>
            <w:r w:rsidR="002C0E3A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Chinese New Year.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Stopping and starting on</w:t>
            </w:r>
            <w:r w:rsidR="002C0E3A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command. </w:t>
            </w:r>
            <w:r w:rsidR="0074337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Balancing using different parts of their body.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</w:t>
            </w:r>
          </w:p>
          <w:p w14:paraId="2943C926" w14:textId="77777777" w:rsidR="002C0E3A" w:rsidRPr="000A7EA5" w:rsidRDefault="002C0E3A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Fine motor skills – using chopsticks, Finger Gym.</w:t>
            </w:r>
          </w:p>
          <w:p w14:paraId="7C005929" w14:textId="72BDB358" w:rsidR="002C0E3A" w:rsidRPr="000A7EA5" w:rsidRDefault="000A7EA5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7759A9AF" wp14:editId="338C608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190500</wp:posOffset>
                  </wp:positionV>
                  <wp:extent cx="752475" cy="501755"/>
                  <wp:effectExtent l="0" t="0" r="0" b="0"/>
                  <wp:wrapNone/>
                  <wp:docPr id="17" name="Picture 17" descr="Chinese New Year activities and crafts for children - Good Play Guide :  Good Play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inese New Year activities and crafts for children - Good Play Guide :  Good Play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36C"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54188B99" wp14:editId="3C39D1E1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209550</wp:posOffset>
                  </wp:positionV>
                  <wp:extent cx="681502" cy="728978"/>
                  <wp:effectExtent l="0" t="0" r="4445" b="0"/>
                  <wp:wrapNone/>
                  <wp:docPr id="18" name="Picture 18" descr="Quiet activity! Pick up pom poms with chopsticks - number cards could  relate to number or … | Chinese new year activities, Multicultural  activities, Eyf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iet activity! Pick up pom poms with chopsticks - number cards could  relate to number or … | Chinese new year activities, Multicultural  activities, Eyfs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02" cy="7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E3A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Talk about changes to their body after physical activity.      </w:t>
            </w:r>
            <w:r w:rsidR="00E8536C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                  </w:t>
            </w:r>
            <w:r w:rsidR="002C0E3A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</w:t>
            </w:r>
          </w:p>
        </w:tc>
        <w:tc>
          <w:tcPr>
            <w:tcW w:w="5752" w:type="dxa"/>
            <w:gridSpan w:val="2"/>
          </w:tcPr>
          <w:p w14:paraId="1D2ADEBB" w14:textId="2781A493" w:rsidR="00897C56" w:rsidRPr="000A7EA5" w:rsidRDefault="00897C5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Try new activities.</w:t>
            </w:r>
          </w:p>
          <w:p w14:paraId="21DBF76C" w14:textId="3FB58DCF" w:rsidR="00897C56" w:rsidRPr="000A7EA5" w:rsidRDefault="00897C5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Describe themselves in positive terms and to talk about abilities. Talk about experiences related to different feelings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manage feelings.</w:t>
            </w:r>
          </w:p>
          <w:p w14:paraId="0BBE9566" w14:textId="17CC0292" w:rsidR="00D03A45" w:rsidRPr="000A7EA5" w:rsidRDefault="00D03A45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Continue to develop independence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to speak to others</w:t>
            </w:r>
            <w:r w:rsidR="00897C5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               </w:t>
            </w:r>
          </w:p>
          <w:p w14:paraId="7B3C2006" w14:textId="6709E469" w:rsidR="00D03A45" w:rsidRPr="000A7EA5" w:rsidRDefault="000A7EA5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4219B079" wp14:editId="064EED05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113665</wp:posOffset>
                  </wp:positionV>
                  <wp:extent cx="1123950" cy="878490"/>
                  <wp:effectExtent l="0" t="0" r="0" b="0"/>
                  <wp:wrapNone/>
                  <wp:docPr id="20" name="Picture 20" descr="Emotions and Feelings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motions and Feelings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3" r="14583" b="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A45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Continue to develop self-confidence</w:t>
            </w:r>
            <w:r w:rsidR="00897C5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, </w:t>
            </w:r>
            <w:r w:rsidR="00D03A45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awareness</w:t>
            </w:r>
            <w:r w:rsidR="00897C5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and </w:t>
            </w:r>
          </w:p>
          <w:p w14:paraId="4CA57A2B" w14:textId="6FF3622A" w:rsidR="00D03A45" w:rsidRPr="000A7EA5" w:rsidRDefault="000A7EA5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7A169A08" wp14:editId="24A12CF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63500</wp:posOffset>
                  </wp:positionV>
                  <wp:extent cx="968375" cy="787400"/>
                  <wp:effectExtent l="0" t="0" r="3175" b="0"/>
                  <wp:wrapNone/>
                  <wp:docPr id="21" name="Picture 21" descr="EYFS – Our Daily Routine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YFS – Our Daily Routine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4BD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</w:t>
            </w:r>
            <w:r w:rsidR="00D03A45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haring</w:t>
            </w:r>
            <w:r w:rsidR="00897C5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</w:p>
          <w:p w14:paraId="034CA45C" w14:textId="4BE1836A" w:rsidR="00D03A45" w:rsidRPr="000A7EA5" w:rsidRDefault="00D03A45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20C67A3" w14:textId="3A4E8DBF" w:rsidR="00496DA3" w:rsidRPr="000A7EA5" w:rsidRDefault="00496DA3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</w:p>
          <w:p w14:paraId="346962A5" w14:textId="38536FE8" w:rsidR="00496DA3" w:rsidRPr="000A7EA5" w:rsidRDefault="00496DA3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</w:p>
        </w:tc>
      </w:tr>
      <w:tr w:rsidR="00381C28" w:rsidRPr="00EF37EE" w14:paraId="5B561CDF" w14:textId="77777777" w:rsidTr="009372F7">
        <w:trPr>
          <w:trHeight w:val="466"/>
        </w:trPr>
        <w:tc>
          <w:tcPr>
            <w:tcW w:w="3594" w:type="dxa"/>
            <w:tcBorders>
              <w:top w:val="single" w:sz="18" w:space="0" w:color="auto"/>
            </w:tcBorders>
            <w:shd w:val="clear" w:color="auto" w:fill="FFFF99"/>
          </w:tcPr>
          <w:p w14:paraId="78E63D5D" w14:textId="2F967206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color w:val="000000"/>
                <w:sz w:val="20"/>
                <w:szCs w:val="20"/>
                <w:u w:val="single"/>
              </w:rPr>
              <w:t>Understanding the World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33CD2161" w14:textId="155E77BC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Expressive Arts and Design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</w:tcBorders>
            <w:shd w:val="clear" w:color="auto" w:fill="FFCCCC"/>
          </w:tcPr>
          <w:p w14:paraId="5F86652C" w14:textId="07B2DB71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3594" w:type="dxa"/>
            <w:tcBorders>
              <w:top w:val="single" w:sz="18" w:space="0" w:color="auto"/>
            </w:tcBorders>
            <w:shd w:val="clear" w:color="auto" w:fill="CCFFFF"/>
          </w:tcPr>
          <w:p w14:paraId="30522B5B" w14:textId="07FC78DD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Mathematics</w:t>
            </w:r>
          </w:p>
        </w:tc>
      </w:tr>
      <w:tr w:rsidR="00381C28" w:rsidRPr="00EF37EE" w14:paraId="46056EC5" w14:textId="77777777" w:rsidTr="00673BEC">
        <w:trPr>
          <w:trHeight w:val="2841"/>
        </w:trPr>
        <w:tc>
          <w:tcPr>
            <w:tcW w:w="3594" w:type="dxa"/>
            <w:tcBorders>
              <w:top w:val="single" w:sz="18" w:space="0" w:color="auto"/>
              <w:bottom w:val="single" w:sz="18" w:space="0" w:color="auto"/>
            </w:tcBorders>
          </w:tcPr>
          <w:p w14:paraId="52DD368D" w14:textId="77777777" w:rsidR="00E8536C" w:rsidRPr="000A7EA5" w:rsidRDefault="00A92457" w:rsidP="00411B47">
            <w:pP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Know about similarities and differences between themselves and others</w:t>
            </w:r>
            <w:r w:rsidR="00E8536C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.             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Feely bag -</w:t>
            </w:r>
            <w:r w:rsidR="009B775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exploring and talking about different textures</w:t>
            </w:r>
            <w:r w:rsidR="00E8536C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</w:p>
          <w:p w14:paraId="530436A1" w14:textId="10A470AB" w:rsidR="00E8536C" w:rsidRPr="000A7EA5" w:rsidRDefault="00E8536C" w:rsidP="00411B47">
            <w:pPr>
              <w:autoSpaceDE w:val="0"/>
              <w:autoSpaceDN w:val="0"/>
              <w:adjustRightInd w:val="0"/>
              <w:rPr>
                <w:rFonts w:ascii="Twinkl" w:hAnsi="Twinkl" w:cs="HelveticaNeue-Light"/>
                <w:sz w:val="16"/>
                <w:szCs w:val="16"/>
              </w:rPr>
            </w:pPr>
            <w:r w:rsidRPr="000A7EA5">
              <w:rPr>
                <w:rFonts w:ascii="Twinkl" w:hAnsi="Twinkl" w:cs="HelveticaNeue-Light"/>
                <w:sz w:val="16"/>
                <w:szCs w:val="16"/>
              </w:rPr>
              <w:t>Testing materials – The Three Little Pigs</w:t>
            </w:r>
          </w:p>
          <w:p w14:paraId="567A1A31" w14:textId="78D92743" w:rsidR="00433831" w:rsidRPr="00673BEC" w:rsidRDefault="00BF24E9" w:rsidP="00411B47">
            <w:pPr>
              <w:rPr>
                <w:rFonts w:ascii="Twinkl" w:hAnsi="Twinkl"/>
                <w:sz w:val="16"/>
                <w:szCs w:val="16"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7B5C8836" wp14:editId="00DCF4EE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354965</wp:posOffset>
                  </wp:positionV>
                  <wp:extent cx="818515" cy="704156"/>
                  <wp:effectExtent l="0" t="0" r="635" b="1270"/>
                  <wp:wrapNone/>
                  <wp:docPr id="15" name="Picture 15" descr="Introducing Materials for Key Stage 1 – Science Experimen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roducing Materials for Key Stage 1 – Science Experimen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0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457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Label different body parts.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</w:t>
            </w:r>
            <w:r w:rsidR="00A92457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Online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</w:t>
            </w:r>
            <w:r w:rsidR="00A92457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safety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 Be safe.                        Planting daffodil bulbs.</w:t>
            </w:r>
            <w:r w:rsidR="00433831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</w:t>
            </w:r>
          </w:p>
          <w:p w14:paraId="0E8C29E8" w14:textId="25309659" w:rsidR="00292718" w:rsidRPr="000A7EA5" w:rsidRDefault="00292718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8135D29" w14:textId="78BC63FB" w:rsidR="00755D66" w:rsidRPr="000A7EA5" w:rsidRDefault="00755D66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08BBD4" w14:textId="49CE1DF3" w:rsidR="00D03A45" w:rsidRPr="000A7EA5" w:rsidRDefault="00D03A45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Music —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8D33AE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Charanga 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‘Everyone’ Listen and Respond, explore, and create music, sing, play and perform.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</w:t>
            </w:r>
          </w:p>
          <w:p w14:paraId="39E9B4B4" w14:textId="22B70C27" w:rsidR="00292718" w:rsidRPr="000A7EA5" w:rsidRDefault="00BF24E9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1AC598ED" wp14:editId="2A74F71A">
                  <wp:simplePos x="0" y="0"/>
                  <wp:positionH relativeFrom="column">
                    <wp:posOffset>11429</wp:posOffset>
                  </wp:positionH>
                  <wp:positionV relativeFrom="paragraph">
                    <wp:posOffset>706120</wp:posOffset>
                  </wp:positionV>
                  <wp:extent cx="840237" cy="624840"/>
                  <wp:effectExtent l="0" t="0" r="0" b="3810"/>
                  <wp:wrapNone/>
                  <wp:docPr id="11" name="Picture 11" descr="Buy Gingerbread Men Puppets 30pk | 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y Gingerbread Men Puppets 30pk | 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1" t="16330" r="4871" b="16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7" cy="63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BEC"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518E1B12" wp14:editId="67FC6F1F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690880</wp:posOffset>
                  </wp:positionV>
                  <wp:extent cx="801690" cy="632934"/>
                  <wp:effectExtent l="0" t="0" r="0" b="0"/>
                  <wp:wrapNone/>
                  <wp:docPr id="12" name="Picture 12" descr="Pre-school Music Box - Music from Early Years Resource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-school Music Box - Music from Early Years Resource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05" b="11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90" cy="63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Collage work relating to theme, experimenting with texture. Exploring different techniques – printing.                                               Learning how to use tools – join and fix materials together</w:t>
            </w:r>
            <w:r w:rsidR="0074337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9B775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–</w:t>
            </w:r>
            <w:r w:rsidR="0074337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9B7752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hand puppet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CA0DF3B" w14:textId="1A84094A" w:rsidR="00A444BD" w:rsidRPr="000A7EA5" w:rsidRDefault="00743372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Reading and w</w:t>
            </w:r>
            <w:r w:rsidR="00A444BD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riting CVC, tricky and rhyming words.</w:t>
            </w:r>
            <w:r w:rsidR="0029271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                           </w:t>
            </w:r>
            <w:r w:rsidR="00381C28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Daily</w:t>
            </w:r>
            <w:r w:rsidR="00DB4B8F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Phonic </w:t>
            </w:r>
            <w:r w:rsidR="00A444BD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sessions.                               Retelling, sequencing, and acting out traditional tales.  Looking at story characters and hot seating. Form letters correctly.  Writing words, captions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,</w:t>
            </w:r>
            <w:r w:rsidR="00A444BD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and sentences.</w:t>
            </w: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</w:p>
          <w:p w14:paraId="55C629D1" w14:textId="56652862" w:rsidR="00755D66" w:rsidRPr="000A7EA5" w:rsidRDefault="00BF24E9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506EEAE9" wp14:editId="36231E38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96520</wp:posOffset>
                  </wp:positionV>
                  <wp:extent cx="771525" cy="771525"/>
                  <wp:effectExtent l="0" t="0" r="9525" b="9525"/>
                  <wp:wrapNone/>
                  <wp:docPr id="2" name="Picture 2" descr="Goldilocks and the Three Bears: Fairy Tale with picture glossary and an  activity (My Very First Story Time): Amazon.co.uk: Pat-a-Cake, Randall,  Ronne, Budgen, Tim: 97815263802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ilocks and the Three Bears: Fairy Tale with picture glossary and an  activity (My Very First Story Time): Amazon.co.uk: Pat-a-Cake, Randall,  Ronne, Budgen, Tim: 97815263802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B3F"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1AA95970" wp14:editId="71C6AA0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157480</wp:posOffset>
                  </wp:positionV>
                  <wp:extent cx="701040" cy="701040"/>
                  <wp:effectExtent l="0" t="0" r="3810" b="3810"/>
                  <wp:wrapNone/>
                  <wp:docPr id="3" name="Picture 3" descr="Tricky Word Magnets 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cky Word Magnets 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4BD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                                </w:t>
            </w:r>
            <w:r w:rsidR="00755D66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</w:p>
        </w:tc>
        <w:tc>
          <w:tcPr>
            <w:tcW w:w="3594" w:type="dxa"/>
            <w:tcBorders>
              <w:top w:val="single" w:sz="18" w:space="0" w:color="auto"/>
              <w:bottom w:val="single" w:sz="18" w:space="0" w:color="auto"/>
            </w:tcBorders>
          </w:tcPr>
          <w:p w14:paraId="2E3F1B42" w14:textId="374C810B" w:rsidR="00D625AB" w:rsidRPr="000A7EA5" w:rsidRDefault="00BF24E9" w:rsidP="00411B47">
            <w:pPr>
              <w:widowControl w:val="0"/>
              <w:rPr>
                <w:rFonts w:ascii="Twinkl" w:hAnsi="Twinkl" w:cstheme="minorHAnsi"/>
                <w:bCs/>
                <w:sz w:val="16"/>
                <w:szCs w:val="16"/>
              </w:rPr>
            </w:pP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18B48950" wp14:editId="09603535">
                  <wp:simplePos x="0" y="0"/>
                  <wp:positionH relativeFrom="page">
                    <wp:posOffset>1597025</wp:posOffset>
                  </wp:positionH>
                  <wp:positionV relativeFrom="paragraph">
                    <wp:posOffset>813155</wp:posOffset>
                  </wp:positionV>
                  <wp:extent cx="605103" cy="884418"/>
                  <wp:effectExtent l="0" t="0" r="5080" b="0"/>
                  <wp:wrapNone/>
                  <wp:docPr id="4" name="Picture 4" descr="Poster-2D-and-3D-Shapes-40-x-6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ster-2D-and-3D-Shapes-40-x-6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03" cy="88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1AAA79FB" wp14:editId="12B60EF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972820</wp:posOffset>
                  </wp:positionV>
                  <wp:extent cx="561668" cy="726589"/>
                  <wp:effectExtent l="0" t="0" r="0" b="0"/>
                  <wp:wrapNone/>
                  <wp:docPr id="8" name="Picture 8" descr="Home - Just Teach It | Maths activities ks1, Math stations kindergarten,  Math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e - Just Teach It | Maths activities ks1, Math stations kindergarten,  Math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1" b="5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8" cy="73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EA5" w:rsidRPr="000A7EA5">
              <w:rPr>
                <w:rFonts w:ascii="Twinkl" w:hAnsi="Twink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2F426185" wp14:editId="2399448F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1178560</wp:posOffset>
                  </wp:positionV>
                  <wp:extent cx="544195" cy="231692"/>
                  <wp:effectExtent l="0" t="0" r="0" b="0"/>
                  <wp:wrapNone/>
                  <wp:docPr id="9" name="Picture 9" descr="Free Subtract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ubtract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3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4BD" w:rsidRPr="000A7EA5">
              <w:rPr>
                <w:rFonts w:ascii="Twinkl" w:hAnsi="Twinkl" w:cstheme="minorHAnsi"/>
                <w:bCs/>
                <w:sz w:val="16"/>
                <w:szCs w:val="16"/>
              </w:rPr>
              <w:t>Counting, recognising, and ordering numbers to</w:t>
            </w:r>
            <w:r w:rsidR="009B7752" w:rsidRPr="000A7EA5">
              <w:rPr>
                <w:rFonts w:ascii="Twinkl" w:hAnsi="Twinkl" w:cstheme="minorHAnsi"/>
                <w:bCs/>
                <w:sz w:val="16"/>
                <w:szCs w:val="16"/>
              </w:rPr>
              <w:t xml:space="preserve"> </w:t>
            </w:r>
            <w:r w:rsidR="00A444BD" w:rsidRPr="000A7EA5">
              <w:rPr>
                <w:rFonts w:ascii="Twinkl" w:hAnsi="Twinkl" w:cstheme="minorHAnsi"/>
                <w:bCs/>
                <w:sz w:val="16"/>
                <w:szCs w:val="16"/>
              </w:rPr>
              <w:t>10/20. Recording using marks and numerals.  Naming and describing 2D and 3D shapes - shape hunt.</w:t>
            </w:r>
            <w:r w:rsidR="00743372" w:rsidRPr="000A7EA5">
              <w:rPr>
                <w:rFonts w:ascii="Twinkl" w:hAnsi="Twinkl" w:cstheme="minorHAnsi"/>
                <w:bCs/>
                <w:sz w:val="16"/>
                <w:szCs w:val="16"/>
              </w:rPr>
              <w:t xml:space="preserve">                                                         Making more/less adding and subtracting.                                            Capacity – full/half full/empty.</w:t>
            </w:r>
            <w:r w:rsidR="00FD4B3F" w:rsidRPr="000A7EA5">
              <w:rPr>
                <w:rFonts w:ascii="Twinkl" w:hAnsi="Twinkl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DB4B8F" w:rsidRPr="00EF37EE" w14:paraId="7F9D76F4" w14:textId="77777777" w:rsidTr="00DB4B8F">
        <w:trPr>
          <w:trHeight w:val="387"/>
        </w:trPr>
        <w:tc>
          <w:tcPr>
            <w:tcW w:w="1437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14:paraId="5ABF7FFA" w14:textId="335E2BCE" w:rsidR="00DB4B8F" w:rsidRPr="00DB4B8F" w:rsidRDefault="00DB4B8F" w:rsidP="00411B47">
            <w:pPr>
              <w:widowControl w:val="0"/>
              <w:jc w:val="center"/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D5B40"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 xml:space="preserve">Religious Education: </w:t>
            </w:r>
            <w:r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>Come and See</w:t>
            </w:r>
          </w:p>
        </w:tc>
      </w:tr>
      <w:tr w:rsidR="00DB4B8F" w:rsidRPr="00EF37EE" w14:paraId="08F131BB" w14:textId="77777777" w:rsidTr="00DB4B8F">
        <w:trPr>
          <w:trHeight w:val="387"/>
        </w:trPr>
        <w:tc>
          <w:tcPr>
            <w:tcW w:w="71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71C594" w14:textId="77777777" w:rsidR="00DB4B8F" w:rsidRDefault="00DB4B8F" w:rsidP="00DB4B8F">
            <w:pPr>
              <w:widowControl w:val="0"/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</w:pP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  <w:t>N/R Celebrating</w:t>
            </w:r>
            <w:r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14:paraId="022077F1" w14:textId="1239DDCB" w:rsidR="00DB4B8F" w:rsidRDefault="00DB4B8F" w:rsidP="00DB4B8F">
            <w:pPr>
              <w:widowControl w:val="0"/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</w:pPr>
            <w:r w:rsidRPr="006D5B40">
              <w:rPr>
                <w:rStyle w:val="normaltextrun"/>
                <w:rFonts w:ascii="Twinkl" w:hAnsi="Twinkl" w:cs="Segoe UI"/>
                <w:b/>
                <w:bCs/>
                <w:color w:val="FF0000"/>
                <w:sz w:val="18"/>
                <w:szCs w:val="18"/>
              </w:rPr>
              <w:t>Explore</w:t>
            </w:r>
            <w:r w:rsidRPr="006D5B40">
              <w:rPr>
                <w:rStyle w:val="eop"/>
                <w:rFonts w:ascii="Twinkl" w:hAnsi="Twinkl" w:cs="Segoe UI"/>
                <w:color w:val="FF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4.1.21 - 8.1.21</w:t>
            </w:r>
            <w:r w:rsidRPr="006D5B40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FF0000"/>
                <w:sz w:val="18"/>
                <w:szCs w:val="18"/>
              </w:rPr>
              <w:t>Reveal</w:t>
            </w:r>
            <w:r w:rsidRPr="006D5B40">
              <w:rPr>
                <w:rStyle w:val="eop"/>
                <w:rFonts w:ascii="Twinkl" w:hAnsi="Twinkl" w:cs="Segoe UI"/>
                <w:i/>
                <w:iCs/>
                <w:color w:val="FF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11.1.21 - 22.1.21</w:t>
            </w:r>
            <w:r w:rsidRPr="006D5B40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FF0000"/>
                <w:sz w:val="18"/>
                <w:szCs w:val="18"/>
              </w:rPr>
              <w:t>Respond</w:t>
            </w:r>
            <w:r w:rsidRPr="006D5B40">
              <w:rPr>
                <w:rStyle w:val="eop"/>
                <w:rFonts w:ascii="Twinkl" w:hAnsi="Twinkl" w:cs="Segoe UI"/>
                <w:i/>
                <w:iCs/>
                <w:color w:val="FF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25.1.21 - 29.1.21</w:t>
            </w:r>
          </w:p>
          <w:p w14:paraId="50FE7A34" w14:textId="6EC4261A" w:rsidR="00DB4B8F" w:rsidRPr="00DB4B8F" w:rsidRDefault="00DB4B8F" w:rsidP="00DB4B8F">
            <w:pPr>
              <w:widowControl w:val="0"/>
              <w:rPr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4B8F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(</w:t>
            </w:r>
            <w:r w:rsidRPr="00DB4B8F">
              <w:rPr>
                <w:rFonts w:ascii="Twinkl" w:hAnsi="Twinkl"/>
                <w:sz w:val="18"/>
                <w:szCs w:val="18"/>
              </w:rPr>
              <w:t>Please see the attached unit planning within the Spring 1 folder)</w:t>
            </w:r>
          </w:p>
          <w:p w14:paraId="696CC947" w14:textId="77777777" w:rsidR="00DB4B8F" w:rsidRPr="006D5B40" w:rsidRDefault="00DB4B8F" w:rsidP="00DB4B8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" w:hAnsi="Twinkl"/>
                <w:b/>
                <w:bCs/>
                <w:noProof/>
                <w:u w:val="single"/>
              </w:rPr>
            </w:pPr>
          </w:p>
        </w:tc>
        <w:tc>
          <w:tcPr>
            <w:tcW w:w="71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E7C74F" w14:textId="77777777" w:rsidR="00DB4B8F" w:rsidRDefault="00DB4B8F" w:rsidP="00DB4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  <w:t>N/R Gathering</w:t>
            </w:r>
            <w:r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14:paraId="07B2F641" w14:textId="77777777" w:rsidR="00DB4B8F" w:rsidRPr="006D5B40" w:rsidRDefault="00DB4B8F" w:rsidP="00DB4B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D5B40">
              <w:rPr>
                <w:rStyle w:val="normaltextrun"/>
                <w:rFonts w:ascii="Twinkl" w:hAnsi="Twinkl" w:cs="Segoe UI"/>
                <w:b/>
                <w:bCs/>
                <w:color w:val="00B050"/>
                <w:sz w:val="18"/>
                <w:szCs w:val="18"/>
              </w:rPr>
              <w:t>Explore</w:t>
            </w:r>
            <w:r w:rsidRPr="006D5B40">
              <w:rPr>
                <w:rStyle w:val="eop"/>
                <w:rFonts w:ascii="Twinkl" w:hAnsi="Twinkl" w:cs="Segoe UI"/>
                <w:color w:val="00B05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1.2.21 – 5.2.21</w:t>
            </w:r>
            <w:r w:rsidRPr="006D5B40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B050"/>
                <w:sz w:val="18"/>
                <w:szCs w:val="18"/>
              </w:rPr>
              <w:t>Reveal</w:t>
            </w:r>
            <w:r w:rsidRPr="006D5B40">
              <w:rPr>
                <w:rStyle w:val="eop"/>
                <w:rFonts w:ascii="Twinkl" w:hAnsi="Twinkl" w:cs="Segoe UI"/>
                <w:i/>
                <w:iCs/>
                <w:color w:val="00B05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8.2.21 – 26.2.21 (inc. half term)</w:t>
            </w:r>
            <w:r w:rsidRPr="006D5B40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B050"/>
                <w:sz w:val="18"/>
                <w:szCs w:val="18"/>
              </w:rPr>
              <w:t>Respond</w:t>
            </w:r>
            <w:r w:rsidRPr="006D5B40">
              <w:rPr>
                <w:rStyle w:val="eop"/>
                <w:rFonts w:ascii="Twinkl" w:hAnsi="Twinkl" w:cs="Segoe UI"/>
                <w:color w:val="00B050"/>
                <w:sz w:val="18"/>
                <w:szCs w:val="18"/>
              </w:rPr>
              <w:t> </w:t>
            </w:r>
            <w:r w:rsidRPr="006D5B40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1.3.21 – 5.3.21</w:t>
            </w:r>
            <w:r w:rsidRPr="006D5B40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</w:p>
          <w:p w14:paraId="63A34093" w14:textId="4706C2D2" w:rsidR="00DB4B8F" w:rsidRPr="006D5B40" w:rsidRDefault="00DB4B8F" w:rsidP="00DB4B8F">
            <w:pPr>
              <w:widowControl w:val="0"/>
              <w:jc w:val="center"/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</w:tc>
      </w:tr>
    </w:tbl>
    <w:p w14:paraId="166607D7" w14:textId="5F5F2C3D" w:rsidR="00212649" w:rsidRPr="00EF37EE" w:rsidRDefault="00212649">
      <w:pPr>
        <w:rPr>
          <w:rFonts w:ascii="Twinkl" w:hAnsi="Twinkl"/>
        </w:rPr>
      </w:pPr>
    </w:p>
    <w:sectPr w:rsidR="00212649" w:rsidRPr="00EF37EE" w:rsidSect="002126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9"/>
    <w:rsid w:val="000A7EA5"/>
    <w:rsid w:val="000D625E"/>
    <w:rsid w:val="0010116E"/>
    <w:rsid w:val="00181738"/>
    <w:rsid w:val="001848DF"/>
    <w:rsid w:val="001A12D5"/>
    <w:rsid w:val="001B0506"/>
    <w:rsid w:val="00212649"/>
    <w:rsid w:val="00285A96"/>
    <w:rsid w:val="00292718"/>
    <w:rsid w:val="002A0D96"/>
    <w:rsid w:val="002C0E3A"/>
    <w:rsid w:val="00315C95"/>
    <w:rsid w:val="00321BDC"/>
    <w:rsid w:val="00381C28"/>
    <w:rsid w:val="00386ABC"/>
    <w:rsid w:val="003B17EF"/>
    <w:rsid w:val="00411B47"/>
    <w:rsid w:val="00433831"/>
    <w:rsid w:val="004834D1"/>
    <w:rsid w:val="00496DA3"/>
    <w:rsid w:val="0050591A"/>
    <w:rsid w:val="00545E5F"/>
    <w:rsid w:val="005B018A"/>
    <w:rsid w:val="005B61AF"/>
    <w:rsid w:val="005D5C4D"/>
    <w:rsid w:val="00607330"/>
    <w:rsid w:val="0064416D"/>
    <w:rsid w:val="00673BEC"/>
    <w:rsid w:val="006D5B40"/>
    <w:rsid w:val="006F3C73"/>
    <w:rsid w:val="00743372"/>
    <w:rsid w:val="00755D66"/>
    <w:rsid w:val="007D30D6"/>
    <w:rsid w:val="007E149C"/>
    <w:rsid w:val="00897C56"/>
    <w:rsid w:val="008D33AE"/>
    <w:rsid w:val="008E1A75"/>
    <w:rsid w:val="009372F7"/>
    <w:rsid w:val="009B743D"/>
    <w:rsid w:val="009B7752"/>
    <w:rsid w:val="009E0284"/>
    <w:rsid w:val="00A444BD"/>
    <w:rsid w:val="00A92457"/>
    <w:rsid w:val="00AF2430"/>
    <w:rsid w:val="00BC23D4"/>
    <w:rsid w:val="00BF24E9"/>
    <w:rsid w:val="00D03A45"/>
    <w:rsid w:val="00D625AB"/>
    <w:rsid w:val="00DB4B8F"/>
    <w:rsid w:val="00E72DF5"/>
    <w:rsid w:val="00E8536C"/>
    <w:rsid w:val="00E858ED"/>
    <w:rsid w:val="00EB6432"/>
    <w:rsid w:val="00EF37EE"/>
    <w:rsid w:val="00F32CC1"/>
    <w:rsid w:val="00FC2BF0"/>
    <w:rsid w:val="00FD46D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A18"/>
  <w15:chartTrackingRefBased/>
  <w15:docId w15:val="{382065E0-5F4A-4BA2-88C6-F4E6EB5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EA5"/>
  </w:style>
  <w:style w:type="character" w:customStyle="1" w:styleId="eop">
    <w:name w:val="eop"/>
    <w:basedOn w:val="DefaultParagraphFont"/>
    <w:rsid w:val="000A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Boyer</dc:creator>
  <cp:keywords/>
  <dc:description/>
  <cp:lastModifiedBy>Kim Baxter</cp:lastModifiedBy>
  <cp:revision>10</cp:revision>
  <dcterms:created xsi:type="dcterms:W3CDTF">2021-01-26T12:18:00Z</dcterms:created>
  <dcterms:modified xsi:type="dcterms:W3CDTF">2021-01-27T11:38:00Z</dcterms:modified>
</cp:coreProperties>
</file>