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6CE2A" w14:textId="750CE04D" w:rsidR="00212649" w:rsidRPr="000A7EA5" w:rsidRDefault="00EF37EE" w:rsidP="00386ABC">
      <w:pPr>
        <w:jc w:val="center"/>
        <w:rPr>
          <w:rFonts w:ascii="Twinkl" w:hAnsi="Twinkl"/>
          <w:b/>
          <w:bCs/>
          <w:color w:val="CC0066"/>
          <w:sz w:val="32"/>
          <w:szCs w:val="32"/>
          <w:u w:val="single"/>
        </w:rPr>
      </w:pPr>
      <w:r w:rsidRPr="000A7EA5">
        <w:rPr>
          <w:rFonts w:ascii="Times New Roman" w:hAnsi="Times New Roman" w:cs="Times New Roman"/>
          <w:noProof/>
          <w:sz w:val="32"/>
          <w:szCs w:val="32"/>
        </w:rPr>
        <w:drawing>
          <wp:anchor distT="36576" distB="36576" distL="36576" distR="36576" simplePos="0" relativeHeight="251702272" behindDoc="0" locked="0" layoutInCell="1" allowOverlap="1" wp14:anchorId="0A05F245" wp14:editId="3D7AD75D">
            <wp:simplePos x="0" y="0"/>
            <wp:positionH relativeFrom="column">
              <wp:posOffset>-15240</wp:posOffset>
            </wp:positionH>
            <wp:positionV relativeFrom="paragraph">
              <wp:posOffset>-619760</wp:posOffset>
            </wp:positionV>
            <wp:extent cx="807720" cy="927949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2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EA5">
        <w:rPr>
          <w:rFonts w:ascii="Twinkl" w:hAnsi="Twinkl"/>
          <w:b/>
          <w:bCs/>
          <w:color w:val="CC0066"/>
          <w:sz w:val="32"/>
          <w:szCs w:val="32"/>
          <w:u w:val="single"/>
        </w:rPr>
        <w:t xml:space="preserve">St Edmunds Catholic Primary School: </w:t>
      </w:r>
      <w:r w:rsidR="007E149C" w:rsidRPr="000A7EA5">
        <w:rPr>
          <w:rFonts w:ascii="Twinkl" w:hAnsi="Twinkl"/>
          <w:b/>
          <w:bCs/>
          <w:color w:val="CC0066"/>
          <w:sz w:val="32"/>
          <w:szCs w:val="32"/>
          <w:u w:val="single"/>
        </w:rPr>
        <w:t xml:space="preserve">Early Years Foundation Stage </w:t>
      </w:r>
    </w:p>
    <w:p w14:paraId="6685E3F1" w14:textId="7C3DFE86" w:rsidR="007E149C" w:rsidRPr="000A7EA5" w:rsidRDefault="006F3C73" w:rsidP="00386ABC">
      <w:pPr>
        <w:jc w:val="center"/>
        <w:rPr>
          <w:rFonts w:ascii="Twinkl" w:hAnsi="Twinkl"/>
          <w:b/>
          <w:bCs/>
          <w:sz w:val="32"/>
          <w:szCs w:val="32"/>
          <w:u w:val="single"/>
        </w:rPr>
      </w:pPr>
      <w:r w:rsidRPr="000A7EA5">
        <w:rPr>
          <w:rFonts w:ascii="Twinkl" w:hAnsi="Twinkl" w:cs="Times New Roman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10E2DBD3" wp14:editId="147427BE">
            <wp:simplePos x="0" y="0"/>
            <wp:positionH relativeFrom="margin">
              <wp:posOffset>9819005</wp:posOffset>
            </wp:positionH>
            <wp:positionV relativeFrom="paragraph">
              <wp:posOffset>1276985</wp:posOffset>
            </wp:positionV>
            <wp:extent cx="605287" cy="828675"/>
            <wp:effectExtent l="0" t="0" r="4445" b="0"/>
            <wp:wrapNone/>
            <wp:docPr id="10" name="Picture 10" descr="Pudsey Bear - Children In Need Bear Clipart (#651517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udsey Bear - Children In Need Bear Clipart (#651517) - Pin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7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631">
        <w:rPr>
          <w:rFonts w:ascii="Twinkl" w:hAnsi="Twinkl"/>
          <w:b/>
          <w:bCs/>
          <w:sz w:val="32"/>
          <w:szCs w:val="32"/>
          <w:u w:val="single"/>
        </w:rPr>
        <w:t xml:space="preserve">Autumn </w:t>
      </w:r>
      <w:r w:rsidR="00090726">
        <w:rPr>
          <w:rFonts w:ascii="Twinkl" w:hAnsi="Twinkl"/>
          <w:b/>
          <w:bCs/>
          <w:sz w:val="32"/>
          <w:szCs w:val="32"/>
          <w:u w:val="single"/>
        </w:rPr>
        <w:t>2</w:t>
      </w:r>
      <w:r w:rsidR="00EA3631">
        <w:rPr>
          <w:rFonts w:ascii="Twinkl" w:hAnsi="Twinkl"/>
          <w:b/>
          <w:bCs/>
          <w:sz w:val="32"/>
          <w:szCs w:val="32"/>
          <w:u w:val="single"/>
        </w:rPr>
        <w:t xml:space="preserve">: </w:t>
      </w:r>
      <w:r w:rsidR="00090726">
        <w:rPr>
          <w:rFonts w:ascii="Twinkl" w:hAnsi="Twinkl"/>
          <w:b/>
          <w:bCs/>
          <w:sz w:val="32"/>
          <w:szCs w:val="32"/>
          <w:u w:val="single"/>
        </w:rPr>
        <w:t>Let us Celebrate</w:t>
      </w:r>
    </w:p>
    <w:tbl>
      <w:tblPr>
        <w:tblStyle w:val="TableGrid"/>
        <w:tblW w:w="143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805"/>
        <w:gridCol w:w="1275"/>
        <w:gridCol w:w="2694"/>
        <w:gridCol w:w="1842"/>
        <w:gridCol w:w="1418"/>
        <w:gridCol w:w="3342"/>
      </w:tblGrid>
      <w:tr w:rsidR="00370972" w:rsidRPr="00EF37EE" w14:paraId="15764A9C" w14:textId="77777777" w:rsidTr="00370972">
        <w:trPr>
          <w:trHeight w:val="405"/>
        </w:trPr>
        <w:tc>
          <w:tcPr>
            <w:tcW w:w="5080" w:type="dxa"/>
            <w:gridSpan w:val="2"/>
            <w:tcBorders>
              <w:bottom w:val="single" w:sz="18" w:space="0" w:color="auto"/>
            </w:tcBorders>
            <w:shd w:val="clear" w:color="auto" w:fill="FFCC99"/>
          </w:tcPr>
          <w:p w14:paraId="7D6D051F" w14:textId="11CB1093" w:rsidR="00F32CC1" w:rsidRPr="009372F7" w:rsidRDefault="00F32CC1" w:rsidP="009372F7">
            <w:pPr>
              <w:jc w:val="center"/>
              <w:rPr>
                <w:rFonts w:ascii="Twinkl" w:hAnsi="Twinkl"/>
                <w:b/>
                <w:bCs/>
                <w:sz w:val="20"/>
                <w:szCs w:val="20"/>
                <w:u w:val="single"/>
              </w:rPr>
            </w:pPr>
            <w:r w:rsidRPr="009372F7">
              <w:rPr>
                <w:rFonts w:ascii="Twinkl" w:hAnsi="Twinkl"/>
                <w:b/>
                <w:bCs/>
                <w:sz w:val="20"/>
                <w:szCs w:val="20"/>
                <w:u w:val="single"/>
              </w:rPr>
              <w:t>Communication &amp; Language</w:t>
            </w:r>
          </w:p>
        </w:tc>
        <w:tc>
          <w:tcPr>
            <w:tcW w:w="4536" w:type="dxa"/>
            <w:gridSpan w:val="2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14:paraId="7CBF4C21" w14:textId="019ADECA" w:rsidR="00F32CC1" w:rsidRPr="009372F7" w:rsidRDefault="00F32CC1" w:rsidP="009372F7">
            <w:pPr>
              <w:jc w:val="center"/>
              <w:rPr>
                <w:rFonts w:ascii="Twinkl" w:hAnsi="Twinkl"/>
                <w:b/>
                <w:bCs/>
                <w:sz w:val="20"/>
                <w:szCs w:val="20"/>
                <w:u w:val="single"/>
              </w:rPr>
            </w:pPr>
            <w:r w:rsidRPr="009372F7">
              <w:rPr>
                <w:rFonts w:ascii="Twinkl" w:hAnsi="Twinkl"/>
                <w:b/>
                <w:bCs/>
                <w:sz w:val="20"/>
                <w:szCs w:val="20"/>
                <w:u w:val="single"/>
              </w:rPr>
              <w:t>Physical Development</w:t>
            </w:r>
          </w:p>
        </w:tc>
        <w:tc>
          <w:tcPr>
            <w:tcW w:w="4760" w:type="dxa"/>
            <w:gridSpan w:val="2"/>
            <w:shd w:val="clear" w:color="auto" w:fill="B4C6E7" w:themeFill="accent1" w:themeFillTint="66"/>
          </w:tcPr>
          <w:p w14:paraId="79F3B511" w14:textId="46D1754D" w:rsidR="00F32CC1" w:rsidRPr="009372F7" w:rsidRDefault="00F32CC1" w:rsidP="009372F7">
            <w:pPr>
              <w:jc w:val="center"/>
              <w:rPr>
                <w:rFonts w:ascii="Twinkl" w:hAnsi="Twinkl"/>
                <w:b/>
                <w:bCs/>
                <w:sz w:val="20"/>
                <w:szCs w:val="20"/>
                <w:u w:val="single"/>
              </w:rPr>
            </w:pPr>
            <w:r w:rsidRPr="009372F7">
              <w:rPr>
                <w:rFonts w:ascii="Twinkl" w:hAnsi="Twinkl"/>
                <w:b/>
                <w:bCs/>
                <w:sz w:val="20"/>
                <w:szCs w:val="20"/>
                <w:u w:val="single"/>
              </w:rPr>
              <w:t>Personal, Social and Emotional Development</w:t>
            </w:r>
          </w:p>
        </w:tc>
      </w:tr>
      <w:tr w:rsidR="00370972" w:rsidRPr="00EF37EE" w14:paraId="49FA2B62" w14:textId="77777777" w:rsidTr="00370972">
        <w:trPr>
          <w:trHeight w:val="2458"/>
        </w:trPr>
        <w:tc>
          <w:tcPr>
            <w:tcW w:w="5080" w:type="dxa"/>
            <w:gridSpan w:val="2"/>
            <w:tcBorders>
              <w:top w:val="single" w:sz="18" w:space="0" w:color="auto"/>
            </w:tcBorders>
          </w:tcPr>
          <w:p w14:paraId="7A9E7614" w14:textId="1B22A993" w:rsidR="001305FF" w:rsidRDefault="00370972" w:rsidP="009B6E8C">
            <w:pPr>
              <w:widowControl w:val="0"/>
              <w:rPr>
                <w:rFonts w:ascii="Twinkl" w:hAnsi="Twink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68DDEA4B" wp14:editId="66D22A5D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60960</wp:posOffset>
                  </wp:positionV>
                  <wp:extent cx="784860" cy="587375"/>
                  <wp:effectExtent l="0" t="0" r="0" b="3175"/>
                  <wp:wrapTight wrapText="bothSides">
                    <wp:wrapPolygon edited="0">
                      <wp:start x="0" y="0"/>
                      <wp:lineTo x="0" y="21016"/>
                      <wp:lineTo x="20971" y="21016"/>
                      <wp:lineTo x="20971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58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05FF">
              <w:rPr>
                <w:rFonts w:ascii="Twinkl" w:hAnsi="Twinkl"/>
                <w:sz w:val="18"/>
                <w:szCs w:val="18"/>
              </w:rPr>
              <w:t>This half term we will e</w:t>
            </w:r>
            <w:r w:rsidR="001305FF" w:rsidRPr="001305FF">
              <w:rPr>
                <w:rFonts w:ascii="Twinkl" w:hAnsi="Twinkl"/>
                <w:sz w:val="18"/>
                <w:szCs w:val="18"/>
              </w:rPr>
              <w:t xml:space="preserve">xplore small world activities and role play </w:t>
            </w:r>
            <w:r w:rsidR="001305FF">
              <w:rPr>
                <w:rFonts w:ascii="Twinkl" w:hAnsi="Twinkl"/>
                <w:sz w:val="18"/>
                <w:szCs w:val="18"/>
              </w:rPr>
              <w:t>to further e</w:t>
            </w:r>
            <w:r w:rsidR="001305FF" w:rsidRPr="001305FF">
              <w:rPr>
                <w:rFonts w:ascii="Twinkl" w:hAnsi="Twinkl"/>
                <w:sz w:val="18"/>
                <w:szCs w:val="18"/>
              </w:rPr>
              <w:t xml:space="preserve">xtend </w:t>
            </w:r>
            <w:r w:rsidR="001305FF">
              <w:rPr>
                <w:rFonts w:ascii="Twinkl" w:hAnsi="Twinkl"/>
                <w:sz w:val="18"/>
                <w:szCs w:val="18"/>
              </w:rPr>
              <w:t xml:space="preserve">our </w:t>
            </w:r>
            <w:r w:rsidR="001305FF" w:rsidRPr="001305FF">
              <w:rPr>
                <w:rFonts w:ascii="Twinkl" w:hAnsi="Twinkl"/>
                <w:sz w:val="18"/>
                <w:szCs w:val="18"/>
              </w:rPr>
              <w:t>vocabulary/exploring the sound and meaning of new words</w:t>
            </w:r>
            <w:r w:rsidR="001305FF">
              <w:rPr>
                <w:rFonts w:ascii="Twinkl" w:hAnsi="Twinkl"/>
                <w:sz w:val="18"/>
                <w:szCs w:val="18"/>
              </w:rPr>
              <w:t>.</w:t>
            </w:r>
            <w:r w:rsidR="009B6E8C">
              <w:rPr>
                <w:rFonts w:ascii="Twinkl" w:hAnsi="Twinkl"/>
                <w:sz w:val="18"/>
                <w:szCs w:val="18"/>
              </w:rPr>
              <w:t xml:space="preserve"> We will begin our NELI programme. </w:t>
            </w:r>
          </w:p>
          <w:p w14:paraId="4B54E5BA" w14:textId="5C8FFE7B" w:rsidR="001305FF" w:rsidRPr="001305FF" w:rsidRDefault="001305FF" w:rsidP="009B6E8C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Twinkl" w:hAnsi="Twinkl"/>
                <w:sz w:val="18"/>
                <w:szCs w:val="18"/>
              </w:rPr>
              <w:t>We will focus on</w:t>
            </w:r>
            <w:r w:rsidRPr="001305FF">
              <w:rPr>
                <w:rFonts w:ascii="Twinkl" w:hAnsi="Twinkl"/>
                <w:sz w:val="18"/>
                <w:szCs w:val="18"/>
              </w:rPr>
              <w:t xml:space="preserve"> </w:t>
            </w:r>
            <w:r>
              <w:rPr>
                <w:rFonts w:ascii="Twinkl" w:hAnsi="Twinkl"/>
                <w:sz w:val="18"/>
                <w:szCs w:val="18"/>
              </w:rPr>
              <w:t>m</w:t>
            </w:r>
            <w:r w:rsidRPr="001305FF">
              <w:rPr>
                <w:rFonts w:ascii="Twinkl" w:hAnsi="Twinkl"/>
                <w:sz w:val="18"/>
                <w:szCs w:val="18"/>
              </w:rPr>
              <w:t>aintain</w:t>
            </w:r>
            <w:r>
              <w:rPr>
                <w:rFonts w:ascii="Twinkl" w:hAnsi="Twinkl"/>
                <w:sz w:val="18"/>
                <w:szCs w:val="18"/>
              </w:rPr>
              <w:t>ing our</w:t>
            </w:r>
            <w:r w:rsidRPr="001305FF">
              <w:rPr>
                <w:rFonts w:ascii="Twinkl" w:hAnsi="Twinkl"/>
                <w:sz w:val="18"/>
                <w:szCs w:val="18"/>
              </w:rPr>
              <w:t xml:space="preserve"> attention and respond</w:t>
            </w:r>
            <w:r>
              <w:rPr>
                <w:rFonts w:ascii="Twinkl" w:hAnsi="Twinkl"/>
                <w:sz w:val="18"/>
                <w:szCs w:val="18"/>
              </w:rPr>
              <w:t>ing</w:t>
            </w:r>
            <w:r w:rsidRPr="001305FF">
              <w:rPr>
                <w:rFonts w:ascii="Twinkl" w:hAnsi="Twinkl"/>
                <w:sz w:val="18"/>
                <w:szCs w:val="18"/>
              </w:rPr>
              <w:t xml:space="preserve"> appropriately to simple instructions Continuing to build on a repertoire of rhymes and songs and favourite stories and identify new vocabulary.</w:t>
            </w:r>
            <w:r w:rsidR="009B6E8C">
              <w:rPr>
                <w:rFonts w:ascii="Twinkl" w:hAnsi="Twinkl"/>
                <w:sz w:val="18"/>
                <w:szCs w:val="18"/>
              </w:rPr>
              <w:t xml:space="preserve"> Our role play area will be developed into a home fit for many celebrations including birthdays and Christmas. 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</w:tcBorders>
          </w:tcPr>
          <w:p w14:paraId="6E8235B1" w14:textId="741EBF39" w:rsidR="009B6E8C" w:rsidRDefault="00370972" w:rsidP="001305FF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49C9B3F1" wp14:editId="4E062832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38100</wp:posOffset>
                  </wp:positionV>
                  <wp:extent cx="548640" cy="548640"/>
                  <wp:effectExtent l="0" t="0" r="3810" b="381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6E8C">
              <w:rPr>
                <w:rFonts w:ascii="Twinkl" w:eastAsia="Times New Roman" w:hAnsi="Twinkl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  <w:t>We will further d</w:t>
            </w:r>
            <w:r w:rsidR="009B6E8C" w:rsidRPr="009B6E8C">
              <w:rPr>
                <w:rFonts w:ascii="Twinkl" w:eastAsia="Times New Roman" w:hAnsi="Twinkl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evelop cooperation skills—throwing /catching Moving in different ways/balance Discuss how bodies feel before and after physical activity. </w:t>
            </w:r>
          </w:p>
          <w:p w14:paraId="7075D5B2" w14:textId="6612A3B2" w:rsidR="001305FF" w:rsidRDefault="009B6E8C" w:rsidP="001305FF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Twinkl" w:eastAsia="Times New Roman" w:hAnsi="Twinkl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  <w:t>We will also d</w:t>
            </w:r>
            <w:r w:rsidRPr="009B6E8C">
              <w:rPr>
                <w:rFonts w:ascii="Twinkl" w:eastAsia="Times New Roman" w:hAnsi="Twinkl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evelop the muscles in the hand and fingers: finger gym, mark making, using </w:t>
            </w:r>
            <w:proofErr w:type="gramStart"/>
            <w:r w:rsidRPr="009B6E8C">
              <w:rPr>
                <w:rFonts w:ascii="Twinkl" w:eastAsia="Times New Roman" w:hAnsi="Twinkl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  <w:t>tools</w:t>
            </w:r>
            <w:proofErr w:type="gramEnd"/>
            <w:r>
              <w:rPr>
                <w:rFonts w:ascii="Twinkl" w:eastAsia="Times New Roman" w:hAnsi="Twinkl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and taking part in daily letter formation sessions within our phonics lessons. </w:t>
            </w:r>
          </w:p>
          <w:p w14:paraId="7C005929" w14:textId="2C72438B" w:rsidR="009B6E8C" w:rsidRPr="001305FF" w:rsidRDefault="009B6E8C" w:rsidP="001305FF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Twinkl" w:eastAsia="Times New Roman" w:hAnsi="Twinkl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See West Lancashire SSP for further PE sessions for this half term. </w:t>
            </w:r>
          </w:p>
        </w:tc>
        <w:tc>
          <w:tcPr>
            <w:tcW w:w="4760" w:type="dxa"/>
            <w:gridSpan w:val="2"/>
          </w:tcPr>
          <w:tbl>
            <w:tblPr>
              <w:tblpPr w:leftFromText="180" w:rightFromText="180" w:vertAnchor="text" w:horzAnchor="margin" w:tblpXSpec="right" w:tblpY="-85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70972" w14:paraId="626E0CBE" w14:textId="77777777" w:rsidTr="00370972">
              <w:tblPrEx>
                <w:tblCellMar>
                  <w:top w:w="0" w:type="dxa"/>
                  <w:bottom w:w="0" w:type="dxa"/>
                </w:tblCellMar>
              </w:tblPrEx>
              <w:trPr>
                <w:trHeight w:val="849"/>
              </w:trPr>
              <w:tc>
                <w:tcPr>
                  <w:tcW w:w="0" w:type="auto"/>
                </w:tcPr>
                <w:p w14:paraId="2B15125C" w14:textId="77777777" w:rsidR="00370972" w:rsidRDefault="00370972" w:rsidP="00370972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F906E7B" w14:textId="7F7A89A1" w:rsidR="009B6E8C" w:rsidRDefault="00370972" w:rsidP="009B6E8C">
            <w:pPr>
              <w:pStyle w:val="Default"/>
              <w:rPr>
                <w:rFonts w:ascii="Twinkl" w:hAnsi="Twink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7EB883EC" wp14:editId="281E915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45720</wp:posOffset>
                  </wp:positionV>
                  <wp:extent cx="1035050" cy="588010"/>
                  <wp:effectExtent l="0" t="0" r="0" b="2540"/>
                  <wp:wrapTight wrapText="bothSides">
                    <wp:wrapPolygon edited="0">
                      <wp:start x="0" y="0"/>
                      <wp:lineTo x="0" y="20994"/>
                      <wp:lineTo x="21070" y="20994"/>
                      <wp:lineTo x="21070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050" cy="58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6E8C">
              <w:rPr>
                <w:rFonts w:ascii="Twinkl" w:hAnsi="Twinkl"/>
                <w:sz w:val="18"/>
                <w:szCs w:val="18"/>
              </w:rPr>
              <w:t>We will c</w:t>
            </w:r>
            <w:r w:rsidR="009B6E8C" w:rsidRPr="009B6E8C">
              <w:rPr>
                <w:rFonts w:ascii="Twinkl" w:hAnsi="Twinkl"/>
                <w:sz w:val="18"/>
                <w:szCs w:val="18"/>
              </w:rPr>
              <w:t xml:space="preserve">ontinue to develop independence/routines </w:t>
            </w:r>
            <w:r w:rsidR="009B6E8C">
              <w:rPr>
                <w:rFonts w:ascii="Twinkl" w:hAnsi="Twinkl"/>
                <w:sz w:val="18"/>
                <w:szCs w:val="18"/>
              </w:rPr>
              <w:t xml:space="preserve">within the classroom setting and in and around other areas of school. </w:t>
            </w:r>
          </w:p>
          <w:p w14:paraId="1595A0BB" w14:textId="16F03751" w:rsidR="009B6E8C" w:rsidRPr="009B6E8C" w:rsidRDefault="00F476BA" w:rsidP="009B6E8C">
            <w:pPr>
              <w:pStyle w:val="Default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Friendship</w:t>
            </w:r>
            <w:r w:rsidR="009B6E8C">
              <w:rPr>
                <w:rFonts w:ascii="Twinkl" w:hAnsi="Twinkl"/>
                <w:sz w:val="18"/>
                <w:szCs w:val="18"/>
              </w:rPr>
              <w:t xml:space="preserve"> week will be celebrated this half term and we will learn what it means to be considerate, </w:t>
            </w:r>
            <w:r>
              <w:rPr>
                <w:rFonts w:ascii="Twinkl" w:hAnsi="Twinkl"/>
                <w:sz w:val="18"/>
                <w:szCs w:val="18"/>
              </w:rPr>
              <w:t>courteous,</w:t>
            </w:r>
            <w:r w:rsidR="009B6E8C">
              <w:rPr>
                <w:rFonts w:ascii="Twinkl" w:hAnsi="Twinkl"/>
                <w:sz w:val="18"/>
                <w:szCs w:val="18"/>
              </w:rPr>
              <w:t xml:space="preserve"> and kind to others. We will explore our feelings </w:t>
            </w:r>
            <w:r>
              <w:rPr>
                <w:rFonts w:ascii="Twinkl" w:hAnsi="Twinkl"/>
                <w:sz w:val="18"/>
                <w:szCs w:val="18"/>
              </w:rPr>
              <w:t xml:space="preserve">and emotions further and create an EYFS friendship video. </w:t>
            </w:r>
          </w:p>
          <w:p w14:paraId="721AE30B" w14:textId="06EE4FDD" w:rsidR="009B6E8C" w:rsidRPr="009B6E8C" w:rsidRDefault="00F476BA" w:rsidP="009B6E8C">
            <w:pPr>
              <w:pStyle w:val="Default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We are going to c</w:t>
            </w:r>
            <w:r w:rsidR="009B6E8C" w:rsidRPr="009B6E8C">
              <w:rPr>
                <w:rFonts w:ascii="Twinkl" w:hAnsi="Twinkl"/>
                <w:sz w:val="18"/>
                <w:szCs w:val="18"/>
              </w:rPr>
              <w:t>ontinue to develop self-confidence/awareness</w:t>
            </w:r>
            <w:r>
              <w:rPr>
                <w:rFonts w:ascii="Twinkl" w:hAnsi="Twinkl"/>
                <w:sz w:val="18"/>
                <w:szCs w:val="18"/>
              </w:rPr>
              <w:t xml:space="preserve"> and how to share resources. </w:t>
            </w:r>
          </w:p>
          <w:p w14:paraId="346962A5" w14:textId="17974160" w:rsidR="001305FF" w:rsidRPr="001305FF" w:rsidRDefault="001305FF" w:rsidP="001305FF">
            <w:pPr>
              <w:rPr>
                <w:rFonts w:ascii="Twinkl" w:hAnsi="Twinkl" w:cstheme="minorHAnsi"/>
                <w:bCs/>
                <w:sz w:val="18"/>
                <w:szCs w:val="18"/>
              </w:rPr>
            </w:pPr>
          </w:p>
        </w:tc>
      </w:tr>
      <w:tr w:rsidR="00370972" w:rsidRPr="00EF37EE" w14:paraId="5B561CDF" w14:textId="77777777" w:rsidTr="00370972">
        <w:trPr>
          <w:trHeight w:val="466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FFFF99"/>
          </w:tcPr>
          <w:p w14:paraId="78E63D5D" w14:textId="2F967206" w:rsidR="007E149C" w:rsidRPr="009372F7" w:rsidRDefault="007E149C" w:rsidP="00411B47">
            <w:pPr>
              <w:jc w:val="center"/>
              <w:rPr>
                <w:rFonts w:ascii="Twinkl" w:hAnsi="Twinkl"/>
                <w:b/>
                <w:bCs/>
                <w:sz w:val="20"/>
                <w:szCs w:val="20"/>
                <w:u w:val="single"/>
              </w:rPr>
            </w:pPr>
            <w:r w:rsidRPr="009372F7">
              <w:rPr>
                <w:rFonts w:ascii="Twinkl" w:hAnsi="Twinkl"/>
                <w:b/>
                <w:bCs/>
                <w:color w:val="000000"/>
                <w:sz w:val="20"/>
                <w:szCs w:val="20"/>
                <w:u w:val="single"/>
              </w:rPr>
              <w:t>Understanding the World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</w:tcBorders>
            <w:shd w:val="clear" w:color="auto" w:fill="99CCFF"/>
          </w:tcPr>
          <w:p w14:paraId="33CD2161" w14:textId="155E77BC" w:rsidR="007E149C" w:rsidRPr="009372F7" w:rsidRDefault="007E149C" w:rsidP="00411B47">
            <w:pPr>
              <w:jc w:val="center"/>
              <w:rPr>
                <w:rFonts w:ascii="Twinkl" w:hAnsi="Twinkl"/>
                <w:b/>
                <w:bCs/>
                <w:sz w:val="20"/>
                <w:szCs w:val="20"/>
                <w:u w:val="single"/>
              </w:rPr>
            </w:pPr>
            <w:r w:rsidRPr="009372F7">
              <w:rPr>
                <w:rFonts w:ascii="Twinkl" w:hAnsi="Twinkl"/>
                <w:b/>
                <w:bCs/>
                <w:sz w:val="20"/>
                <w:szCs w:val="20"/>
                <w:u w:val="single"/>
              </w:rPr>
              <w:t>Expressive Arts and Design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</w:tcBorders>
            <w:shd w:val="clear" w:color="auto" w:fill="FFCCCC"/>
          </w:tcPr>
          <w:p w14:paraId="5F86652C" w14:textId="07B2DB71" w:rsidR="007E149C" w:rsidRPr="009372F7" w:rsidRDefault="007E149C" w:rsidP="00411B47">
            <w:pPr>
              <w:jc w:val="center"/>
              <w:rPr>
                <w:rFonts w:ascii="Twinkl" w:hAnsi="Twinkl"/>
                <w:b/>
                <w:bCs/>
                <w:sz w:val="20"/>
                <w:szCs w:val="20"/>
                <w:u w:val="single"/>
              </w:rPr>
            </w:pPr>
            <w:r w:rsidRPr="009372F7">
              <w:rPr>
                <w:rFonts w:ascii="Twinkl" w:hAnsi="Twinkl"/>
                <w:b/>
                <w:bCs/>
                <w:sz w:val="20"/>
                <w:szCs w:val="20"/>
                <w:u w:val="single"/>
              </w:rPr>
              <w:t>Literacy</w:t>
            </w:r>
          </w:p>
        </w:tc>
        <w:tc>
          <w:tcPr>
            <w:tcW w:w="3342" w:type="dxa"/>
            <w:tcBorders>
              <w:top w:val="single" w:sz="18" w:space="0" w:color="auto"/>
            </w:tcBorders>
            <w:shd w:val="clear" w:color="auto" w:fill="CCFFFF"/>
          </w:tcPr>
          <w:p w14:paraId="30522B5B" w14:textId="07FC78DD" w:rsidR="007E149C" w:rsidRPr="009372F7" w:rsidRDefault="007E149C" w:rsidP="00411B47">
            <w:pPr>
              <w:jc w:val="center"/>
              <w:rPr>
                <w:rFonts w:ascii="Twinkl" w:hAnsi="Twinkl"/>
                <w:b/>
                <w:bCs/>
                <w:sz w:val="20"/>
                <w:szCs w:val="20"/>
                <w:u w:val="single"/>
              </w:rPr>
            </w:pPr>
            <w:r w:rsidRPr="009372F7">
              <w:rPr>
                <w:rFonts w:ascii="Twinkl" w:hAnsi="Twinkl"/>
                <w:b/>
                <w:bCs/>
                <w:sz w:val="20"/>
                <w:szCs w:val="20"/>
                <w:u w:val="single"/>
              </w:rPr>
              <w:t>Mathematics</w:t>
            </w:r>
          </w:p>
        </w:tc>
      </w:tr>
      <w:tr w:rsidR="00370972" w:rsidRPr="00EF37EE" w14:paraId="46056EC5" w14:textId="77777777" w:rsidTr="00370972">
        <w:trPr>
          <w:trHeight w:val="2564"/>
        </w:trPr>
        <w:tc>
          <w:tcPr>
            <w:tcW w:w="3805" w:type="dxa"/>
            <w:tcBorders>
              <w:top w:val="single" w:sz="18" w:space="0" w:color="auto"/>
              <w:bottom w:val="single" w:sz="18" w:space="0" w:color="auto"/>
            </w:tcBorders>
          </w:tcPr>
          <w:p w14:paraId="389BCBDF" w14:textId="572A9A2F" w:rsidR="00F476BA" w:rsidRPr="00370972" w:rsidRDefault="00370972" w:rsidP="001305FF">
            <w:pPr>
              <w:widowControl w:val="0"/>
              <w:rPr>
                <w:rFonts w:ascii="Twinkl" w:hAnsi="Twinkl" w:cstheme="minorHAnsi"/>
                <w:bCs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5A4DD5B1" wp14:editId="518D1F3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44450</wp:posOffset>
                  </wp:positionV>
                  <wp:extent cx="716280" cy="716280"/>
                  <wp:effectExtent l="0" t="0" r="7620" b="7620"/>
                  <wp:wrapTight wrapText="bothSides">
                    <wp:wrapPolygon edited="0">
                      <wp:start x="0" y="0"/>
                      <wp:lineTo x="0" y="21255"/>
                      <wp:lineTo x="21255" y="21255"/>
                      <wp:lineTo x="21255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76BA" w:rsidRPr="00370972">
              <w:rPr>
                <w:rFonts w:ascii="Twinkl" w:hAnsi="Twinkl" w:cstheme="minorHAnsi"/>
                <w:bCs/>
                <w:sz w:val="17"/>
                <w:szCs w:val="17"/>
              </w:rPr>
              <w:t xml:space="preserve">Remembrance Day </w:t>
            </w:r>
            <w:r w:rsidR="00F476BA" w:rsidRPr="00370972">
              <w:rPr>
                <w:rFonts w:ascii="Twinkl" w:hAnsi="Twinkl" w:cstheme="minorHAnsi"/>
                <w:bCs/>
                <w:sz w:val="17"/>
                <w:szCs w:val="17"/>
              </w:rPr>
              <w:t>11</w:t>
            </w:r>
            <w:r w:rsidR="00F476BA" w:rsidRPr="00370972">
              <w:rPr>
                <w:rFonts w:ascii="Twinkl" w:hAnsi="Twinkl" w:cstheme="minorHAnsi"/>
                <w:bCs/>
                <w:sz w:val="17"/>
                <w:szCs w:val="17"/>
                <w:vertAlign w:val="superscript"/>
              </w:rPr>
              <w:t>th</w:t>
            </w:r>
            <w:r w:rsidR="00F476BA" w:rsidRPr="00370972">
              <w:rPr>
                <w:rFonts w:ascii="Twinkl" w:hAnsi="Twinkl" w:cstheme="minorHAnsi"/>
                <w:bCs/>
                <w:sz w:val="17"/>
                <w:szCs w:val="17"/>
              </w:rPr>
              <w:t xml:space="preserve"> November.</w:t>
            </w:r>
          </w:p>
          <w:p w14:paraId="1D9DF434" w14:textId="03B3774F" w:rsidR="00F476BA" w:rsidRPr="00370972" w:rsidRDefault="00F476BA" w:rsidP="001305FF">
            <w:pPr>
              <w:widowControl w:val="0"/>
              <w:rPr>
                <w:rFonts w:ascii="Twinkl" w:hAnsi="Twinkl" w:cstheme="minorHAnsi"/>
                <w:bCs/>
                <w:sz w:val="17"/>
                <w:szCs w:val="17"/>
              </w:rPr>
            </w:pPr>
            <w:r w:rsidRPr="00370972">
              <w:rPr>
                <w:rFonts w:ascii="Twinkl" w:hAnsi="Twinkl" w:cstheme="minorHAnsi"/>
                <w:bCs/>
                <w:sz w:val="17"/>
                <w:szCs w:val="17"/>
              </w:rPr>
              <w:t>We will take part in many C</w:t>
            </w:r>
            <w:r w:rsidRPr="00370972">
              <w:rPr>
                <w:rFonts w:ascii="Twinkl" w:hAnsi="Twinkl" w:cstheme="minorHAnsi"/>
                <w:bCs/>
                <w:sz w:val="17"/>
                <w:szCs w:val="17"/>
              </w:rPr>
              <w:t xml:space="preserve">hristmas Traditions/experiences </w:t>
            </w:r>
            <w:r w:rsidRPr="00370972">
              <w:rPr>
                <w:rFonts w:ascii="Twinkl" w:hAnsi="Twinkl" w:cstheme="minorHAnsi"/>
                <w:bCs/>
                <w:sz w:val="17"/>
                <w:szCs w:val="17"/>
              </w:rPr>
              <w:t xml:space="preserve">and talk about our traditions at home. </w:t>
            </w:r>
          </w:p>
          <w:p w14:paraId="3C476AB6" w14:textId="5CE0DA53" w:rsidR="00F476BA" w:rsidRPr="00370972" w:rsidRDefault="00F476BA" w:rsidP="001305FF">
            <w:pPr>
              <w:widowControl w:val="0"/>
              <w:rPr>
                <w:rFonts w:ascii="Twinkl" w:hAnsi="Twinkl" w:cstheme="minorHAnsi"/>
                <w:bCs/>
                <w:sz w:val="17"/>
                <w:szCs w:val="17"/>
              </w:rPr>
            </w:pPr>
            <w:r w:rsidRPr="00370972">
              <w:rPr>
                <w:rFonts w:ascii="Twinkl" w:hAnsi="Twinkl" w:cstheme="minorHAnsi"/>
                <w:bCs/>
                <w:sz w:val="17"/>
                <w:szCs w:val="17"/>
              </w:rPr>
              <w:t>Bonfire night/Guy Fawkes</w:t>
            </w:r>
            <w:r w:rsidRPr="00370972">
              <w:rPr>
                <w:rFonts w:ascii="Twinkl" w:hAnsi="Twinkl" w:cstheme="minorHAnsi"/>
                <w:bCs/>
                <w:sz w:val="17"/>
                <w:szCs w:val="17"/>
              </w:rPr>
              <w:t>.</w:t>
            </w:r>
          </w:p>
          <w:p w14:paraId="0E8B1E82" w14:textId="76A56F2C" w:rsidR="00F476BA" w:rsidRPr="00370972" w:rsidRDefault="00F476BA" w:rsidP="001305FF">
            <w:pPr>
              <w:widowControl w:val="0"/>
              <w:rPr>
                <w:rFonts w:ascii="Twinkl" w:hAnsi="Twinkl" w:cstheme="minorHAnsi"/>
                <w:bCs/>
                <w:sz w:val="17"/>
                <w:szCs w:val="17"/>
              </w:rPr>
            </w:pPr>
            <w:r w:rsidRPr="00370972">
              <w:rPr>
                <w:rFonts w:ascii="Twinkl" w:hAnsi="Twinkl" w:cstheme="minorHAnsi"/>
                <w:bCs/>
                <w:sz w:val="17"/>
                <w:szCs w:val="17"/>
              </w:rPr>
              <w:t>Floating and sinking</w:t>
            </w:r>
            <w:r w:rsidRPr="00370972">
              <w:rPr>
                <w:rFonts w:ascii="Twinkl" w:hAnsi="Twinkl" w:cstheme="minorHAnsi"/>
                <w:bCs/>
                <w:sz w:val="17"/>
                <w:szCs w:val="17"/>
              </w:rPr>
              <w:t>.</w:t>
            </w:r>
          </w:p>
          <w:p w14:paraId="2FB9FAC3" w14:textId="244E7C3B" w:rsidR="00F476BA" w:rsidRPr="00370972" w:rsidRDefault="00F476BA" w:rsidP="001305FF">
            <w:pPr>
              <w:widowControl w:val="0"/>
              <w:rPr>
                <w:rFonts w:ascii="Twinkl" w:hAnsi="Twinkl" w:cstheme="minorHAnsi"/>
                <w:bCs/>
                <w:sz w:val="17"/>
                <w:szCs w:val="17"/>
              </w:rPr>
            </w:pPr>
            <w:r w:rsidRPr="00370972">
              <w:rPr>
                <w:rFonts w:ascii="Twinkl" w:hAnsi="Twinkl" w:cstheme="minorHAnsi"/>
                <w:bCs/>
                <w:sz w:val="17"/>
                <w:szCs w:val="17"/>
              </w:rPr>
              <w:t xml:space="preserve">We will explore </w:t>
            </w:r>
            <w:r w:rsidRPr="00370972">
              <w:rPr>
                <w:rFonts w:ascii="Twinkl" w:hAnsi="Twinkl" w:cstheme="minorHAnsi"/>
                <w:bCs/>
                <w:sz w:val="17"/>
                <w:szCs w:val="17"/>
              </w:rPr>
              <w:t>and nam</w:t>
            </w:r>
            <w:r w:rsidRPr="00370972">
              <w:rPr>
                <w:rFonts w:ascii="Twinkl" w:hAnsi="Twinkl" w:cstheme="minorHAnsi"/>
                <w:bCs/>
                <w:sz w:val="17"/>
                <w:szCs w:val="17"/>
              </w:rPr>
              <w:t>e</w:t>
            </w:r>
            <w:r w:rsidRPr="00370972">
              <w:rPr>
                <w:rFonts w:ascii="Twinkl" w:hAnsi="Twinkl" w:cstheme="minorHAnsi"/>
                <w:bCs/>
                <w:sz w:val="17"/>
                <w:szCs w:val="17"/>
              </w:rPr>
              <w:t xml:space="preserve"> different materials </w:t>
            </w:r>
            <w:r w:rsidRPr="00370972">
              <w:rPr>
                <w:rFonts w:ascii="Twinkl" w:hAnsi="Twinkl" w:cstheme="minorHAnsi"/>
                <w:bCs/>
                <w:sz w:val="17"/>
                <w:szCs w:val="17"/>
              </w:rPr>
              <w:t xml:space="preserve">and simple properties. </w:t>
            </w:r>
          </w:p>
          <w:p w14:paraId="18135D29" w14:textId="3CF326F7" w:rsidR="00F476BA" w:rsidRPr="00370972" w:rsidRDefault="00F476BA" w:rsidP="00F476BA">
            <w:pPr>
              <w:widowControl w:val="0"/>
              <w:rPr>
                <w:rFonts w:ascii="Twinkl" w:hAnsi="Twinkl" w:cstheme="minorHAnsi"/>
                <w:bCs/>
                <w:sz w:val="17"/>
                <w:szCs w:val="17"/>
              </w:rPr>
            </w:pPr>
            <w:r w:rsidRPr="00370972">
              <w:rPr>
                <w:rFonts w:ascii="Twinkl" w:hAnsi="Twinkl" w:cstheme="minorHAnsi"/>
                <w:bCs/>
                <w:sz w:val="17"/>
                <w:szCs w:val="17"/>
              </w:rPr>
              <w:t xml:space="preserve">We are going to explore the magical and wonderful </w:t>
            </w:r>
            <w:r w:rsidRPr="00370972">
              <w:rPr>
                <w:rFonts w:ascii="Twinkl" w:hAnsi="Twinkl" w:cstheme="minorHAnsi"/>
                <w:bCs/>
                <w:sz w:val="17"/>
                <w:szCs w:val="17"/>
              </w:rPr>
              <w:t>environmental changes—Autumn to winter</w:t>
            </w:r>
            <w:r w:rsidRPr="00370972">
              <w:rPr>
                <w:rFonts w:ascii="Twinkl" w:hAnsi="Twinkl" w:cstheme="minorHAnsi"/>
                <w:bCs/>
                <w:sz w:val="17"/>
                <w:szCs w:val="17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1351FD6" w14:textId="77777777" w:rsidR="00F476BA" w:rsidRPr="00370972" w:rsidRDefault="00F476BA" w:rsidP="00F476BA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7"/>
                <w:szCs w:val="17"/>
                <w:lang w:eastAsia="en-GB"/>
                <w14:cntxtAlts/>
              </w:rPr>
            </w:pPr>
            <w:r w:rsidRPr="00370972">
              <w:rPr>
                <w:rFonts w:ascii="Twinkl" w:eastAsia="Times New Roman" w:hAnsi="Twinkl" w:cs="Calibri"/>
                <w:color w:val="000000"/>
                <w:kern w:val="28"/>
                <w:sz w:val="17"/>
                <w:szCs w:val="17"/>
                <w:lang w:eastAsia="en-GB"/>
                <w14:cntxtAlts/>
              </w:rPr>
              <w:t xml:space="preserve">We will create </w:t>
            </w:r>
            <w:r w:rsidRPr="00370972">
              <w:rPr>
                <w:rFonts w:ascii="Twinkl" w:eastAsia="Times New Roman" w:hAnsi="Twinkl" w:cs="Calibri"/>
                <w:color w:val="000000"/>
                <w:kern w:val="28"/>
                <w:sz w:val="17"/>
                <w:szCs w:val="17"/>
                <w:lang w:eastAsia="en-GB"/>
                <w14:cntxtAlts/>
              </w:rPr>
              <w:t>Poppies</w:t>
            </w:r>
            <w:r w:rsidRPr="00370972">
              <w:rPr>
                <w:rFonts w:ascii="Twinkl" w:eastAsia="Times New Roman" w:hAnsi="Twinkl" w:cs="Calibri"/>
                <w:color w:val="000000"/>
                <w:kern w:val="28"/>
                <w:sz w:val="17"/>
                <w:szCs w:val="17"/>
                <w:lang w:eastAsia="en-GB"/>
                <w14:cntxtAlts/>
              </w:rPr>
              <w:t xml:space="preserve">, </w:t>
            </w:r>
            <w:r w:rsidRPr="00370972">
              <w:rPr>
                <w:rFonts w:ascii="Twinkl" w:eastAsia="Times New Roman" w:hAnsi="Twinkl" w:cs="Calibri"/>
                <w:color w:val="000000"/>
                <w:kern w:val="28"/>
                <w:sz w:val="17"/>
                <w:szCs w:val="17"/>
                <w:lang w:eastAsia="en-GB"/>
                <w14:cntxtAlts/>
              </w:rPr>
              <w:t>Christmas Card</w:t>
            </w:r>
            <w:r w:rsidRPr="00370972">
              <w:rPr>
                <w:rFonts w:ascii="Twinkl" w:eastAsia="Times New Roman" w:hAnsi="Twinkl" w:cs="Calibri"/>
                <w:color w:val="000000"/>
                <w:kern w:val="28"/>
                <w:sz w:val="17"/>
                <w:szCs w:val="17"/>
                <w:lang w:eastAsia="en-GB"/>
                <w14:cntxtAlts/>
              </w:rPr>
              <w:t>s</w:t>
            </w:r>
            <w:r w:rsidRPr="00370972">
              <w:rPr>
                <w:rFonts w:ascii="Twinkl" w:eastAsia="Times New Roman" w:hAnsi="Twinkl" w:cs="Calibri"/>
                <w:color w:val="000000"/>
                <w:kern w:val="28"/>
                <w:sz w:val="17"/>
                <w:szCs w:val="17"/>
                <w:lang w:eastAsia="en-GB"/>
                <w14:cntxtAlts/>
              </w:rPr>
              <w:t xml:space="preserve"> Christmas decorations </w:t>
            </w:r>
          </w:p>
          <w:p w14:paraId="7BC1B76B" w14:textId="77777777" w:rsidR="00F476BA" w:rsidRPr="00370972" w:rsidRDefault="00F476BA" w:rsidP="00F476BA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7"/>
                <w:szCs w:val="17"/>
                <w:lang w:eastAsia="en-GB"/>
                <w14:cntxtAlts/>
              </w:rPr>
            </w:pPr>
            <w:r w:rsidRPr="00370972">
              <w:rPr>
                <w:rFonts w:ascii="Twinkl" w:eastAsia="Times New Roman" w:hAnsi="Twinkl" w:cs="Calibri"/>
                <w:color w:val="000000"/>
                <w:kern w:val="28"/>
                <w:sz w:val="17"/>
                <w:szCs w:val="17"/>
                <w:lang w:eastAsia="en-GB"/>
                <w14:cntxtAlts/>
              </w:rPr>
              <w:t xml:space="preserve">Music — playing musical instruments Singing songs/new songs Creating rhythm/pitch </w:t>
            </w:r>
          </w:p>
          <w:p w14:paraId="25937D68" w14:textId="35B568DC" w:rsidR="00F476BA" w:rsidRPr="00370972" w:rsidRDefault="00F476BA" w:rsidP="00F476BA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7"/>
                <w:szCs w:val="17"/>
                <w:lang w:eastAsia="en-GB"/>
                <w14:cntxtAlts/>
              </w:rPr>
            </w:pPr>
            <w:r w:rsidRPr="00370972">
              <w:rPr>
                <w:rFonts w:ascii="Twinkl" w:eastAsia="Times New Roman" w:hAnsi="Twinkl" w:cs="Calibri"/>
                <w:color w:val="000000"/>
                <w:kern w:val="28"/>
                <w:sz w:val="17"/>
                <w:szCs w:val="17"/>
                <w:lang w:eastAsia="en-GB"/>
                <w14:cntxtAlts/>
              </w:rPr>
              <w:t xml:space="preserve">Colour mixing /painting Using different materials to create different </w:t>
            </w:r>
            <w:r w:rsidR="00370972" w:rsidRPr="00370972">
              <w:rPr>
                <w:rFonts w:ascii="Twinkl" w:eastAsia="Times New Roman" w:hAnsi="Twinkl" w:cs="Calibri"/>
                <w:color w:val="000000"/>
                <w:kern w:val="28"/>
                <w:sz w:val="17"/>
                <w:szCs w:val="17"/>
                <w:lang w:eastAsia="en-GB"/>
                <w14:cntxtAlts/>
              </w:rPr>
              <w:t>e</w:t>
            </w:r>
            <w:r w:rsidRPr="00370972">
              <w:rPr>
                <w:rFonts w:ascii="Twinkl" w:eastAsia="Times New Roman" w:hAnsi="Twinkl" w:cs="Calibri"/>
                <w:color w:val="000000"/>
                <w:kern w:val="28"/>
                <w:sz w:val="17"/>
                <w:szCs w:val="17"/>
                <w:lang w:eastAsia="en-GB"/>
                <w14:cntxtAlts/>
              </w:rPr>
              <w:t>ffects/winter collage</w:t>
            </w:r>
          </w:p>
          <w:p w14:paraId="7384A591" w14:textId="3575E4BE" w:rsidR="001305FF" w:rsidRPr="00370972" w:rsidRDefault="00F476BA" w:rsidP="00F476BA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7"/>
                <w:szCs w:val="17"/>
                <w:lang w:eastAsia="en-GB"/>
                <w14:cntxtAlts/>
              </w:rPr>
            </w:pPr>
            <w:r w:rsidRPr="00370972">
              <w:rPr>
                <w:rFonts w:ascii="Twinkl" w:eastAsia="Times New Roman" w:hAnsi="Twinkl" w:cs="Calibri"/>
                <w:color w:val="000000"/>
                <w:kern w:val="28"/>
                <w:sz w:val="17"/>
                <w:szCs w:val="17"/>
                <w:lang w:eastAsia="en-GB"/>
                <w14:cntxtAlts/>
              </w:rPr>
              <w:t>Learn new dances/move rhythmically Dance session</w:t>
            </w:r>
            <w:r w:rsidRPr="00370972">
              <w:rPr>
                <w:rFonts w:ascii="Twinkl" w:eastAsia="Times New Roman" w:hAnsi="Twinkl" w:cs="Calibri"/>
                <w:color w:val="000000"/>
                <w:kern w:val="28"/>
                <w:sz w:val="17"/>
                <w:szCs w:val="17"/>
                <w:lang w:eastAsia="en-GB"/>
                <w14:cntxtAlts/>
              </w:rPr>
              <w:t xml:space="preserve">s will take place as part of our daily exercise sessions: Go Noodle. </w:t>
            </w:r>
          </w:p>
          <w:p w14:paraId="39E9B4B4" w14:textId="4C7911B9" w:rsidR="00F476BA" w:rsidRPr="00370972" w:rsidRDefault="00370972" w:rsidP="00370972">
            <w:pPr>
              <w:rPr>
                <w:rFonts w:ascii="Twinkl" w:eastAsia="Times New Roman" w:hAnsi="Twinkl" w:cs="Calibri"/>
                <w:color w:val="000000"/>
                <w:kern w:val="28"/>
                <w:sz w:val="17"/>
                <w:szCs w:val="17"/>
                <w:lang w:eastAsia="en-GB"/>
                <w14:cntxtAlts/>
              </w:rPr>
            </w:pPr>
            <w:r w:rsidRPr="00370972">
              <w:rPr>
                <w:rFonts w:ascii="Twinkl" w:eastAsia="Times New Roman" w:hAnsi="Twinkl" w:cs="Calibri"/>
                <w:b/>
                <w:bCs/>
                <w:color w:val="000000"/>
                <w:kern w:val="28"/>
                <w:sz w:val="17"/>
                <w:szCs w:val="17"/>
                <w:u w:val="single"/>
                <w:lang w:eastAsia="en-GB"/>
                <w14:cntxtAlts/>
              </w:rPr>
              <w:t xml:space="preserve">Charanga: </w:t>
            </w:r>
            <w:r w:rsidRPr="00370972">
              <w:rPr>
                <w:rFonts w:ascii="Twinkl" w:eastAsia="Times New Roman" w:hAnsi="Twinkl" w:cs="Calibri"/>
                <w:b/>
                <w:bCs/>
                <w:color w:val="000000"/>
                <w:kern w:val="28"/>
                <w:sz w:val="17"/>
                <w:szCs w:val="17"/>
                <w:u w:val="single"/>
                <w:lang w:eastAsia="en-GB"/>
                <w14:cntxtAlts/>
              </w:rPr>
              <w:t>Unit 2</w:t>
            </w:r>
            <w:r w:rsidRPr="00370972">
              <w:rPr>
                <w:rFonts w:ascii="Twinkl" w:eastAsia="Times New Roman" w:hAnsi="Twinkl" w:cs="Calibri"/>
                <w:color w:val="000000"/>
                <w:kern w:val="28"/>
                <w:sz w:val="17"/>
                <w:szCs w:val="17"/>
                <w:lang w:eastAsia="en-GB"/>
                <w14:cntxtAlts/>
              </w:rPr>
              <w:t xml:space="preserve"> </w:t>
            </w:r>
            <w:r w:rsidRPr="00370972">
              <w:rPr>
                <w:rFonts w:ascii="Twinkl" w:eastAsia="Times New Roman" w:hAnsi="Twinkl" w:cs="Calibri"/>
                <w:color w:val="000000"/>
                <w:kern w:val="28"/>
                <w:sz w:val="17"/>
                <w:szCs w:val="17"/>
                <w:lang w:eastAsia="en-GB"/>
                <w14:cntxtAlts/>
              </w:rPr>
              <w:t>My Stories - explore: using your imagination,</w:t>
            </w:r>
            <w:r w:rsidRPr="00370972">
              <w:rPr>
                <w:rFonts w:ascii="Twinkl" w:eastAsia="Times New Roman" w:hAnsi="Twinkl" w:cs="Calibri"/>
                <w:color w:val="000000"/>
                <w:kern w:val="28"/>
                <w:sz w:val="17"/>
                <w:szCs w:val="17"/>
                <w:lang w:eastAsia="en-GB"/>
                <w14:cntxtAlts/>
              </w:rPr>
              <w:t xml:space="preserve"> </w:t>
            </w:r>
            <w:r w:rsidRPr="00370972">
              <w:rPr>
                <w:rFonts w:ascii="Twinkl" w:eastAsia="Times New Roman" w:hAnsi="Twinkl" w:cs="Calibri"/>
                <w:color w:val="000000"/>
                <w:kern w:val="28"/>
                <w:sz w:val="17"/>
                <w:szCs w:val="17"/>
                <w:lang w:eastAsia="en-GB"/>
                <w14:cntxtAlts/>
              </w:rPr>
              <w:t xml:space="preserve">Christmas, Festivals, Fairies, Pirates, Treasure, Superheroes, </w:t>
            </w:r>
            <w:proofErr w:type="gramStart"/>
            <w:r w:rsidRPr="00370972">
              <w:rPr>
                <w:rFonts w:ascii="Twinkl" w:eastAsia="Times New Roman" w:hAnsi="Twinkl" w:cs="Calibri"/>
                <w:color w:val="000000"/>
                <w:kern w:val="28"/>
                <w:sz w:val="17"/>
                <w:szCs w:val="17"/>
                <w:lang w:eastAsia="en-GB"/>
                <w14:cntxtAlts/>
              </w:rPr>
              <w:t>Let's</w:t>
            </w:r>
            <w:proofErr w:type="gramEnd"/>
            <w:r w:rsidRPr="00370972">
              <w:rPr>
                <w:rFonts w:ascii="Twinkl" w:eastAsia="Times New Roman" w:hAnsi="Twinkl" w:cs="Calibri"/>
                <w:color w:val="000000"/>
                <w:kern w:val="28"/>
                <w:sz w:val="17"/>
                <w:szCs w:val="17"/>
                <w:lang w:eastAsia="en-GB"/>
                <w14:cntxtAlts/>
              </w:rPr>
              <w:t xml:space="preserve"> pretend, Once upon a</w:t>
            </w:r>
            <w:r w:rsidRPr="00370972">
              <w:rPr>
                <w:rFonts w:ascii="Twinkl" w:eastAsia="Times New Roman" w:hAnsi="Twinkl" w:cs="Calibri"/>
                <w:color w:val="000000"/>
                <w:kern w:val="28"/>
                <w:sz w:val="17"/>
                <w:szCs w:val="17"/>
                <w:lang w:eastAsia="en-GB"/>
                <w14:cntxtAlts/>
              </w:rPr>
              <w:t xml:space="preserve"> Time. 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0FDB8CF" w14:textId="77777777" w:rsidR="00370972" w:rsidRPr="00370972" w:rsidRDefault="00F476BA" w:rsidP="009B6E8C">
            <w:pPr>
              <w:pStyle w:val="Default"/>
              <w:rPr>
                <w:rFonts w:ascii="Twinkl" w:hAnsi="Twinkl"/>
                <w:sz w:val="17"/>
                <w:szCs w:val="17"/>
              </w:rPr>
            </w:pPr>
            <w:r w:rsidRPr="00370972">
              <w:rPr>
                <w:rFonts w:ascii="Twinkl" w:hAnsi="Twinkl"/>
                <w:sz w:val="17"/>
                <w:szCs w:val="17"/>
              </w:rPr>
              <w:t>Recognising and writing their name and other simple words Daily phonics</w:t>
            </w:r>
            <w:r w:rsidR="00370972" w:rsidRPr="00370972">
              <w:rPr>
                <w:rFonts w:ascii="Twinkl" w:hAnsi="Twinkl"/>
                <w:sz w:val="17"/>
                <w:szCs w:val="17"/>
              </w:rPr>
              <w:t xml:space="preserve"> sessions and we will develop rhyming skills and the ability to c</w:t>
            </w:r>
            <w:r w:rsidRPr="00370972">
              <w:rPr>
                <w:rFonts w:ascii="Twinkl" w:hAnsi="Twinkl"/>
                <w:sz w:val="17"/>
                <w:szCs w:val="17"/>
              </w:rPr>
              <w:t xml:space="preserve">ontinue a rhyming string </w:t>
            </w:r>
          </w:p>
          <w:p w14:paraId="76322DC5" w14:textId="17A65D74" w:rsidR="009B6E8C" w:rsidRPr="00370972" w:rsidRDefault="00F476BA" w:rsidP="009B6E8C">
            <w:pPr>
              <w:pStyle w:val="Default"/>
              <w:rPr>
                <w:rFonts w:ascii="Twinkl" w:hAnsi="Twinkl"/>
                <w:sz w:val="17"/>
                <w:szCs w:val="17"/>
              </w:rPr>
            </w:pPr>
            <w:r w:rsidRPr="00370972">
              <w:rPr>
                <w:rFonts w:ascii="Twinkl" w:hAnsi="Twinkl"/>
                <w:sz w:val="17"/>
                <w:szCs w:val="17"/>
              </w:rPr>
              <w:t>Mark making</w:t>
            </w:r>
            <w:r w:rsidR="00370972" w:rsidRPr="00370972">
              <w:rPr>
                <w:rFonts w:ascii="Twinkl" w:hAnsi="Twinkl"/>
                <w:sz w:val="17"/>
                <w:szCs w:val="17"/>
              </w:rPr>
              <w:t xml:space="preserve"> activities will be carefully planned and available throughout our classroom provision. We will write </w:t>
            </w:r>
            <w:r w:rsidRPr="00370972">
              <w:rPr>
                <w:rFonts w:ascii="Twinkl" w:hAnsi="Twinkl"/>
                <w:sz w:val="17"/>
                <w:szCs w:val="17"/>
              </w:rPr>
              <w:t>lists/captions/labels/letters and cards Enjoy an increasing range of books, Using story language</w:t>
            </w:r>
          </w:p>
          <w:p w14:paraId="55C629D1" w14:textId="561B32F9" w:rsidR="001305FF" w:rsidRPr="00370972" w:rsidRDefault="001305FF" w:rsidP="001305FF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7"/>
                <w:szCs w:val="17"/>
                <w:lang w:eastAsia="en-GB"/>
                <w14:cntxtAlts/>
              </w:rPr>
            </w:pPr>
          </w:p>
        </w:tc>
        <w:tc>
          <w:tcPr>
            <w:tcW w:w="3342" w:type="dxa"/>
            <w:tcBorders>
              <w:top w:val="single" w:sz="18" w:space="0" w:color="auto"/>
              <w:bottom w:val="single" w:sz="18" w:space="0" w:color="auto"/>
            </w:tcBorders>
          </w:tcPr>
          <w:p w14:paraId="2E3F1B42" w14:textId="307EA3EF" w:rsidR="001305FF" w:rsidRPr="00370972" w:rsidRDefault="00370972" w:rsidP="001305FF">
            <w:pPr>
              <w:widowControl w:val="0"/>
              <w:rPr>
                <w:rFonts w:ascii="Twinkl" w:hAnsi="Twinkl" w:cstheme="minorHAnsi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3D51CBA3" wp14:editId="30CF5C4C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0</wp:posOffset>
                  </wp:positionV>
                  <wp:extent cx="998220" cy="758647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1023" y="21166"/>
                      <wp:lineTo x="21023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758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76BA" w:rsidRPr="00370972">
              <w:rPr>
                <w:rFonts w:ascii="Twinkl" w:hAnsi="Twinkl" w:cstheme="minorHAnsi"/>
                <w:sz w:val="17"/>
                <w:szCs w:val="17"/>
              </w:rPr>
              <w:t>Develop counting skills up to 10/20 Separating groups of objects, realising the total is still the same. Number recognition and formation to 10/20 2D shape rocket pictures Sorting by colour, shape, size etc. Making more and making less using counters Sequencing daily events everyday vocabulary of time Language that describes position: on, under, next to etc.</w:t>
            </w:r>
          </w:p>
        </w:tc>
      </w:tr>
      <w:tr w:rsidR="00370972" w:rsidRPr="00EF37EE" w14:paraId="7F9D76F4" w14:textId="77777777" w:rsidTr="00DB4B8F">
        <w:trPr>
          <w:trHeight w:val="387"/>
        </w:trPr>
        <w:tc>
          <w:tcPr>
            <w:tcW w:w="14376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FF99FF"/>
          </w:tcPr>
          <w:p w14:paraId="5ABF7FFA" w14:textId="07E11261" w:rsidR="00DB4B8F" w:rsidRPr="00DB4B8F" w:rsidRDefault="00DB4B8F" w:rsidP="00411B47">
            <w:pPr>
              <w:widowControl w:val="0"/>
              <w:jc w:val="center"/>
              <w:rPr>
                <w:rFonts w:ascii="Twinkl" w:hAnsi="Twinkl" w:cs="Times New Roman"/>
                <w:b/>
                <w:bCs/>
                <w:noProof/>
                <w:sz w:val="24"/>
                <w:szCs w:val="24"/>
                <w:u w:val="single"/>
              </w:rPr>
            </w:pPr>
            <w:r w:rsidRPr="006D5B40">
              <w:rPr>
                <w:rFonts w:ascii="Twinkl" w:hAnsi="Twinkl" w:cs="Times New Roman"/>
                <w:b/>
                <w:bCs/>
                <w:noProof/>
                <w:sz w:val="24"/>
                <w:szCs w:val="24"/>
                <w:u w:val="single"/>
              </w:rPr>
              <w:t xml:space="preserve">Religious Education: </w:t>
            </w:r>
            <w:r>
              <w:rPr>
                <w:rFonts w:ascii="Twinkl" w:hAnsi="Twinkl" w:cs="Times New Roman"/>
                <w:b/>
                <w:bCs/>
                <w:noProof/>
                <w:sz w:val="24"/>
                <w:szCs w:val="24"/>
                <w:u w:val="single"/>
              </w:rPr>
              <w:t>Come and See</w:t>
            </w:r>
          </w:p>
        </w:tc>
      </w:tr>
      <w:tr w:rsidR="00370972" w:rsidRPr="00EF37EE" w14:paraId="08F131BB" w14:textId="77777777" w:rsidTr="00A12827">
        <w:trPr>
          <w:trHeight w:val="577"/>
        </w:trPr>
        <w:tc>
          <w:tcPr>
            <w:tcW w:w="7774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CD94024" w14:textId="5129AB8D" w:rsidR="00A12827" w:rsidRPr="00A12827" w:rsidRDefault="00A12827" w:rsidP="00A1282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12827">
              <w:rPr>
                <w:rFonts w:ascii="Twinkl" w:eastAsia="Times New Roman" w:hAnsi="Twinkl" w:cs="Segoe UI"/>
                <w:color w:val="000000"/>
                <w:sz w:val="16"/>
                <w:szCs w:val="16"/>
                <w:lang w:eastAsia="en-GB"/>
              </w:rPr>
              <w:t>N/R Celebrating </w:t>
            </w:r>
            <w:r w:rsidRPr="00A12827">
              <w:rPr>
                <w:rFonts w:ascii="Twinkl" w:eastAsia="Times New Roman" w:hAnsi="Twinkl" w:cs="Segoe UI"/>
                <w:b/>
                <w:bCs/>
                <w:color w:val="FF0000"/>
                <w:sz w:val="16"/>
                <w:szCs w:val="16"/>
                <w:lang w:eastAsia="en-GB"/>
              </w:rPr>
              <w:t>Explore</w:t>
            </w:r>
            <w:r w:rsidRPr="00A12827">
              <w:rPr>
                <w:rFonts w:ascii="Twinkl" w:eastAsia="Times New Roman" w:hAnsi="Twinkl" w:cs="Segoe UI"/>
                <w:color w:val="FF0000"/>
                <w:sz w:val="16"/>
                <w:szCs w:val="16"/>
                <w:lang w:eastAsia="en-GB"/>
              </w:rPr>
              <w:t> </w:t>
            </w:r>
            <w:r w:rsidRPr="00A12827">
              <w:rPr>
                <w:rFonts w:ascii="Twinkl" w:eastAsia="Times New Roman" w:hAnsi="Twinkl" w:cs="Segoe UI"/>
                <w:b/>
                <w:bCs/>
                <w:color w:val="000000"/>
                <w:sz w:val="16"/>
                <w:szCs w:val="16"/>
                <w:lang w:eastAsia="en-GB"/>
              </w:rPr>
              <w:t>4.1.21 - 8.1.21</w:t>
            </w:r>
            <w:r w:rsidRPr="00A12827">
              <w:rPr>
                <w:rFonts w:ascii="Twinkl" w:eastAsia="Times New Roman" w:hAnsi="Twinkl" w:cs="Segoe UI"/>
                <w:color w:val="000000"/>
                <w:sz w:val="16"/>
                <w:szCs w:val="16"/>
                <w:lang w:eastAsia="en-GB"/>
              </w:rPr>
              <w:t> </w:t>
            </w:r>
            <w:r w:rsidRPr="00A12827">
              <w:rPr>
                <w:rFonts w:ascii="Twinkl" w:eastAsia="Times New Roman" w:hAnsi="Twinkl" w:cs="Segoe UI"/>
                <w:b/>
                <w:bCs/>
                <w:color w:val="FF0000"/>
                <w:sz w:val="16"/>
                <w:szCs w:val="16"/>
                <w:lang w:eastAsia="en-GB"/>
              </w:rPr>
              <w:t>Reveal</w:t>
            </w:r>
            <w:r w:rsidRPr="00A12827">
              <w:rPr>
                <w:rFonts w:ascii="Twinkl" w:eastAsia="Times New Roman" w:hAnsi="Twinkl" w:cs="Segoe UI"/>
                <w:i/>
                <w:iCs/>
                <w:color w:val="FF0000"/>
                <w:sz w:val="16"/>
                <w:szCs w:val="16"/>
                <w:lang w:eastAsia="en-GB"/>
              </w:rPr>
              <w:t> </w:t>
            </w:r>
            <w:r w:rsidRPr="00A12827">
              <w:rPr>
                <w:rFonts w:ascii="Twinkl" w:eastAsia="Times New Roman" w:hAnsi="Twinkl" w:cs="Segoe UI"/>
                <w:b/>
                <w:bCs/>
                <w:color w:val="000000"/>
                <w:sz w:val="16"/>
                <w:szCs w:val="16"/>
                <w:lang w:eastAsia="en-GB"/>
              </w:rPr>
              <w:t>11.1.21 - 22.1.21</w:t>
            </w:r>
            <w:r w:rsidRPr="00A12827">
              <w:rPr>
                <w:rFonts w:ascii="Twinkl" w:eastAsia="Times New Roman" w:hAnsi="Twinkl" w:cs="Segoe UI"/>
                <w:color w:val="000000"/>
                <w:sz w:val="16"/>
                <w:szCs w:val="16"/>
                <w:lang w:eastAsia="en-GB"/>
              </w:rPr>
              <w:t> </w:t>
            </w:r>
            <w:r w:rsidRPr="00A12827">
              <w:rPr>
                <w:rFonts w:ascii="Twinkl" w:eastAsia="Times New Roman" w:hAnsi="Twinkl" w:cs="Segoe UI"/>
                <w:b/>
                <w:bCs/>
                <w:color w:val="FF0000"/>
                <w:sz w:val="16"/>
                <w:szCs w:val="16"/>
                <w:lang w:eastAsia="en-GB"/>
              </w:rPr>
              <w:t>Respond</w:t>
            </w:r>
            <w:r w:rsidRPr="00A12827">
              <w:rPr>
                <w:rFonts w:ascii="Twinkl" w:eastAsia="Times New Roman" w:hAnsi="Twinkl" w:cs="Segoe UI"/>
                <w:i/>
                <w:iCs/>
                <w:color w:val="FF0000"/>
                <w:sz w:val="16"/>
                <w:szCs w:val="16"/>
                <w:lang w:eastAsia="en-GB"/>
              </w:rPr>
              <w:t> </w:t>
            </w:r>
            <w:r w:rsidRPr="00A12827">
              <w:rPr>
                <w:rFonts w:ascii="Twinkl" w:eastAsia="Times New Roman" w:hAnsi="Twinkl" w:cs="Segoe UI"/>
                <w:b/>
                <w:bCs/>
                <w:color w:val="000000"/>
                <w:sz w:val="16"/>
                <w:szCs w:val="16"/>
                <w:lang w:eastAsia="en-GB"/>
              </w:rPr>
              <w:t>25.1.21 - 29.1.21</w:t>
            </w:r>
            <w:r w:rsidRPr="00A12827">
              <w:rPr>
                <w:rFonts w:ascii="Twinkl" w:eastAsia="Times New Roman" w:hAnsi="Twinkl" w:cs="Segoe UI"/>
                <w:color w:val="000000"/>
                <w:sz w:val="16"/>
                <w:szCs w:val="16"/>
                <w:lang w:eastAsia="en-GB"/>
              </w:rPr>
              <w:t> </w:t>
            </w:r>
          </w:p>
          <w:p w14:paraId="696CC947" w14:textId="55D78E91" w:rsidR="00DB4B8F" w:rsidRPr="00010EF6" w:rsidRDefault="00DB4B8F" w:rsidP="00010EF6">
            <w:pPr>
              <w:widowControl w:val="0"/>
              <w:rPr>
                <w:rFonts w:ascii="Twinkl" w:hAnsi="Twinkl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8B6B57B" w14:textId="1136FA4A" w:rsidR="00A12827" w:rsidRPr="00A12827" w:rsidRDefault="00A12827" w:rsidP="00A1282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12827">
              <w:rPr>
                <w:rFonts w:ascii="Twinkl" w:eastAsia="Times New Roman" w:hAnsi="Twinkl" w:cs="Segoe UI"/>
                <w:color w:val="000000"/>
                <w:sz w:val="16"/>
                <w:szCs w:val="16"/>
                <w:lang w:eastAsia="en-GB"/>
              </w:rPr>
              <w:t>N/R Gathering </w:t>
            </w:r>
            <w:r w:rsidRPr="00A12827">
              <w:rPr>
                <w:rFonts w:ascii="Twinkl" w:eastAsia="Times New Roman" w:hAnsi="Twinkl" w:cs="Segoe UI"/>
                <w:b/>
                <w:bCs/>
                <w:color w:val="00B050"/>
                <w:sz w:val="16"/>
                <w:szCs w:val="16"/>
                <w:lang w:eastAsia="en-GB"/>
              </w:rPr>
              <w:t>Explore</w:t>
            </w:r>
            <w:r w:rsidRPr="00A12827">
              <w:rPr>
                <w:rFonts w:ascii="Twinkl" w:eastAsia="Times New Roman" w:hAnsi="Twinkl" w:cs="Segoe UI"/>
                <w:color w:val="00B050"/>
                <w:sz w:val="16"/>
                <w:szCs w:val="16"/>
                <w:lang w:eastAsia="en-GB"/>
              </w:rPr>
              <w:t> </w:t>
            </w:r>
            <w:r w:rsidRPr="00A12827">
              <w:rPr>
                <w:rFonts w:ascii="Twinkl" w:eastAsia="Times New Roman" w:hAnsi="Twinkl" w:cs="Segoe UI"/>
                <w:b/>
                <w:bCs/>
                <w:color w:val="000000"/>
                <w:sz w:val="16"/>
                <w:szCs w:val="16"/>
                <w:lang w:eastAsia="en-GB"/>
              </w:rPr>
              <w:t>1.2.21 – 5.2.21</w:t>
            </w:r>
            <w:r w:rsidRPr="00A12827">
              <w:rPr>
                <w:rFonts w:ascii="Twinkl" w:eastAsia="Times New Roman" w:hAnsi="Twinkl" w:cs="Segoe UI"/>
                <w:color w:val="000000"/>
                <w:sz w:val="16"/>
                <w:szCs w:val="16"/>
                <w:lang w:eastAsia="en-GB"/>
              </w:rPr>
              <w:t> </w:t>
            </w:r>
            <w:r w:rsidRPr="00A12827">
              <w:rPr>
                <w:rFonts w:ascii="Twinkl" w:eastAsia="Times New Roman" w:hAnsi="Twinkl" w:cs="Segoe UI"/>
                <w:b/>
                <w:bCs/>
                <w:color w:val="00B050"/>
                <w:sz w:val="16"/>
                <w:szCs w:val="16"/>
                <w:lang w:eastAsia="en-GB"/>
              </w:rPr>
              <w:t>Reveal</w:t>
            </w:r>
            <w:r w:rsidRPr="00A12827">
              <w:rPr>
                <w:rFonts w:ascii="Twinkl" w:eastAsia="Times New Roman" w:hAnsi="Twinkl" w:cs="Segoe UI"/>
                <w:i/>
                <w:iCs/>
                <w:color w:val="00B050"/>
                <w:sz w:val="16"/>
                <w:szCs w:val="16"/>
                <w:lang w:eastAsia="en-GB"/>
              </w:rPr>
              <w:t> </w:t>
            </w:r>
            <w:r w:rsidRPr="00A12827">
              <w:rPr>
                <w:rFonts w:ascii="Twinkl" w:eastAsia="Times New Roman" w:hAnsi="Twinkl" w:cs="Segoe UI"/>
                <w:b/>
                <w:bCs/>
                <w:color w:val="000000"/>
                <w:sz w:val="16"/>
                <w:szCs w:val="16"/>
                <w:lang w:eastAsia="en-GB"/>
              </w:rPr>
              <w:t>8.2.21 – 26.2.21 (inc. half term)</w:t>
            </w:r>
            <w:r w:rsidRPr="00A12827">
              <w:rPr>
                <w:rFonts w:ascii="Twinkl" w:eastAsia="Times New Roman" w:hAnsi="Twinkl" w:cs="Segoe UI"/>
                <w:color w:val="000000"/>
                <w:sz w:val="16"/>
                <w:szCs w:val="16"/>
                <w:lang w:eastAsia="en-GB"/>
              </w:rPr>
              <w:t> </w:t>
            </w:r>
            <w:r w:rsidRPr="00A12827">
              <w:rPr>
                <w:rFonts w:ascii="Twinkl" w:eastAsia="Times New Roman" w:hAnsi="Twinkl" w:cs="Segoe UI"/>
                <w:b/>
                <w:bCs/>
                <w:color w:val="00B050"/>
                <w:sz w:val="16"/>
                <w:szCs w:val="16"/>
                <w:lang w:eastAsia="en-GB"/>
              </w:rPr>
              <w:t>Respond</w:t>
            </w:r>
            <w:r w:rsidRPr="00A12827">
              <w:rPr>
                <w:rFonts w:ascii="Twinkl" w:eastAsia="Times New Roman" w:hAnsi="Twinkl" w:cs="Segoe UI"/>
                <w:color w:val="00B050"/>
                <w:sz w:val="16"/>
                <w:szCs w:val="16"/>
                <w:lang w:eastAsia="en-GB"/>
              </w:rPr>
              <w:t> </w:t>
            </w:r>
          </w:p>
          <w:p w14:paraId="63A34093" w14:textId="41FEB9A3" w:rsidR="00DB4B8F" w:rsidRPr="00A12827" w:rsidRDefault="00A12827" w:rsidP="00A1282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12827">
              <w:rPr>
                <w:rFonts w:ascii="Twinkl" w:eastAsia="Times New Roman" w:hAnsi="Twinkl" w:cs="Segoe UI"/>
                <w:b/>
                <w:bCs/>
                <w:color w:val="000000"/>
                <w:sz w:val="16"/>
                <w:szCs w:val="16"/>
                <w:lang w:eastAsia="en-GB"/>
              </w:rPr>
              <w:t>1.3.21 – 5.3.21</w:t>
            </w:r>
            <w:r w:rsidRPr="00A12827">
              <w:rPr>
                <w:rFonts w:ascii="Twinkl" w:eastAsia="Times New Roman" w:hAnsi="Twinkl" w:cs="Segoe U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tbl>
      <w:tblPr>
        <w:tblpPr w:leftFromText="180" w:rightFromText="180" w:vertAnchor="text" w:horzAnchor="page" w:tblpX="11569" w:tblpY="8220"/>
        <w:tblOverlap w:val="never"/>
        <w:tblW w:w="36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0"/>
      </w:tblGrid>
      <w:tr w:rsidR="00370972" w:rsidRPr="00F476BA" w14:paraId="199898EF" w14:textId="77777777" w:rsidTr="00370972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60" w:type="dxa"/>
          </w:tcPr>
          <w:p w14:paraId="62C423A7" w14:textId="77777777" w:rsidR="00370972" w:rsidRPr="00F476BA" w:rsidRDefault="00370972" w:rsidP="00370972"/>
        </w:tc>
      </w:tr>
    </w:tbl>
    <w:p w14:paraId="166607D7" w14:textId="62186090" w:rsidR="00212649" w:rsidRPr="00EF37EE" w:rsidRDefault="00212649">
      <w:pPr>
        <w:rPr>
          <w:rFonts w:ascii="Twinkl" w:hAnsi="Twinkl"/>
        </w:rPr>
      </w:pPr>
    </w:p>
    <w:sectPr w:rsidR="00212649" w:rsidRPr="00EF37EE" w:rsidSect="002126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49"/>
    <w:rsid w:val="00010EF6"/>
    <w:rsid w:val="00090726"/>
    <w:rsid w:val="000A7EA5"/>
    <w:rsid w:val="000D625E"/>
    <w:rsid w:val="0010116E"/>
    <w:rsid w:val="001305FF"/>
    <w:rsid w:val="00181738"/>
    <w:rsid w:val="001848DF"/>
    <w:rsid w:val="001A12D5"/>
    <w:rsid w:val="001B0506"/>
    <w:rsid w:val="00212649"/>
    <w:rsid w:val="00285A96"/>
    <w:rsid w:val="00292718"/>
    <w:rsid w:val="002A0D96"/>
    <w:rsid w:val="002C0E3A"/>
    <w:rsid w:val="00315C95"/>
    <w:rsid w:val="00321BDC"/>
    <w:rsid w:val="00326236"/>
    <w:rsid w:val="00370972"/>
    <w:rsid w:val="00381C28"/>
    <w:rsid w:val="00386ABC"/>
    <w:rsid w:val="003B17EF"/>
    <w:rsid w:val="00400C4E"/>
    <w:rsid w:val="00411B47"/>
    <w:rsid w:val="00433831"/>
    <w:rsid w:val="004834D1"/>
    <w:rsid w:val="00496DA3"/>
    <w:rsid w:val="0050591A"/>
    <w:rsid w:val="00545E5F"/>
    <w:rsid w:val="005B018A"/>
    <w:rsid w:val="005B61AF"/>
    <w:rsid w:val="005D5C4D"/>
    <w:rsid w:val="00607330"/>
    <w:rsid w:val="0064416D"/>
    <w:rsid w:val="00673BEC"/>
    <w:rsid w:val="006D5B40"/>
    <w:rsid w:val="006F3C73"/>
    <w:rsid w:val="00712B86"/>
    <w:rsid w:val="00743372"/>
    <w:rsid w:val="00755D66"/>
    <w:rsid w:val="007D30D6"/>
    <w:rsid w:val="007E149C"/>
    <w:rsid w:val="00897C56"/>
    <w:rsid w:val="008A4348"/>
    <w:rsid w:val="008D33AE"/>
    <w:rsid w:val="008E1A75"/>
    <w:rsid w:val="009372F7"/>
    <w:rsid w:val="009B6E8C"/>
    <w:rsid w:val="009B743D"/>
    <w:rsid w:val="009B7752"/>
    <w:rsid w:val="009E0284"/>
    <w:rsid w:val="00A12827"/>
    <w:rsid w:val="00A444BD"/>
    <w:rsid w:val="00A92457"/>
    <w:rsid w:val="00AF2430"/>
    <w:rsid w:val="00BC23D4"/>
    <w:rsid w:val="00BF24E9"/>
    <w:rsid w:val="00D03A45"/>
    <w:rsid w:val="00D625AB"/>
    <w:rsid w:val="00DB4B8F"/>
    <w:rsid w:val="00E72DF5"/>
    <w:rsid w:val="00E8536C"/>
    <w:rsid w:val="00E858ED"/>
    <w:rsid w:val="00EA3631"/>
    <w:rsid w:val="00EB6432"/>
    <w:rsid w:val="00EF37EE"/>
    <w:rsid w:val="00F32CC1"/>
    <w:rsid w:val="00F476BA"/>
    <w:rsid w:val="00FC2BF0"/>
    <w:rsid w:val="00FD46D2"/>
    <w:rsid w:val="00FD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FCA18"/>
  <w15:chartTrackingRefBased/>
  <w15:docId w15:val="{382065E0-5F4A-4BA2-88C6-F4E6EB5D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A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7EA5"/>
  </w:style>
  <w:style w:type="character" w:customStyle="1" w:styleId="eop">
    <w:name w:val="eop"/>
    <w:basedOn w:val="DefaultParagraphFont"/>
    <w:rsid w:val="000A7EA5"/>
  </w:style>
  <w:style w:type="paragraph" w:customStyle="1" w:styleId="Default">
    <w:name w:val="Default"/>
    <w:rsid w:val="009B6E8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Boyer</dc:creator>
  <cp:keywords/>
  <dc:description/>
  <cp:lastModifiedBy>Kim Baxter</cp:lastModifiedBy>
  <cp:revision>3</cp:revision>
  <dcterms:created xsi:type="dcterms:W3CDTF">2021-02-10T12:21:00Z</dcterms:created>
  <dcterms:modified xsi:type="dcterms:W3CDTF">2021-02-10T12:23:00Z</dcterms:modified>
</cp:coreProperties>
</file>