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E147" w14:textId="77777777" w:rsidR="005C72C7" w:rsidRDefault="005C72C7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832E148" w14:textId="77777777" w:rsidR="005C72C7" w:rsidRDefault="00C44B32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0" distB="0" distL="0" distR="0" wp14:anchorId="3832E1C9" wp14:editId="3832E1CA">
            <wp:extent cx="5362575" cy="2276475"/>
            <wp:effectExtent l="0" t="0" r="0" b="0"/>
            <wp:docPr id="1" name="image1.png" descr="C:\Users\lisa.tupman\Downloads\Synergy Logo Linear Colour (4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isa.tupman\Downloads\Synergy Logo Linear Colour (4)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276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32E149" w14:textId="77777777" w:rsidR="005C72C7" w:rsidRDefault="005C72C7">
      <w:pPr>
        <w:spacing w:after="160" w:line="259" w:lineRule="auto"/>
        <w:jc w:val="center"/>
        <w:rPr>
          <w:rFonts w:ascii="Calibri" w:eastAsia="Calibri" w:hAnsi="Calibri" w:cs="Calibri"/>
          <w:b/>
          <w:sz w:val="54"/>
          <w:szCs w:val="54"/>
        </w:rPr>
      </w:pPr>
    </w:p>
    <w:p w14:paraId="3832E14A" w14:textId="77777777" w:rsidR="005C72C7" w:rsidRDefault="00C44B32">
      <w:pPr>
        <w:spacing w:after="160" w:line="259" w:lineRule="auto"/>
        <w:jc w:val="center"/>
        <w:rPr>
          <w:rFonts w:ascii="Poppins" w:eastAsia="Poppins" w:hAnsi="Poppins" w:cs="Poppins"/>
          <w:sz w:val="54"/>
          <w:szCs w:val="54"/>
        </w:rPr>
      </w:pPr>
      <w:r>
        <w:rPr>
          <w:rFonts w:ascii="Poppins" w:eastAsia="Poppins" w:hAnsi="Poppins" w:cs="Poppins"/>
          <w:b/>
          <w:color w:val="93C47D"/>
          <w:sz w:val="76"/>
          <w:szCs w:val="76"/>
        </w:rPr>
        <w:t>Careers Provider Access Statement</w:t>
      </w:r>
    </w:p>
    <w:p w14:paraId="3832E14B" w14:textId="77777777" w:rsidR="005C72C7" w:rsidRDefault="005C72C7">
      <w:pPr>
        <w:spacing w:line="240" w:lineRule="auto"/>
        <w:rPr>
          <w:rFonts w:ascii="Poppins" w:eastAsia="Poppins" w:hAnsi="Poppins" w:cs="Poppins"/>
          <w:color w:val="1C4587"/>
          <w:sz w:val="24"/>
          <w:szCs w:val="24"/>
        </w:rPr>
      </w:pPr>
    </w:p>
    <w:tbl>
      <w:tblPr>
        <w:tblStyle w:val="a"/>
        <w:tblW w:w="9165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3285"/>
        <w:gridCol w:w="5880"/>
      </w:tblGrid>
      <w:tr w:rsidR="005C72C7" w14:paraId="3832E14E" w14:textId="77777777">
        <w:trPr>
          <w:trHeight w:val="520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E14C" w14:textId="77777777" w:rsidR="005C72C7" w:rsidRDefault="00C44B32">
            <w:pPr>
              <w:spacing w:line="240" w:lineRule="auto"/>
              <w:rPr>
                <w:rFonts w:ascii="Poppins" w:eastAsia="Poppins" w:hAnsi="Poppins" w:cs="Poppins"/>
                <w:color w:val="1C4587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color w:val="1C4587"/>
                <w:sz w:val="24"/>
                <w:szCs w:val="24"/>
              </w:rPr>
              <w:t>Current version/Level: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E14D" w14:textId="77777777" w:rsidR="005C72C7" w:rsidRDefault="00C44B32">
            <w:pPr>
              <w:spacing w:line="240" w:lineRule="auto"/>
              <w:rPr>
                <w:rFonts w:ascii="Poppins" w:eastAsia="Poppins" w:hAnsi="Poppins" w:cs="Poppins"/>
                <w:color w:val="1C4587"/>
                <w:sz w:val="24"/>
                <w:szCs w:val="24"/>
              </w:rPr>
            </w:pPr>
            <w:r>
              <w:rPr>
                <w:rFonts w:ascii="Poppins" w:eastAsia="Poppins" w:hAnsi="Poppins" w:cs="Poppins"/>
                <w:color w:val="1C4587"/>
                <w:sz w:val="24"/>
                <w:szCs w:val="24"/>
              </w:rPr>
              <w:t>1</w:t>
            </w:r>
          </w:p>
        </w:tc>
      </w:tr>
      <w:tr w:rsidR="005C72C7" w14:paraId="3832E151" w14:textId="77777777">
        <w:trPr>
          <w:trHeight w:val="500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E14F" w14:textId="77777777" w:rsidR="005C72C7" w:rsidRDefault="00C44B32">
            <w:pPr>
              <w:spacing w:line="240" w:lineRule="auto"/>
              <w:rPr>
                <w:rFonts w:ascii="Poppins" w:eastAsia="Poppins" w:hAnsi="Poppins" w:cs="Poppins"/>
                <w:color w:val="1C4587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color w:val="1C4587"/>
                <w:sz w:val="24"/>
                <w:szCs w:val="24"/>
              </w:rPr>
              <w:t>Created by: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E150" w14:textId="77777777" w:rsidR="005C72C7" w:rsidRDefault="00C44B32">
            <w:pPr>
              <w:spacing w:line="240" w:lineRule="auto"/>
              <w:rPr>
                <w:rFonts w:ascii="Poppins" w:eastAsia="Poppins" w:hAnsi="Poppins" w:cs="Poppins"/>
                <w:color w:val="1C4587"/>
                <w:sz w:val="24"/>
                <w:szCs w:val="24"/>
              </w:rPr>
            </w:pPr>
            <w:r>
              <w:rPr>
                <w:rFonts w:ascii="Poppins" w:eastAsia="Poppins" w:hAnsi="Poppins" w:cs="Poppins"/>
                <w:color w:val="1C4587"/>
                <w:sz w:val="24"/>
                <w:szCs w:val="24"/>
              </w:rPr>
              <w:t>Lisa Tupman</w:t>
            </w:r>
          </w:p>
        </w:tc>
      </w:tr>
      <w:tr w:rsidR="005C72C7" w14:paraId="3832E154" w14:textId="77777777">
        <w:trPr>
          <w:trHeight w:val="560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E152" w14:textId="77777777" w:rsidR="005C72C7" w:rsidRDefault="00C44B32">
            <w:pPr>
              <w:spacing w:line="240" w:lineRule="auto"/>
              <w:rPr>
                <w:rFonts w:ascii="Poppins" w:eastAsia="Poppins" w:hAnsi="Poppins" w:cs="Poppins"/>
                <w:color w:val="1C4587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color w:val="1C4587"/>
                <w:sz w:val="24"/>
                <w:szCs w:val="24"/>
              </w:rPr>
              <w:t>Created on: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E153" w14:textId="77777777" w:rsidR="005C72C7" w:rsidRDefault="00C44B32">
            <w:pPr>
              <w:spacing w:line="240" w:lineRule="auto"/>
              <w:rPr>
                <w:rFonts w:ascii="Poppins" w:eastAsia="Poppins" w:hAnsi="Poppins" w:cs="Poppins"/>
                <w:color w:val="1C4587"/>
                <w:sz w:val="24"/>
                <w:szCs w:val="24"/>
              </w:rPr>
            </w:pPr>
            <w:r>
              <w:rPr>
                <w:rFonts w:ascii="Poppins" w:eastAsia="Poppins" w:hAnsi="Poppins" w:cs="Poppins"/>
                <w:color w:val="1C4587"/>
                <w:sz w:val="24"/>
                <w:szCs w:val="24"/>
              </w:rPr>
              <w:t>24.09.2024</w:t>
            </w:r>
          </w:p>
        </w:tc>
      </w:tr>
      <w:tr w:rsidR="005C72C7" w14:paraId="3832E157" w14:textId="77777777">
        <w:trPr>
          <w:trHeight w:val="500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E155" w14:textId="77777777" w:rsidR="005C72C7" w:rsidRDefault="00C44B32">
            <w:pPr>
              <w:spacing w:line="240" w:lineRule="auto"/>
              <w:rPr>
                <w:rFonts w:ascii="Poppins" w:eastAsia="Poppins" w:hAnsi="Poppins" w:cs="Poppins"/>
                <w:color w:val="1C4587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color w:val="1C4587"/>
                <w:sz w:val="24"/>
                <w:szCs w:val="24"/>
              </w:rPr>
              <w:t>Next Review Date: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E156" w14:textId="5E1143B3" w:rsidR="005C72C7" w:rsidRDefault="00C238E6">
            <w:pPr>
              <w:spacing w:line="240" w:lineRule="auto"/>
              <w:rPr>
                <w:rFonts w:ascii="Poppins" w:eastAsia="Poppins" w:hAnsi="Poppins" w:cs="Poppins"/>
                <w:color w:val="1C4587"/>
                <w:sz w:val="24"/>
                <w:szCs w:val="24"/>
              </w:rPr>
            </w:pPr>
            <w:r>
              <w:rPr>
                <w:rFonts w:ascii="Poppins" w:eastAsia="Poppins" w:hAnsi="Poppins" w:cs="Poppins"/>
                <w:color w:val="1C4587"/>
                <w:sz w:val="24"/>
                <w:szCs w:val="24"/>
              </w:rPr>
              <w:t>September 2027</w:t>
            </w:r>
          </w:p>
        </w:tc>
      </w:tr>
      <w:tr w:rsidR="005C72C7" w14:paraId="3832E15A" w14:textId="77777777">
        <w:trPr>
          <w:trHeight w:val="500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E158" w14:textId="77777777" w:rsidR="005C72C7" w:rsidRDefault="00C44B32">
            <w:pPr>
              <w:spacing w:line="240" w:lineRule="auto"/>
              <w:rPr>
                <w:rFonts w:ascii="Poppins" w:eastAsia="Poppins" w:hAnsi="Poppins" w:cs="Poppins"/>
                <w:color w:val="1C4587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color w:val="1C4587"/>
                <w:sz w:val="24"/>
                <w:szCs w:val="24"/>
              </w:rPr>
              <w:t>Previous review dates: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E159" w14:textId="759F70BC" w:rsidR="005C72C7" w:rsidRDefault="00C238E6">
            <w:pPr>
              <w:spacing w:line="240" w:lineRule="auto"/>
              <w:rPr>
                <w:rFonts w:ascii="Poppins" w:eastAsia="Poppins" w:hAnsi="Poppins" w:cs="Poppins"/>
                <w:color w:val="1C4587"/>
                <w:sz w:val="24"/>
                <w:szCs w:val="24"/>
              </w:rPr>
            </w:pPr>
            <w:r>
              <w:rPr>
                <w:rFonts w:ascii="Poppins" w:eastAsia="Poppins" w:hAnsi="Poppins" w:cs="Poppins"/>
                <w:color w:val="1C4587"/>
                <w:sz w:val="24"/>
                <w:szCs w:val="24"/>
              </w:rPr>
              <w:t>NA</w:t>
            </w:r>
          </w:p>
        </w:tc>
      </w:tr>
      <w:tr w:rsidR="005C72C7" w14:paraId="3832E15D" w14:textId="77777777">
        <w:trPr>
          <w:trHeight w:val="500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E15B" w14:textId="77777777" w:rsidR="005C72C7" w:rsidRDefault="00C44B32">
            <w:pPr>
              <w:spacing w:line="240" w:lineRule="auto"/>
              <w:rPr>
                <w:rFonts w:ascii="Poppins" w:eastAsia="Poppins" w:hAnsi="Poppins" w:cs="Poppins"/>
                <w:color w:val="1C4587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color w:val="1C4587"/>
                <w:sz w:val="24"/>
                <w:szCs w:val="24"/>
              </w:rPr>
              <w:t>Adopted by Trustees on: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E15C" w14:textId="790B5238" w:rsidR="005C72C7" w:rsidRDefault="00C238E6">
            <w:pPr>
              <w:spacing w:line="240" w:lineRule="auto"/>
              <w:rPr>
                <w:rFonts w:ascii="Poppins" w:eastAsia="Poppins" w:hAnsi="Poppins" w:cs="Poppins"/>
                <w:color w:val="1C4587"/>
                <w:sz w:val="24"/>
                <w:szCs w:val="24"/>
              </w:rPr>
            </w:pPr>
            <w:r>
              <w:rPr>
                <w:rFonts w:ascii="Poppins" w:eastAsia="Poppins" w:hAnsi="Poppins" w:cs="Poppins"/>
                <w:color w:val="1C4587"/>
                <w:sz w:val="24"/>
                <w:szCs w:val="24"/>
              </w:rPr>
              <w:t>26.11.2024</w:t>
            </w:r>
          </w:p>
        </w:tc>
      </w:tr>
    </w:tbl>
    <w:p w14:paraId="3832E15E" w14:textId="77777777" w:rsidR="005C72C7" w:rsidRDefault="005C72C7">
      <w:pPr>
        <w:spacing w:after="120" w:line="240" w:lineRule="auto"/>
        <w:ind w:left="-284"/>
        <w:rPr>
          <w:rFonts w:ascii="Poppins" w:eastAsia="Poppins" w:hAnsi="Poppins" w:cs="Poppins"/>
          <w:color w:val="1C4587"/>
          <w:sz w:val="54"/>
          <w:szCs w:val="54"/>
        </w:rPr>
      </w:pPr>
    </w:p>
    <w:p w14:paraId="3832E15F" w14:textId="77777777" w:rsidR="005C72C7" w:rsidRDefault="005C72C7">
      <w:pPr>
        <w:spacing w:after="160" w:line="259" w:lineRule="auto"/>
        <w:jc w:val="center"/>
        <w:rPr>
          <w:rFonts w:ascii="Poppins" w:eastAsia="Poppins" w:hAnsi="Poppins" w:cs="Poppins"/>
          <w:color w:val="1C4587"/>
          <w:sz w:val="24"/>
          <w:szCs w:val="24"/>
        </w:rPr>
      </w:pPr>
    </w:p>
    <w:p w14:paraId="3832E160" w14:textId="77777777" w:rsidR="005C72C7" w:rsidRDefault="005C72C7">
      <w:pPr>
        <w:spacing w:after="160" w:line="259" w:lineRule="auto"/>
        <w:jc w:val="center"/>
        <w:rPr>
          <w:rFonts w:ascii="Poppins" w:eastAsia="Poppins" w:hAnsi="Poppins" w:cs="Poppins"/>
          <w:color w:val="1C4587"/>
          <w:sz w:val="24"/>
          <w:szCs w:val="24"/>
        </w:rPr>
      </w:pPr>
    </w:p>
    <w:p w14:paraId="3832E161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b/>
          <w:color w:val="93C47D"/>
        </w:rPr>
      </w:pPr>
      <w:r>
        <w:rPr>
          <w:rFonts w:ascii="Poppins" w:eastAsia="Poppins" w:hAnsi="Poppins" w:cs="Poppins"/>
          <w:b/>
          <w:color w:val="93C47D"/>
        </w:rPr>
        <w:t>Careers Provider Access Statement - Trust wide</w:t>
      </w:r>
    </w:p>
    <w:p w14:paraId="3832E162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b/>
          <w:i/>
          <w:color w:val="1C4587"/>
        </w:rPr>
      </w:pPr>
      <w:r>
        <w:rPr>
          <w:rFonts w:ascii="Poppins" w:eastAsia="Poppins" w:hAnsi="Poppins" w:cs="Poppins"/>
          <w:i/>
          <w:color w:val="1C4587"/>
        </w:rPr>
        <w:t>For individual school arrangements please refer to the school’s website.</w:t>
      </w:r>
    </w:p>
    <w:p w14:paraId="3832E163" w14:textId="77777777" w:rsidR="005C72C7" w:rsidRDefault="005C72C7">
      <w:pPr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64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Synergy Education Trust is committed to providing its students with a varied programme of careers education and guidance activities to </w:t>
      </w:r>
      <w:r>
        <w:rPr>
          <w:rFonts w:ascii="Poppins" w:eastAsia="Poppins" w:hAnsi="Poppins" w:cs="Poppins"/>
          <w:color w:val="1C4587"/>
        </w:rPr>
        <w:t xml:space="preserve">equip and enable them to make informed decisions and choices at key transition points; both during school and Sixth Form. Careers should be transformational to the lives of young people. Within our Trust careers will provide a platform for motivation, for </w:t>
      </w:r>
      <w:r>
        <w:rPr>
          <w:rFonts w:ascii="Poppins" w:eastAsia="Poppins" w:hAnsi="Poppins" w:cs="Poppins"/>
          <w:color w:val="1C4587"/>
        </w:rPr>
        <w:t xml:space="preserve">students to aim higher, achieve more and reach their aspirations. </w:t>
      </w:r>
    </w:p>
    <w:p w14:paraId="3832E165" w14:textId="77777777" w:rsidR="005C72C7" w:rsidRDefault="005C72C7">
      <w:pPr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66" w14:textId="11F38CCC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This policy statement sets out the Trust’s arrangements for managing the access of providers to the </w:t>
      </w:r>
      <w:r w:rsidR="003A3E70">
        <w:rPr>
          <w:rFonts w:ascii="Poppins" w:eastAsia="Poppins" w:hAnsi="Poppins" w:cs="Poppins"/>
          <w:color w:val="1C4587"/>
        </w:rPr>
        <w:t>schools</w:t>
      </w:r>
      <w:r>
        <w:rPr>
          <w:rFonts w:ascii="Poppins" w:eastAsia="Poppins" w:hAnsi="Poppins" w:cs="Poppins"/>
          <w:color w:val="1C4587"/>
        </w:rPr>
        <w:t xml:space="preserve"> for the purpose of giving them information about the provider’s education or tr</w:t>
      </w:r>
      <w:r>
        <w:rPr>
          <w:rFonts w:ascii="Poppins" w:eastAsia="Poppins" w:hAnsi="Poppins" w:cs="Poppins"/>
          <w:color w:val="1C4587"/>
        </w:rPr>
        <w:t xml:space="preserve">aining offer.  This complies with the Trust’s legal obligations under Section 42B of the Education Act 1997. </w:t>
      </w:r>
    </w:p>
    <w:p w14:paraId="3832E167" w14:textId="77777777" w:rsidR="005C72C7" w:rsidRDefault="005C72C7">
      <w:pPr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68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The Trust aims to ensure our programme: </w:t>
      </w:r>
    </w:p>
    <w:p w14:paraId="3832E169" w14:textId="77777777" w:rsidR="005C72C7" w:rsidRDefault="00C44B32">
      <w:pPr>
        <w:numPr>
          <w:ilvl w:val="0"/>
          <w:numId w:val="4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Raises aspirations. </w:t>
      </w:r>
    </w:p>
    <w:p w14:paraId="3832E16A" w14:textId="77777777" w:rsidR="005C72C7" w:rsidRDefault="00C44B32">
      <w:pPr>
        <w:numPr>
          <w:ilvl w:val="0"/>
          <w:numId w:val="4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Provides a platform for students to plan their future. </w:t>
      </w:r>
    </w:p>
    <w:p w14:paraId="3832E16B" w14:textId="77777777" w:rsidR="005C72C7" w:rsidRDefault="00C44B32">
      <w:pPr>
        <w:numPr>
          <w:ilvl w:val="0"/>
          <w:numId w:val="4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Enables students to aim hig</w:t>
      </w:r>
      <w:r>
        <w:rPr>
          <w:rFonts w:ascii="Poppins" w:eastAsia="Poppins" w:hAnsi="Poppins" w:cs="Poppins"/>
          <w:color w:val="1C4587"/>
        </w:rPr>
        <w:t xml:space="preserve">her and achieve their career goals. </w:t>
      </w:r>
    </w:p>
    <w:p w14:paraId="3832E16C" w14:textId="77777777" w:rsidR="005C72C7" w:rsidRDefault="00C44B32">
      <w:pPr>
        <w:numPr>
          <w:ilvl w:val="0"/>
          <w:numId w:val="4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Provides comprehensive information and advice. </w:t>
      </w:r>
    </w:p>
    <w:p w14:paraId="3832E16D" w14:textId="77777777" w:rsidR="005C72C7" w:rsidRDefault="00C44B32">
      <w:pPr>
        <w:numPr>
          <w:ilvl w:val="0"/>
          <w:numId w:val="4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Actively promotes equality for all and challenges workplace stereotypes.</w:t>
      </w:r>
    </w:p>
    <w:p w14:paraId="3832E16E" w14:textId="77777777" w:rsidR="005C72C7" w:rsidRDefault="005C72C7">
      <w:pPr>
        <w:ind w:right="-324"/>
        <w:jc w:val="both"/>
        <w:rPr>
          <w:rFonts w:ascii="Poppins" w:eastAsia="Poppins" w:hAnsi="Poppins" w:cs="Poppins"/>
          <w:color w:val="1C4587"/>
        </w:rPr>
      </w:pPr>
    </w:p>
    <w:p w14:paraId="3832E16F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Gatsby benchmarks have been considered throughout to support academies within the trust to meet t</w:t>
      </w:r>
      <w:r>
        <w:rPr>
          <w:rFonts w:ascii="Poppins" w:eastAsia="Poppins" w:hAnsi="Poppins" w:cs="Poppins"/>
          <w:color w:val="1C4587"/>
        </w:rPr>
        <w:t xml:space="preserve">hese in full. </w:t>
      </w:r>
    </w:p>
    <w:p w14:paraId="3832E170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The Gatsby Benchmarks are: </w:t>
      </w:r>
    </w:p>
    <w:p w14:paraId="3832E171" w14:textId="77777777" w:rsidR="005C72C7" w:rsidRDefault="00C44B32" w:rsidP="003A3E70">
      <w:pPr>
        <w:ind w:left="709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1. A stable career programme. </w:t>
      </w:r>
    </w:p>
    <w:p w14:paraId="3832E172" w14:textId="77777777" w:rsidR="005C72C7" w:rsidRDefault="00C44B32" w:rsidP="003A3E70">
      <w:pPr>
        <w:ind w:left="709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2. Learning from career and labour market information. </w:t>
      </w:r>
    </w:p>
    <w:p w14:paraId="3832E173" w14:textId="77777777" w:rsidR="005C72C7" w:rsidRDefault="00C44B32" w:rsidP="003A3E70">
      <w:pPr>
        <w:ind w:left="709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3. Addressing the needs of each learner. </w:t>
      </w:r>
    </w:p>
    <w:p w14:paraId="3832E174" w14:textId="77777777" w:rsidR="005C72C7" w:rsidRDefault="00C44B32" w:rsidP="003A3E70">
      <w:pPr>
        <w:ind w:left="709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4. Linking curriculum learning to careers. </w:t>
      </w:r>
    </w:p>
    <w:p w14:paraId="3832E175" w14:textId="77777777" w:rsidR="005C72C7" w:rsidRDefault="00C44B32" w:rsidP="003A3E70">
      <w:pPr>
        <w:ind w:left="709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5. Encounters with employers and employe</w:t>
      </w:r>
      <w:r>
        <w:rPr>
          <w:rFonts w:ascii="Poppins" w:eastAsia="Poppins" w:hAnsi="Poppins" w:cs="Poppins"/>
          <w:color w:val="1C4587"/>
        </w:rPr>
        <w:t xml:space="preserve">es. </w:t>
      </w:r>
    </w:p>
    <w:p w14:paraId="3832E176" w14:textId="77777777" w:rsidR="005C72C7" w:rsidRDefault="00C44B32" w:rsidP="003A3E70">
      <w:pPr>
        <w:ind w:left="709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6. Experience of workplaces. </w:t>
      </w:r>
    </w:p>
    <w:p w14:paraId="3832E177" w14:textId="77777777" w:rsidR="005C72C7" w:rsidRDefault="00C44B32" w:rsidP="003A3E70">
      <w:pPr>
        <w:ind w:left="709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7. Encounters with further and higher education. </w:t>
      </w:r>
    </w:p>
    <w:p w14:paraId="3832E178" w14:textId="77777777" w:rsidR="005C72C7" w:rsidRDefault="00C44B32" w:rsidP="003A3E70">
      <w:pPr>
        <w:ind w:left="709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8. Personal guidance.</w:t>
      </w:r>
    </w:p>
    <w:p w14:paraId="3832E179" w14:textId="77777777" w:rsidR="005C72C7" w:rsidRDefault="005C72C7">
      <w:pPr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7A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b/>
          <w:color w:val="1C4587"/>
        </w:rPr>
      </w:pPr>
      <w:r>
        <w:rPr>
          <w:rFonts w:ascii="Poppins" w:eastAsia="Poppins" w:hAnsi="Poppins" w:cs="Poppins"/>
          <w:b/>
          <w:color w:val="1C4587"/>
        </w:rPr>
        <w:t>For individual school arrangements please refer to the school’s website.</w:t>
      </w:r>
    </w:p>
    <w:p w14:paraId="3832E17B" w14:textId="77777777" w:rsidR="005C72C7" w:rsidRDefault="005C72C7">
      <w:pPr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7C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b/>
          <w:color w:val="93C47D"/>
        </w:rPr>
      </w:pPr>
      <w:r>
        <w:rPr>
          <w:rFonts w:ascii="Poppins" w:eastAsia="Poppins" w:hAnsi="Poppins" w:cs="Poppins"/>
          <w:b/>
          <w:color w:val="93C47D"/>
        </w:rPr>
        <w:t xml:space="preserve">Aims </w:t>
      </w:r>
    </w:p>
    <w:p w14:paraId="3832E17D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We aim to support students to make realistic and informed decisions about their future by: </w:t>
      </w:r>
    </w:p>
    <w:p w14:paraId="3832E17E" w14:textId="77777777" w:rsidR="005C72C7" w:rsidRDefault="00C44B32">
      <w:pPr>
        <w:numPr>
          <w:ilvl w:val="0"/>
          <w:numId w:val="2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Raising aspirations and providing impartial and independent information and guidance. </w:t>
      </w:r>
    </w:p>
    <w:p w14:paraId="3832E17F" w14:textId="77777777" w:rsidR="005C72C7" w:rsidRDefault="00C44B32">
      <w:pPr>
        <w:numPr>
          <w:ilvl w:val="0"/>
          <w:numId w:val="2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Contributing to strategies for raising achievement, especially by increasing </w:t>
      </w:r>
      <w:r>
        <w:rPr>
          <w:rFonts w:ascii="Poppins" w:eastAsia="Poppins" w:hAnsi="Poppins" w:cs="Poppins"/>
          <w:color w:val="1C4587"/>
        </w:rPr>
        <w:t xml:space="preserve">motivation. </w:t>
      </w:r>
    </w:p>
    <w:p w14:paraId="3832E180" w14:textId="77777777" w:rsidR="005C72C7" w:rsidRDefault="00C44B32">
      <w:pPr>
        <w:numPr>
          <w:ilvl w:val="0"/>
          <w:numId w:val="2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Supporting inclusion, challenging stereotyping and promoting equality of opportunity. </w:t>
      </w:r>
    </w:p>
    <w:p w14:paraId="3832E181" w14:textId="77777777" w:rsidR="005C72C7" w:rsidRDefault="00C44B32">
      <w:pPr>
        <w:numPr>
          <w:ilvl w:val="0"/>
          <w:numId w:val="2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Encouraging participation in continued learning including Higher Education, Further Education, Apprenticeships, Volunteering and Training. </w:t>
      </w:r>
    </w:p>
    <w:p w14:paraId="3832E182" w14:textId="77777777" w:rsidR="005C72C7" w:rsidRDefault="00C44B32">
      <w:pPr>
        <w:numPr>
          <w:ilvl w:val="0"/>
          <w:numId w:val="2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Developing Enter</w:t>
      </w:r>
      <w:r>
        <w:rPr>
          <w:rFonts w:ascii="Poppins" w:eastAsia="Poppins" w:hAnsi="Poppins" w:cs="Poppins"/>
          <w:color w:val="1C4587"/>
        </w:rPr>
        <w:t xml:space="preserve">prise and Employment skills. </w:t>
      </w:r>
    </w:p>
    <w:p w14:paraId="3832E183" w14:textId="77777777" w:rsidR="005C72C7" w:rsidRDefault="00C44B32">
      <w:pPr>
        <w:numPr>
          <w:ilvl w:val="0"/>
          <w:numId w:val="2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Contributing to the economic prosperity of individuals and communities. </w:t>
      </w:r>
    </w:p>
    <w:p w14:paraId="3832E184" w14:textId="77777777" w:rsidR="005C72C7" w:rsidRDefault="00C44B32">
      <w:pPr>
        <w:numPr>
          <w:ilvl w:val="0"/>
          <w:numId w:val="2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Meeting the needs of all our learners through appropriate differentiation. </w:t>
      </w:r>
    </w:p>
    <w:p w14:paraId="3832E185" w14:textId="77777777" w:rsidR="005C72C7" w:rsidRDefault="00C44B32">
      <w:pPr>
        <w:numPr>
          <w:ilvl w:val="0"/>
          <w:numId w:val="2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Raising awareness of the Local Labour Market Information and skills gaps. </w:t>
      </w:r>
    </w:p>
    <w:p w14:paraId="3832E186" w14:textId="77777777" w:rsidR="005C72C7" w:rsidRDefault="00C44B32">
      <w:pPr>
        <w:numPr>
          <w:ilvl w:val="0"/>
          <w:numId w:val="2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In</w:t>
      </w:r>
      <w:r>
        <w:rPr>
          <w:rFonts w:ascii="Poppins" w:eastAsia="Poppins" w:hAnsi="Poppins" w:cs="Poppins"/>
          <w:color w:val="1C4587"/>
        </w:rPr>
        <w:t xml:space="preserve">volving parents and carers in key decisions covering careers and progression. </w:t>
      </w:r>
    </w:p>
    <w:p w14:paraId="3832E187" w14:textId="77777777" w:rsidR="005C72C7" w:rsidRDefault="00C44B32">
      <w:pPr>
        <w:numPr>
          <w:ilvl w:val="0"/>
          <w:numId w:val="2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Working closely with our partners to provide a wide variety of meaningful experiences. </w:t>
      </w:r>
    </w:p>
    <w:p w14:paraId="3832E188" w14:textId="77777777" w:rsidR="005C72C7" w:rsidRDefault="005C72C7">
      <w:pPr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89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b/>
          <w:color w:val="1C4587"/>
        </w:rPr>
      </w:pPr>
      <w:r>
        <w:rPr>
          <w:rFonts w:ascii="Poppins" w:eastAsia="Poppins" w:hAnsi="Poppins" w:cs="Poppins"/>
          <w:b/>
          <w:color w:val="93C47D"/>
        </w:rPr>
        <w:t>Statutory Requirements</w:t>
      </w:r>
    </w:p>
    <w:p w14:paraId="3832E18A" w14:textId="17D71184" w:rsidR="005C72C7" w:rsidRDefault="003A3E70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Schools</w:t>
      </w:r>
      <w:r w:rsidR="00C44B32">
        <w:rPr>
          <w:rFonts w:ascii="Poppins" w:eastAsia="Poppins" w:hAnsi="Poppins" w:cs="Poppins"/>
          <w:color w:val="1C4587"/>
        </w:rPr>
        <w:t xml:space="preserve"> are required to ensure that there is an opportunity for </w:t>
      </w:r>
      <w:r w:rsidR="00C44B32">
        <w:rPr>
          <w:rFonts w:ascii="Poppins" w:eastAsia="Poppins" w:hAnsi="Poppins" w:cs="Poppins"/>
          <w:color w:val="1C4587"/>
        </w:rPr>
        <w:t xml:space="preserve">a range of education and training providers to access learners in years 8 to 13 for the purposes of informing them about approved technical education, qualifications, or apprenticeships. </w:t>
      </w:r>
    </w:p>
    <w:p w14:paraId="3832E18B" w14:textId="77777777" w:rsidR="005C72C7" w:rsidRDefault="005C72C7">
      <w:pPr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8C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School’s must also have a policy statement that outlines the circum</w:t>
      </w:r>
      <w:r>
        <w:rPr>
          <w:rFonts w:ascii="Poppins" w:eastAsia="Poppins" w:hAnsi="Poppins" w:cs="Poppins"/>
          <w:color w:val="1C4587"/>
        </w:rPr>
        <w:t xml:space="preserve">stances in which education and training providers will be given access to these learners. This is outlined in section 42B of the Education Act 1997. </w:t>
      </w:r>
    </w:p>
    <w:p w14:paraId="3832E18D" w14:textId="77777777" w:rsidR="005C72C7" w:rsidRDefault="005C72C7">
      <w:pPr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8E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This policy shows how our academies comply with these requirements. </w:t>
      </w:r>
    </w:p>
    <w:p w14:paraId="3832E18F" w14:textId="77777777" w:rsidR="005C72C7" w:rsidRDefault="005C72C7">
      <w:pPr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90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b/>
          <w:color w:val="93C47D"/>
        </w:rPr>
      </w:pPr>
      <w:r>
        <w:rPr>
          <w:rFonts w:ascii="Poppins" w:eastAsia="Poppins" w:hAnsi="Poppins" w:cs="Poppins"/>
          <w:b/>
          <w:color w:val="93C47D"/>
        </w:rPr>
        <w:t>Pupil Entitlement</w:t>
      </w:r>
    </w:p>
    <w:p w14:paraId="3832E191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Teachers within o</w:t>
      </w:r>
      <w:r>
        <w:rPr>
          <w:rFonts w:ascii="Poppins" w:eastAsia="Poppins" w:hAnsi="Poppins" w:cs="Poppins"/>
          <w:color w:val="1C4587"/>
        </w:rPr>
        <w:t xml:space="preserve">ur trust and in collaboration with career professionals will ensure our students can develop in the following way: </w:t>
      </w:r>
    </w:p>
    <w:p w14:paraId="3832E192" w14:textId="77777777" w:rsidR="005C72C7" w:rsidRDefault="00C44B32">
      <w:pPr>
        <w:numPr>
          <w:ilvl w:val="0"/>
          <w:numId w:val="6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Provide independent advice and guidance to years 7 to 13, giving access to impartial information regarding option and alternate education fo</w:t>
      </w:r>
      <w:r>
        <w:rPr>
          <w:rFonts w:ascii="Poppins" w:eastAsia="Poppins" w:hAnsi="Poppins" w:cs="Poppins"/>
          <w:color w:val="1C4587"/>
        </w:rPr>
        <w:t xml:space="preserve">cussed on </w:t>
      </w:r>
      <w:r>
        <w:rPr>
          <w:rFonts w:ascii="Poppins" w:eastAsia="Poppins" w:hAnsi="Poppins" w:cs="Poppins"/>
          <w:color w:val="1C4587"/>
        </w:rPr>
        <w:lastRenderedPageBreak/>
        <w:t xml:space="preserve">the needs of the cohort. This includes qualification options, career choices, pathways and similar. </w:t>
      </w:r>
    </w:p>
    <w:p w14:paraId="3832E193" w14:textId="77777777" w:rsidR="005C72C7" w:rsidRDefault="00C44B32">
      <w:pPr>
        <w:numPr>
          <w:ilvl w:val="0"/>
          <w:numId w:val="6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All students receive two, one to one career interviews offered by a qualified careers advisor between years 9 and 13. This advice is impartial and will enable the student to develop an action plan for progression. </w:t>
      </w:r>
    </w:p>
    <w:p w14:paraId="3832E194" w14:textId="77777777" w:rsidR="005C72C7" w:rsidRDefault="00C44B32">
      <w:pPr>
        <w:numPr>
          <w:ilvl w:val="0"/>
          <w:numId w:val="6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Students will learn a progressive careers</w:t>
      </w:r>
      <w:r>
        <w:rPr>
          <w:rFonts w:ascii="Poppins" w:eastAsia="Poppins" w:hAnsi="Poppins" w:cs="Poppins"/>
          <w:color w:val="1C4587"/>
        </w:rPr>
        <w:t xml:space="preserve"> curriculum focussed on competencies devolved from the CDI framework which enable students to explore the following: o Developing yourself through careers, employability, and enterprise education. o Learning about careers and the world of work. o Developin</w:t>
      </w:r>
      <w:r>
        <w:rPr>
          <w:rFonts w:ascii="Poppins" w:eastAsia="Poppins" w:hAnsi="Poppins" w:cs="Poppins"/>
          <w:color w:val="1C4587"/>
        </w:rPr>
        <w:t>g your career management, employability, and enterprise skills</w:t>
      </w:r>
    </w:p>
    <w:p w14:paraId="3832E195" w14:textId="77777777" w:rsidR="005C72C7" w:rsidRDefault="00C44B32">
      <w:pPr>
        <w:numPr>
          <w:ilvl w:val="0"/>
          <w:numId w:val="6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Provision and information of opportunities for work experience, traineeships and apprenticeships based on individual interests in the process of promoting the understanding and the experiences </w:t>
      </w:r>
      <w:r>
        <w:rPr>
          <w:rFonts w:ascii="Poppins" w:eastAsia="Poppins" w:hAnsi="Poppins" w:cs="Poppins"/>
          <w:color w:val="1C4587"/>
        </w:rPr>
        <w:t>of the world of work.</w:t>
      </w:r>
    </w:p>
    <w:p w14:paraId="3832E196" w14:textId="77777777" w:rsidR="005C72C7" w:rsidRDefault="00C44B32">
      <w:pPr>
        <w:numPr>
          <w:ilvl w:val="0"/>
          <w:numId w:val="6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Access to the Careers Hub, a school-based platform for promoting and teaching careers education</w:t>
      </w:r>
    </w:p>
    <w:p w14:paraId="3832E197" w14:textId="77777777" w:rsidR="005C72C7" w:rsidRDefault="005C72C7">
      <w:pPr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98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b/>
          <w:color w:val="93C47D"/>
        </w:rPr>
        <w:t>Parent entitlement</w:t>
      </w:r>
    </w:p>
    <w:p w14:paraId="3832E199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Parents/carers can access careers support for their child in a variety of ways including:</w:t>
      </w:r>
    </w:p>
    <w:p w14:paraId="3832E19A" w14:textId="77777777" w:rsidR="005C72C7" w:rsidRDefault="00C44B32">
      <w:pPr>
        <w:numPr>
          <w:ilvl w:val="0"/>
          <w:numId w:val="5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Individual meetings. </w:t>
      </w:r>
    </w:p>
    <w:p w14:paraId="3832E19B" w14:textId="77777777" w:rsidR="005C72C7" w:rsidRDefault="00C44B32">
      <w:pPr>
        <w:numPr>
          <w:ilvl w:val="0"/>
          <w:numId w:val="5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School</w:t>
      </w:r>
      <w:r>
        <w:rPr>
          <w:rFonts w:ascii="Poppins" w:eastAsia="Poppins" w:hAnsi="Poppins" w:cs="Poppins"/>
          <w:color w:val="1C4587"/>
        </w:rPr>
        <w:t xml:space="preserve"> website. </w:t>
      </w:r>
    </w:p>
    <w:p w14:paraId="3832E19C" w14:textId="77777777" w:rsidR="005C72C7" w:rsidRDefault="00C44B32">
      <w:pPr>
        <w:numPr>
          <w:ilvl w:val="0"/>
          <w:numId w:val="5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Options evening, parents evening and opening evenings. </w:t>
      </w:r>
    </w:p>
    <w:p w14:paraId="3832E19D" w14:textId="77777777" w:rsidR="005C72C7" w:rsidRDefault="00C44B32">
      <w:pPr>
        <w:numPr>
          <w:ilvl w:val="0"/>
          <w:numId w:val="5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Careers information via individual school Career Hubs and the National Careers Service website.</w:t>
      </w:r>
    </w:p>
    <w:p w14:paraId="3832E19E" w14:textId="77777777" w:rsidR="005C72C7" w:rsidRDefault="00C44B32">
      <w:pPr>
        <w:numPr>
          <w:ilvl w:val="0"/>
          <w:numId w:val="5"/>
        </w:numPr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 Information and updates on school social media.</w:t>
      </w:r>
    </w:p>
    <w:p w14:paraId="3832E19F" w14:textId="77777777" w:rsidR="005C72C7" w:rsidRDefault="005C72C7">
      <w:pPr>
        <w:ind w:left="720" w:right="-324"/>
        <w:jc w:val="both"/>
        <w:rPr>
          <w:rFonts w:ascii="Poppins" w:eastAsia="Poppins" w:hAnsi="Poppins" w:cs="Poppins"/>
          <w:color w:val="1C4587"/>
        </w:rPr>
      </w:pPr>
    </w:p>
    <w:p w14:paraId="3832E1A0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b/>
          <w:color w:val="93C47D"/>
        </w:rPr>
        <w:t xml:space="preserve">Equality and Diversity </w:t>
      </w:r>
    </w:p>
    <w:p w14:paraId="3832E1A1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The School Lead for Careers ensures that the careers education and guidance delivery meet the requirements of the Trust’s Equality Policy.</w:t>
      </w:r>
    </w:p>
    <w:p w14:paraId="3832E1A2" w14:textId="77777777" w:rsidR="005C72C7" w:rsidRDefault="005C72C7">
      <w:pPr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A3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b/>
          <w:color w:val="93C47D"/>
        </w:rPr>
        <w:t xml:space="preserve">SEND Provision </w:t>
      </w:r>
    </w:p>
    <w:p w14:paraId="3832E1A4" w14:textId="77777777" w:rsidR="005C72C7" w:rsidRDefault="00C44B32">
      <w:pPr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All learners follow the sa</w:t>
      </w:r>
      <w:r>
        <w:rPr>
          <w:rFonts w:ascii="Poppins" w:eastAsia="Poppins" w:hAnsi="Poppins" w:cs="Poppins"/>
          <w:color w:val="1C4587"/>
        </w:rPr>
        <w:t>me programme of careers as their peers, with differentiated support from the SEND team where appropriate including liaison with parents/carers. This is heightened during the option selection process and post 16 pathways where independent careers advice and</w:t>
      </w:r>
      <w:r>
        <w:rPr>
          <w:rFonts w:ascii="Poppins" w:eastAsia="Poppins" w:hAnsi="Poppins" w:cs="Poppins"/>
          <w:color w:val="1C4587"/>
        </w:rPr>
        <w:t xml:space="preserve"> support is offered. </w:t>
      </w:r>
    </w:p>
    <w:p w14:paraId="3832E1A5" w14:textId="77777777" w:rsidR="005C72C7" w:rsidRDefault="005C72C7">
      <w:pPr>
        <w:ind w:left="-283" w:right="-324"/>
        <w:jc w:val="both"/>
        <w:rPr>
          <w:rFonts w:ascii="Poppins" w:eastAsia="Poppins" w:hAnsi="Poppins" w:cs="Poppins"/>
          <w:b/>
          <w:color w:val="1C4587"/>
        </w:rPr>
      </w:pPr>
    </w:p>
    <w:p w14:paraId="3832E1A6" w14:textId="77777777" w:rsidR="005C72C7" w:rsidRDefault="005C72C7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b/>
          <w:color w:val="93C47D"/>
        </w:rPr>
      </w:pPr>
    </w:p>
    <w:p w14:paraId="3832E1A7" w14:textId="77777777" w:rsidR="005C72C7" w:rsidRDefault="00C44B32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b/>
          <w:color w:val="93C47D"/>
        </w:rPr>
        <w:lastRenderedPageBreak/>
        <w:t>Place within the curriculum</w:t>
      </w:r>
    </w:p>
    <w:p w14:paraId="3832E1A8" w14:textId="4C36505E" w:rsidR="005C72C7" w:rsidRDefault="00C44B32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The curriculum delivery is specific to each school in the Trust.  </w:t>
      </w:r>
      <w:r w:rsidR="003A3E70">
        <w:rPr>
          <w:rFonts w:ascii="Poppins" w:eastAsia="Poppins" w:hAnsi="Poppins" w:cs="Poppins"/>
          <w:color w:val="1C4587"/>
        </w:rPr>
        <w:t>However,</w:t>
      </w:r>
      <w:r>
        <w:rPr>
          <w:rFonts w:ascii="Poppins" w:eastAsia="Poppins" w:hAnsi="Poppins" w:cs="Poppins"/>
          <w:color w:val="1C4587"/>
        </w:rPr>
        <w:t xml:space="preserve"> the taught provision will be enriched via (where appropriate); </w:t>
      </w:r>
    </w:p>
    <w:p w14:paraId="3832E1A9" w14:textId="77777777" w:rsidR="005C72C7" w:rsidRDefault="00C44B32">
      <w:pPr>
        <w:numPr>
          <w:ilvl w:val="0"/>
          <w:numId w:val="1"/>
        </w:numPr>
        <w:tabs>
          <w:tab w:val="left" w:pos="4024"/>
        </w:tabs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Programme of assemblies and enrichment workshops. </w:t>
      </w:r>
    </w:p>
    <w:p w14:paraId="3832E1AA" w14:textId="77777777" w:rsidR="005C72C7" w:rsidRDefault="00C44B32">
      <w:pPr>
        <w:numPr>
          <w:ilvl w:val="0"/>
          <w:numId w:val="1"/>
        </w:numPr>
        <w:tabs>
          <w:tab w:val="left" w:pos="4024"/>
        </w:tabs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Annual career focus days. </w:t>
      </w:r>
    </w:p>
    <w:p w14:paraId="3832E1AB" w14:textId="77777777" w:rsidR="005C72C7" w:rsidRDefault="00C44B32">
      <w:pPr>
        <w:numPr>
          <w:ilvl w:val="0"/>
          <w:numId w:val="1"/>
        </w:numPr>
        <w:tabs>
          <w:tab w:val="left" w:pos="4024"/>
        </w:tabs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Student visits to and from external comp</w:t>
      </w:r>
      <w:r>
        <w:rPr>
          <w:rFonts w:ascii="Poppins" w:eastAsia="Poppins" w:hAnsi="Poppins" w:cs="Poppins"/>
          <w:color w:val="1C4587"/>
        </w:rPr>
        <w:t xml:space="preserve">anies and education establishments. </w:t>
      </w:r>
    </w:p>
    <w:p w14:paraId="3832E1AC" w14:textId="77777777" w:rsidR="005C72C7" w:rsidRDefault="00C44B32">
      <w:pPr>
        <w:numPr>
          <w:ilvl w:val="0"/>
          <w:numId w:val="1"/>
        </w:numPr>
        <w:tabs>
          <w:tab w:val="left" w:pos="4024"/>
        </w:tabs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Visits from Higher/Further Education including Apprenticeships and T Level qualification information. </w:t>
      </w:r>
    </w:p>
    <w:p w14:paraId="3832E1AD" w14:textId="77777777" w:rsidR="005C72C7" w:rsidRDefault="00C44B32">
      <w:pPr>
        <w:numPr>
          <w:ilvl w:val="0"/>
          <w:numId w:val="1"/>
        </w:numPr>
        <w:tabs>
          <w:tab w:val="left" w:pos="4024"/>
        </w:tabs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University visits. </w:t>
      </w:r>
    </w:p>
    <w:p w14:paraId="3832E1AE" w14:textId="77777777" w:rsidR="005C72C7" w:rsidRDefault="00C44B32">
      <w:pPr>
        <w:numPr>
          <w:ilvl w:val="0"/>
          <w:numId w:val="1"/>
        </w:numPr>
        <w:tabs>
          <w:tab w:val="left" w:pos="4024"/>
        </w:tabs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Staff training and updates by qualified careers professionals. </w:t>
      </w:r>
    </w:p>
    <w:p w14:paraId="3832E1AF" w14:textId="77777777" w:rsidR="005C72C7" w:rsidRDefault="00C44B32">
      <w:pPr>
        <w:numPr>
          <w:ilvl w:val="0"/>
          <w:numId w:val="1"/>
        </w:numPr>
        <w:tabs>
          <w:tab w:val="left" w:pos="4024"/>
        </w:tabs>
        <w:ind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Specific events for parents/care</w:t>
      </w:r>
      <w:r>
        <w:rPr>
          <w:rFonts w:ascii="Poppins" w:eastAsia="Poppins" w:hAnsi="Poppins" w:cs="Poppins"/>
          <w:color w:val="1C4587"/>
        </w:rPr>
        <w:t>rs and learners to provide specialist support.</w:t>
      </w:r>
    </w:p>
    <w:p w14:paraId="3832E1B0" w14:textId="77777777" w:rsidR="005C72C7" w:rsidRDefault="005C72C7">
      <w:pPr>
        <w:tabs>
          <w:tab w:val="left" w:pos="4024"/>
        </w:tabs>
        <w:ind w:left="720" w:right="-324"/>
        <w:jc w:val="both"/>
        <w:rPr>
          <w:rFonts w:ascii="Poppins" w:eastAsia="Poppins" w:hAnsi="Poppins" w:cs="Poppins"/>
          <w:color w:val="1C4587"/>
        </w:rPr>
      </w:pPr>
    </w:p>
    <w:p w14:paraId="3832E1B1" w14:textId="77777777" w:rsidR="005C72C7" w:rsidRDefault="00C44B32">
      <w:pPr>
        <w:pBdr>
          <w:top w:val="nil"/>
          <w:left w:val="nil"/>
          <w:bottom w:val="nil"/>
          <w:right w:val="nil"/>
          <w:between w:val="nil"/>
        </w:pBd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b/>
          <w:color w:val="93C47D"/>
        </w:rPr>
        <w:t>Destination Data</w:t>
      </w:r>
    </w:p>
    <w:p w14:paraId="3832E1B2" w14:textId="77777777" w:rsidR="005C72C7" w:rsidRDefault="00C44B32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The Trust places a responsibility on its </w:t>
      </w:r>
      <w:proofErr w:type="gramStart"/>
      <w:r>
        <w:rPr>
          <w:rFonts w:ascii="Poppins" w:eastAsia="Poppins" w:hAnsi="Poppins" w:cs="Poppins"/>
          <w:color w:val="1C4587"/>
        </w:rPr>
        <w:t>school’s</w:t>
      </w:r>
      <w:proofErr w:type="gramEnd"/>
      <w:r>
        <w:rPr>
          <w:rFonts w:ascii="Poppins" w:eastAsia="Poppins" w:hAnsi="Poppins" w:cs="Poppins"/>
          <w:color w:val="1C4587"/>
        </w:rPr>
        <w:t xml:space="preserve"> to maintain a full and comprehensive tracking system that gives every learner the opportunity to progress successfully after school. </w:t>
      </w:r>
    </w:p>
    <w:p w14:paraId="3832E1B3" w14:textId="77777777" w:rsidR="005C72C7" w:rsidRDefault="00C44B32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Our sch</w:t>
      </w:r>
      <w:r>
        <w:rPr>
          <w:rFonts w:ascii="Poppins" w:eastAsia="Poppins" w:hAnsi="Poppins" w:cs="Poppins"/>
          <w:color w:val="1C4587"/>
        </w:rPr>
        <w:t xml:space="preserve">ool’s track: </w:t>
      </w:r>
    </w:p>
    <w:p w14:paraId="3832E1B4" w14:textId="77777777" w:rsidR="005C72C7" w:rsidRDefault="00C44B32" w:rsidP="003A3E70">
      <w:pPr>
        <w:numPr>
          <w:ilvl w:val="0"/>
          <w:numId w:val="3"/>
        </w:numPr>
        <w:tabs>
          <w:tab w:val="left" w:pos="142"/>
        </w:tabs>
        <w:ind w:left="-283" w:right="-324" w:firstLine="0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Intended destinations. </w:t>
      </w:r>
    </w:p>
    <w:p w14:paraId="3832E1B5" w14:textId="77777777" w:rsidR="005C72C7" w:rsidRDefault="00C44B32" w:rsidP="003A3E70">
      <w:pPr>
        <w:numPr>
          <w:ilvl w:val="0"/>
          <w:numId w:val="3"/>
        </w:numPr>
        <w:tabs>
          <w:tab w:val="left" w:pos="142"/>
        </w:tabs>
        <w:ind w:left="-283" w:right="-324" w:firstLine="0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individualised support to those learners who are at risk of becoming NEET (Not in Education, Employment, or Training) or become NEET. </w:t>
      </w:r>
    </w:p>
    <w:p w14:paraId="3832E1B6" w14:textId="77777777" w:rsidR="005C72C7" w:rsidRDefault="00C44B32" w:rsidP="003A3E70">
      <w:pPr>
        <w:numPr>
          <w:ilvl w:val="0"/>
          <w:numId w:val="3"/>
        </w:numPr>
        <w:tabs>
          <w:tab w:val="left" w:pos="142"/>
        </w:tabs>
        <w:ind w:left="-283" w:right="-324" w:firstLine="0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records of all interventions and interviews. </w:t>
      </w:r>
    </w:p>
    <w:p w14:paraId="3832E1B7" w14:textId="77777777" w:rsidR="005C72C7" w:rsidRDefault="00C44B32" w:rsidP="003A3E70">
      <w:pPr>
        <w:numPr>
          <w:ilvl w:val="0"/>
          <w:numId w:val="3"/>
        </w:numPr>
        <w:tabs>
          <w:tab w:val="left" w:pos="142"/>
        </w:tabs>
        <w:ind w:left="-283" w:right="-324" w:firstLine="0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Vulnerable learners who are at risk of becoming NEET are referred to their Local Authority team for additional support. </w:t>
      </w:r>
    </w:p>
    <w:p w14:paraId="3832E1B8" w14:textId="77777777" w:rsidR="005C72C7" w:rsidRDefault="005C72C7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B9" w14:textId="77777777" w:rsidR="005C72C7" w:rsidRDefault="00C44B32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b/>
          <w:color w:val="93C47D"/>
        </w:rPr>
        <w:t>Management</w:t>
      </w:r>
    </w:p>
    <w:p w14:paraId="3832E1BA" w14:textId="732F0B60" w:rsidR="005C72C7" w:rsidRDefault="00C44B32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There are Careers Leads at each school who ensure that the strategy is implem</w:t>
      </w:r>
      <w:r>
        <w:rPr>
          <w:rFonts w:ascii="Poppins" w:eastAsia="Poppins" w:hAnsi="Poppins" w:cs="Poppins"/>
          <w:color w:val="1C4587"/>
        </w:rPr>
        <w:t xml:space="preserve">ented. This is monitored by the use of </w:t>
      </w:r>
      <w:r>
        <w:rPr>
          <w:rFonts w:ascii="Poppins" w:eastAsia="Poppins" w:hAnsi="Poppins" w:cs="Poppins"/>
          <w:color w:val="1C4587"/>
        </w:rPr>
        <w:t xml:space="preserve">Compass and is supported by a nominated member of each school’s SLT. </w:t>
      </w:r>
    </w:p>
    <w:p w14:paraId="3832E1BB" w14:textId="77777777" w:rsidR="005C72C7" w:rsidRDefault="005C72C7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BC" w14:textId="77777777" w:rsidR="005C72C7" w:rsidRDefault="00C44B32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b/>
          <w:color w:val="93C47D"/>
        </w:rPr>
        <w:t xml:space="preserve">Resources </w:t>
      </w:r>
    </w:p>
    <w:p w14:paraId="3832E1BD" w14:textId="627345A7" w:rsidR="005C72C7" w:rsidRDefault="00C44B32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A range of careers information, in a variety of formats, is provided on the Careers Hub so that it is accessible to all students. Resou</w:t>
      </w:r>
      <w:r>
        <w:rPr>
          <w:rFonts w:ascii="Poppins" w:eastAsia="Poppins" w:hAnsi="Poppins" w:cs="Poppins"/>
          <w:color w:val="1C4587"/>
        </w:rPr>
        <w:t xml:space="preserve">rces are managed in the </w:t>
      </w:r>
      <w:r w:rsidR="005010A9">
        <w:rPr>
          <w:rFonts w:ascii="Poppins" w:eastAsia="Poppins" w:hAnsi="Poppins" w:cs="Poppins"/>
          <w:color w:val="1C4587"/>
        </w:rPr>
        <w:t>schools</w:t>
      </w:r>
      <w:r>
        <w:rPr>
          <w:rFonts w:ascii="Poppins" w:eastAsia="Poppins" w:hAnsi="Poppins" w:cs="Poppins"/>
          <w:color w:val="1C4587"/>
        </w:rPr>
        <w:t xml:space="preserve"> to ensure that they are up to date and meet the needs of all students. Each school has a specified careers area on their website which contains a vast array of resources.</w:t>
      </w:r>
    </w:p>
    <w:p w14:paraId="3832E1BE" w14:textId="77777777" w:rsidR="005C72C7" w:rsidRDefault="005C72C7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b/>
          <w:color w:val="93C47D"/>
        </w:rPr>
      </w:pPr>
    </w:p>
    <w:p w14:paraId="3832E1BF" w14:textId="77777777" w:rsidR="005C72C7" w:rsidRDefault="005C72C7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b/>
          <w:color w:val="93C47D"/>
        </w:rPr>
      </w:pPr>
    </w:p>
    <w:p w14:paraId="3832E1C0" w14:textId="77777777" w:rsidR="005C72C7" w:rsidRDefault="00C44B32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b/>
          <w:color w:val="93C47D"/>
        </w:rPr>
        <w:lastRenderedPageBreak/>
        <w:t xml:space="preserve">Partnerships </w:t>
      </w:r>
    </w:p>
    <w:p w14:paraId="3832E1C1" w14:textId="77777777" w:rsidR="005C72C7" w:rsidRDefault="00C44B32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The Trust has a range of formal and </w:t>
      </w:r>
      <w:r>
        <w:rPr>
          <w:rFonts w:ascii="Poppins" w:eastAsia="Poppins" w:hAnsi="Poppins" w:cs="Poppins"/>
          <w:color w:val="1C4587"/>
        </w:rPr>
        <w:t xml:space="preserve">informal partnership arrangements. </w:t>
      </w:r>
    </w:p>
    <w:p w14:paraId="3832E1C2" w14:textId="77777777" w:rsidR="005C72C7" w:rsidRDefault="005C72C7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C3" w14:textId="77777777" w:rsidR="005C72C7" w:rsidRDefault="00C44B32">
      <w:pPr>
        <w:pBdr>
          <w:top w:val="nil"/>
          <w:left w:val="nil"/>
          <w:bottom w:val="nil"/>
          <w:right w:val="nil"/>
          <w:between w:val="nil"/>
        </w:pBd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These include but are not limited to; Gateway College, Myerscough College, Beaumont College, Project Search, URPotential, Blackpool NHS Teaching Hospitals, local farms, Victrex</w:t>
      </w:r>
    </w:p>
    <w:p w14:paraId="3832E1C4" w14:textId="77777777" w:rsidR="005C72C7" w:rsidRDefault="005C72C7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C5" w14:textId="77777777" w:rsidR="005C72C7" w:rsidRDefault="00C44B32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b/>
          <w:color w:val="93C47D"/>
        </w:rPr>
        <w:t>Monitoring, Review and Evaluation</w:t>
      </w:r>
      <w:r>
        <w:rPr>
          <w:rFonts w:ascii="Poppins" w:eastAsia="Poppins" w:hAnsi="Poppins" w:cs="Poppins"/>
          <w:color w:val="1C4587"/>
        </w:rPr>
        <w:t xml:space="preserve"> </w:t>
      </w:r>
    </w:p>
    <w:p w14:paraId="3832E1C6" w14:textId="77777777" w:rsidR="005C72C7" w:rsidRDefault="00C44B32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>A repo</w:t>
      </w:r>
      <w:r>
        <w:rPr>
          <w:rFonts w:ascii="Poppins" w:eastAsia="Poppins" w:hAnsi="Poppins" w:cs="Poppins"/>
          <w:color w:val="1C4587"/>
        </w:rPr>
        <w:t>rt will be submitted to the Trust Board on an annual basis, including an account of activities, a review of progress and an evaluation of learner and parental response to provision. Once per term a Gatsby compass audit is conducted by the SLT link and Care</w:t>
      </w:r>
      <w:r>
        <w:rPr>
          <w:rFonts w:ascii="Poppins" w:eastAsia="Poppins" w:hAnsi="Poppins" w:cs="Poppins"/>
          <w:color w:val="1C4587"/>
        </w:rPr>
        <w:t xml:space="preserve">ers Leader in each school. </w:t>
      </w:r>
    </w:p>
    <w:p w14:paraId="3832E1C7" w14:textId="77777777" w:rsidR="005C72C7" w:rsidRDefault="005C72C7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</w:p>
    <w:p w14:paraId="3832E1C8" w14:textId="77777777" w:rsidR="005C72C7" w:rsidRDefault="00C44B32">
      <w:pPr>
        <w:tabs>
          <w:tab w:val="left" w:pos="4024"/>
        </w:tabs>
        <w:ind w:left="-283" w:right="-324"/>
        <w:jc w:val="both"/>
        <w:rPr>
          <w:rFonts w:ascii="Poppins" w:eastAsia="Poppins" w:hAnsi="Poppins" w:cs="Poppins"/>
          <w:color w:val="1C4587"/>
        </w:rPr>
      </w:pPr>
      <w:r>
        <w:rPr>
          <w:rFonts w:ascii="Poppins" w:eastAsia="Poppins" w:hAnsi="Poppins" w:cs="Poppins"/>
          <w:color w:val="1C4587"/>
        </w:rPr>
        <w:t xml:space="preserve">Schools are expected to utilise feedback from the curriculum evaluations, partnerships, parental, and students’ feedback to improve the provision on a timely basis. This should be in keeping with the school’s annual review period. </w:t>
      </w:r>
    </w:p>
    <w:sectPr w:rsidR="005C72C7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AB05" w14:textId="77777777" w:rsidR="00C44B32" w:rsidRDefault="00C44B32">
      <w:pPr>
        <w:spacing w:line="240" w:lineRule="auto"/>
      </w:pPr>
      <w:r>
        <w:separator/>
      </w:r>
    </w:p>
  </w:endnote>
  <w:endnote w:type="continuationSeparator" w:id="0">
    <w:p w14:paraId="0C8D14E5" w14:textId="77777777" w:rsidR="00C44B32" w:rsidRDefault="00C4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C2F7" w14:textId="77777777" w:rsidR="00C44B32" w:rsidRDefault="00C44B32">
      <w:pPr>
        <w:spacing w:line="240" w:lineRule="auto"/>
      </w:pPr>
      <w:r>
        <w:separator/>
      </w:r>
    </w:p>
  </w:footnote>
  <w:footnote w:type="continuationSeparator" w:id="0">
    <w:p w14:paraId="3681BE8B" w14:textId="77777777" w:rsidR="00C44B32" w:rsidRDefault="00C44B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E1CB" w14:textId="77777777" w:rsidR="005C72C7" w:rsidRDefault="005C72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3E9F"/>
    <w:multiLevelType w:val="multilevel"/>
    <w:tmpl w:val="181EA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F87A61"/>
    <w:multiLevelType w:val="multilevel"/>
    <w:tmpl w:val="79E4B5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CE0352"/>
    <w:multiLevelType w:val="multilevel"/>
    <w:tmpl w:val="24983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027484"/>
    <w:multiLevelType w:val="multilevel"/>
    <w:tmpl w:val="8E1A2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B615ED"/>
    <w:multiLevelType w:val="multilevel"/>
    <w:tmpl w:val="BB1CC4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C80923"/>
    <w:multiLevelType w:val="multilevel"/>
    <w:tmpl w:val="44E6A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2C7"/>
    <w:rsid w:val="00291B39"/>
    <w:rsid w:val="003A3E70"/>
    <w:rsid w:val="005010A9"/>
    <w:rsid w:val="005C72C7"/>
    <w:rsid w:val="00C238E6"/>
    <w:rsid w:val="00C4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E147"/>
  <w15:docId w15:val="{4AF2F75B-8CAE-4297-98CB-A6C152DD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485779-7250-4129-9a7f-08bf27bf2b35">
      <Terms xmlns="http://schemas.microsoft.com/office/infopath/2007/PartnerControls"/>
    </lcf76f155ced4ddcb4097134ff3c332f>
    <TaxCatchAll xmlns="1bd64d3b-ca96-4b7c-87e3-13a4648078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B6AEAB0C5E8419779075908271243" ma:contentTypeVersion="14" ma:contentTypeDescription="Create a new document." ma:contentTypeScope="" ma:versionID="4649371cd68ced9c058bd4fe91366060">
  <xsd:schema xmlns:xsd="http://www.w3.org/2001/XMLSchema" xmlns:xs="http://www.w3.org/2001/XMLSchema" xmlns:p="http://schemas.microsoft.com/office/2006/metadata/properties" xmlns:ns2="4b485779-7250-4129-9a7f-08bf27bf2b35" xmlns:ns3="1bd64d3b-ca96-4b7c-87e3-13a464807883" targetNamespace="http://schemas.microsoft.com/office/2006/metadata/properties" ma:root="true" ma:fieldsID="af936fc56e9ddaa0d5107f0f865c0bad" ns2:_="" ns3:_="">
    <xsd:import namespace="4b485779-7250-4129-9a7f-08bf27bf2b35"/>
    <xsd:import namespace="1bd64d3b-ca96-4b7c-87e3-13a464807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85779-7250-4129-9a7f-08bf27bf2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4395a1-44ef-4a3e-9aad-206dfd695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64d3b-ca96-4b7c-87e3-13a4648078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7ad306-3b07-4921-91c0-ddb77bbdd09e}" ma:internalName="TaxCatchAll" ma:showField="CatchAllData" ma:web="1bd64d3b-ca96-4b7c-87e3-13a464807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3C62F-C441-4841-A38B-819B4AF16DE5}">
  <ds:schemaRefs>
    <ds:schemaRef ds:uri="http://schemas.microsoft.com/office/2006/metadata/properties"/>
    <ds:schemaRef ds:uri="http://schemas.microsoft.com/office/infopath/2007/PartnerControls"/>
    <ds:schemaRef ds:uri="4b485779-7250-4129-9a7f-08bf27bf2b35"/>
    <ds:schemaRef ds:uri="1bd64d3b-ca96-4b7c-87e3-13a464807883"/>
  </ds:schemaRefs>
</ds:datastoreItem>
</file>

<file path=customXml/itemProps2.xml><?xml version="1.0" encoding="utf-8"?>
<ds:datastoreItem xmlns:ds="http://schemas.openxmlformats.org/officeDocument/2006/customXml" ds:itemID="{D49CEF14-F4A9-4772-BF68-D050738A5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A2493-A900-493A-8CD4-7520AE90C8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1204</Words>
  <Characters>6868</Characters>
  <Application>Microsoft Office Word</Application>
  <DocSecurity>0</DocSecurity>
  <Lines>57</Lines>
  <Paragraphs>16</Paragraphs>
  <ScaleCrop>false</ScaleCrop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Tupman</dc:creator>
  <cp:lastModifiedBy>Lisa Tupman</cp:lastModifiedBy>
  <cp:revision>5</cp:revision>
  <cp:lastPrinted>2024-11-28T14:48:00Z</cp:lastPrinted>
  <dcterms:created xsi:type="dcterms:W3CDTF">2024-11-28T14:45:00Z</dcterms:created>
  <dcterms:modified xsi:type="dcterms:W3CDTF">2024-11-28T14:48:00Z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0x010100229B6AEAB0C5E8419779075908271243</vt:lpwstr>
  </property>
  <property fmtid="{D5CDD505-2E9C-101B-9397-08002B2CF9AE}" pid="3" name="Order">
    <vt:r8>3300</vt:r8>
  </property>
  <property fmtid="{D5CDD505-2E9C-101B-9397-08002B2CF9AE}" pid="4" name="MediaServiceImageTags">
    <vt:lpwstr/>
  </property>
</Properties>
</file>