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2894" w:rsidRDefault="00BA2BF6" w14:paraId="672A6659" w14:textId="77777777">
      <w:pPr>
        <w:jc w:val="center"/>
      </w:pPr>
      <w:r>
        <w:rPr>
          <w:noProof/>
        </w:rPr>
        <w:drawing>
          <wp:inline distT="0" distB="0" distL="0" distR="0" wp14:anchorId="00EF9DE5" wp14:editId="07777777">
            <wp:extent cx="3476625" cy="1095375"/>
            <wp:effectExtent l="0" t="0" r="9525" b="9525"/>
            <wp:docPr id="1" name="Picture 1" descr="The Acorn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corns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1095375"/>
                    </a:xfrm>
                    <a:prstGeom prst="rect">
                      <a:avLst/>
                    </a:prstGeom>
                    <a:noFill/>
                    <a:ln>
                      <a:noFill/>
                    </a:ln>
                  </pic:spPr>
                </pic:pic>
              </a:graphicData>
            </a:graphic>
          </wp:inline>
        </w:drawing>
      </w:r>
    </w:p>
    <w:p w:rsidR="00BD2894" w:rsidRDefault="00BD2894" w14:paraId="0A37501D" w14:textId="77777777"/>
    <w:p w:rsidR="00BD2894" w:rsidP="5593C388" w:rsidRDefault="00BA2BF6" w14:paraId="19723C0D" w14:textId="1792E279">
      <w:pPr>
        <w:rPr>
          <w:b w:val="1"/>
          <w:bCs w:val="1"/>
        </w:rPr>
      </w:pPr>
      <w:r w:rsidRPr="65D68A71" w:rsidR="28D2C42F">
        <w:rPr>
          <w:b w:val="1"/>
          <w:bCs w:val="1"/>
        </w:rPr>
        <w:t xml:space="preserve">Pupil Premium Strategy Statement </w:t>
      </w:r>
      <w:r w:rsidRPr="65D68A71" w:rsidR="4CB13870">
        <w:rPr>
          <w:b w:val="1"/>
          <w:bCs w:val="1"/>
        </w:rPr>
        <w:t>DRAFT</w:t>
      </w:r>
    </w:p>
    <w:p w:rsidR="07ACF516" w:rsidP="65D68A71" w:rsidRDefault="07ACF516" w14:paraId="6D49C87D" w14:textId="0C8A1240">
      <w:pPr>
        <w:pStyle w:val="Normal"/>
        <w:rPr>
          <w:b w:val="1"/>
          <w:bCs w:val="1"/>
        </w:rPr>
      </w:pPr>
      <w:r w:rsidRPr="65D68A71" w:rsidR="07ACF516">
        <w:rPr>
          <w:b w:val="1"/>
          <w:bCs w:val="1"/>
        </w:rPr>
        <w:t>For approval at the Finance and Resources Sub Committee 7</w:t>
      </w:r>
      <w:r w:rsidRPr="65D68A71" w:rsidR="07ACF516">
        <w:rPr>
          <w:b w:val="1"/>
          <w:bCs w:val="1"/>
          <w:vertAlign w:val="superscript"/>
        </w:rPr>
        <w:t>th</w:t>
      </w:r>
      <w:r w:rsidRPr="65D68A71" w:rsidR="07ACF516">
        <w:rPr>
          <w:b w:val="1"/>
          <w:bCs w:val="1"/>
        </w:rPr>
        <w:t xml:space="preserve"> February 2023.</w:t>
      </w:r>
    </w:p>
    <w:p w:rsidR="00BD2894" w:rsidRDefault="6626DFD1" w14:paraId="1079406F" w14:textId="556C07F8">
      <w:r>
        <w:t xml:space="preserve">This statement details our school’s use of pupil premium (and recovery premium for the 2022 – 2023 </w:t>
      </w:r>
      <w:bookmarkStart w:name="_Int_Xd4sZzFY" w:id="0"/>
      <w:r w:rsidR="4E53EC42">
        <w:t>financial</w:t>
      </w:r>
      <w:r>
        <w:t xml:space="preserve"> year</w:t>
      </w:r>
      <w:bookmarkEnd w:id="0"/>
      <w:r>
        <w:t>) funding to help improve the attainment of our disadvantaged pupils.</w:t>
      </w:r>
    </w:p>
    <w:p w:rsidR="00BD2894" w:rsidRDefault="6626DFD1" w14:paraId="5C1FF969" w14:textId="0E3C97AC">
      <w:r>
        <w:t xml:space="preserve">It outlines our pupil premium strategy, how we intend to spend the funding in this </w:t>
      </w:r>
      <w:bookmarkStart w:name="_Int_xroTN20o" w:id="1"/>
      <w:r w:rsidR="7C9DD1EC">
        <w:t>financial</w:t>
      </w:r>
      <w:r>
        <w:t xml:space="preserve"> year</w:t>
      </w:r>
      <w:bookmarkEnd w:id="1"/>
      <w:r>
        <w:t xml:space="preserve"> and the effect that last </w:t>
      </w:r>
      <w:r w:rsidR="66CD5384">
        <w:t>year's</w:t>
      </w:r>
      <w:r>
        <w:t xml:space="preserve"> spending of pupil premium had within our school.</w:t>
      </w:r>
    </w:p>
    <w:p w:rsidR="00BD2894" w:rsidRDefault="1896CB39" w14:paraId="5DAB6C7B" w14:textId="5548B86B">
      <w:r>
        <w:t>PP context for the school</w:t>
      </w: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31389030" w:rsidTr="6626DFD1" w14:paraId="25A751B9" w14:textId="77777777">
        <w:tc>
          <w:tcPr>
            <w:tcW w:w="1803" w:type="dxa"/>
          </w:tcPr>
          <w:p w:rsidR="1896CB39" w:rsidP="31389030" w:rsidRDefault="1896CB39" w14:paraId="2DEBAFD9" w14:textId="6596D969">
            <w:pPr>
              <w:rPr>
                <w:b/>
                <w:bCs/>
              </w:rPr>
            </w:pPr>
            <w:r w:rsidRPr="31389030">
              <w:rPr>
                <w:b/>
                <w:bCs/>
              </w:rPr>
              <w:t>Year</w:t>
            </w:r>
          </w:p>
        </w:tc>
        <w:tc>
          <w:tcPr>
            <w:tcW w:w="1803" w:type="dxa"/>
          </w:tcPr>
          <w:p w:rsidR="1896CB39" w:rsidP="31389030" w:rsidRDefault="1896CB39" w14:paraId="2E89F28B" w14:textId="1DAF9830">
            <w:pPr>
              <w:rPr>
                <w:b/>
                <w:bCs/>
              </w:rPr>
            </w:pPr>
            <w:r w:rsidRPr="31389030">
              <w:rPr>
                <w:b/>
                <w:bCs/>
              </w:rPr>
              <w:t>2019-2020</w:t>
            </w:r>
          </w:p>
        </w:tc>
        <w:tc>
          <w:tcPr>
            <w:tcW w:w="1803" w:type="dxa"/>
          </w:tcPr>
          <w:p w:rsidR="1896CB39" w:rsidP="31389030" w:rsidRDefault="1896CB39" w14:paraId="148C3C19" w14:textId="10855DD0">
            <w:pPr>
              <w:rPr>
                <w:b/>
                <w:bCs/>
              </w:rPr>
            </w:pPr>
            <w:r w:rsidRPr="31389030">
              <w:rPr>
                <w:b/>
                <w:bCs/>
              </w:rPr>
              <w:t>2020-2021</w:t>
            </w:r>
          </w:p>
        </w:tc>
        <w:tc>
          <w:tcPr>
            <w:tcW w:w="1803" w:type="dxa"/>
          </w:tcPr>
          <w:p w:rsidR="1896CB39" w:rsidP="31389030" w:rsidRDefault="1896CB39" w14:paraId="5F16DDA8" w14:textId="09FEC7A4">
            <w:pPr>
              <w:rPr>
                <w:b/>
                <w:bCs/>
              </w:rPr>
            </w:pPr>
            <w:r w:rsidRPr="31389030">
              <w:rPr>
                <w:b/>
                <w:bCs/>
              </w:rPr>
              <w:t>2021-2022</w:t>
            </w:r>
          </w:p>
        </w:tc>
        <w:tc>
          <w:tcPr>
            <w:tcW w:w="1803" w:type="dxa"/>
          </w:tcPr>
          <w:p w:rsidR="201A27E8" w:rsidP="31389030" w:rsidRDefault="201A27E8" w14:paraId="643FBC90" w14:textId="17D5D0B7">
            <w:pPr>
              <w:rPr>
                <w:b/>
                <w:bCs/>
              </w:rPr>
            </w:pPr>
            <w:r w:rsidRPr="31389030">
              <w:rPr>
                <w:b/>
                <w:bCs/>
              </w:rPr>
              <w:t>2022-2023</w:t>
            </w:r>
          </w:p>
        </w:tc>
      </w:tr>
      <w:tr w:rsidR="31389030" w:rsidTr="6626DFD1" w14:paraId="0DC58778" w14:textId="77777777">
        <w:tc>
          <w:tcPr>
            <w:tcW w:w="1803" w:type="dxa"/>
          </w:tcPr>
          <w:p w:rsidR="1896CB39" w:rsidP="31389030" w:rsidRDefault="1896CB39" w14:paraId="77DB7678" w14:textId="69DD424E">
            <w:r>
              <w:t>Number of pupils on roll</w:t>
            </w:r>
          </w:p>
        </w:tc>
        <w:tc>
          <w:tcPr>
            <w:tcW w:w="1803" w:type="dxa"/>
          </w:tcPr>
          <w:p w:rsidR="1896CB39" w:rsidP="31389030" w:rsidRDefault="1896CB39" w14:paraId="4FB9AECF" w14:textId="5A3AA438">
            <w:r>
              <w:t>52</w:t>
            </w:r>
          </w:p>
        </w:tc>
        <w:tc>
          <w:tcPr>
            <w:tcW w:w="1803" w:type="dxa"/>
          </w:tcPr>
          <w:p w:rsidR="1896CB39" w:rsidP="31389030" w:rsidRDefault="1896CB39" w14:paraId="39E38BA6" w14:textId="3BE429EF">
            <w:r>
              <w:t>65</w:t>
            </w:r>
          </w:p>
        </w:tc>
        <w:tc>
          <w:tcPr>
            <w:tcW w:w="1803" w:type="dxa"/>
          </w:tcPr>
          <w:p w:rsidR="1896CB39" w:rsidP="31389030" w:rsidRDefault="1896CB39" w14:paraId="689CD9A7" w14:textId="4D0F9D62">
            <w:r>
              <w:t>70</w:t>
            </w:r>
          </w:p>
        </w:tc>
        <w:tc>
          <w:tcPr>
            <w:tcW w:w="1803" w:type="dxa"/>
          </w:tcPr>
          <w:p w:rsidR="4D330526" w:rsidP="31389030" w:rsidRDefault="18313FB4" w14:paraId="5314B9EB" w14:textId="77BF82C5">
            <w:r>
              <w:t>78</w:t>
            </w:r>
            <w:r w:rsidR="26CF23AF">
              <w:t xml:space="preserve"> as at January census</w:t>
            </w:r>
          </w:p>
        </w:tc>
      </w:tr>
      <w:tr w:rsidR="31389030" w:rsidTr="6626DFD1" w14:paraId="4C1890C9" w14:textId="77777777">
        <w:tc>
          <w:tcPr>
            <w:tcW w:w="1803" w:type="dxa"/>
          </w:tcPr>
          <w:p w:rsidR="1896CB39" w:rsidP="31389030" w:rsidRDefault="1896CB39" w14:paraId="33842BC6" w14:textId="524C03B6">
            <w:r>
              <w:t>Pupil Premium %</w:t>
            </w:r>
          </w:p>
        </w:tc>
        <w:tc>
          <w:tcPr>
            <w:tcW w:w="1803" w:type="dxa"/>
          </w:tcPr>
          <w:p w:rsidR="1896CB39" w:rsidP="31389030" w:rsidRDefault="1896CB39" w14:paraId="08C16EA8" w14:textId="18E3B4E6">
            <w:r>
              <w:t>77%</w:t>
            </w:r>
          </w:p>
        </w:tc>
        <w:tc>
          <w:tcPr>
            <w:tcW w:w="1803" w:type="dxa"/>
          </w:tcPr>
          <w:p w:rsidR="1896CB39" w:rsidP="31389030" w:rsidRDefault="1896CB39" w14:paraId="79276584" w14:textId="10C13941">
            <w:r>
              <w:t>66%</w:t>
            </w:r>
          </w:p>
        </w:tc>
        <w:tc>
          <w:tcPr>
            <w:tcW w:w="1803" w:type="dxa"/>
          </w:tcPr>
          <w:p w:rsidR="1896CB39" w:rsidP="31389030" w:rsidRDefault="1896CB39" w14:paraId="0B82C0F5" w14:textId="2B00809B">
            <w:r>
              <w:t>43%</w:t>
            </w:r>
          </w:p>
        </w:tc>
        <w:tc>
          <w:tcPr>
            <w:tcW w:w="1803" w:type="dxa"/>
          </w:tcPr>
          <w:p w:rsidR="1BA866E7" w:rsidP="31389030" w:rsidRDefault="1BA866E7" w14:paraId="13A94A58" w14:textId="24B76FF1">
            <w:r>
              <w:t>62%</w:t>
            </w:r>
          </w:p>
        </w:tc>
      </w:tr>
    </w:tbl>
    <w:p w:rsidR="31389030" w:rsidRDefault="31389030" w14:paraId="3DDA630F" w14:textId="11BFD286"/>
    <w:p w:rsidR="00BD2894" w:rsidP="6626DFD1" w:rsidRDefault="6626DFD1" w14:paraId="7E06DEB9" w14:textId="77777777">
      <w:pPr>
        <w:rPr>
          <w:b/>
          <w:bCs/>
        </w:rPr>
      </w:pPr>
      <w:r w:rsidRPr="6626DFD1">
        <w:rPr>
          <w:b/>
          <w:bCs/>
        </w:rPr>
        <w:t>School Overview</w:t>
      </w:r>
    </w:p>
    <w:tbl>
      <w:tblPr>
        <w:tblStyle w:val="TableGrid"/>
        <w:tblW w:w="0" w:type="auto"/>
        <w:tblLook w:val="04A0" w:firstRow="1" w:lastRow="0" w:firstColumn="1" w:lastColumn="0" w:noHBand="0" w:noVBand="1"/>
      </w:tblPr>
      <w:tblGrid>
        <w:gridCol w:w="4508"/>
        <w:gridCol w:w="4508"/>
      </w:tblGrid>
      <w:tr w:rsidR="00BD2894" w:rsidTr="6626DFD1" w14:paraId="1A7D03FA" w14:textId="77777777">
        <w:tc>
          <w:tcPr>
            <w:tcW w:w="4508" w:type="dxa"/>
          </w:tcPr>
          <w:p w:rsidR="00BD2894" w:rsidRDefault="00BA2BF6" w14:paraId="3C39D6EF" w14:textId="77777777">
            <w:pPr>
              <w:rPr>
                <w:b/>
              </w:rPr>
            </w:pPr>
            <w:r>
              <w:rPr>
                <w:b/>
              </w:rPr>
              <w:t>Detail</w:t>
            </w:r>
          </w:p>
        </w:tc>
        <w:tc>
          <w:tcPr>
            <w:tcW w:w="4508" w:type="dxa"/>
          </w:tcPr>
          <w:p w:rsidR="00BD2894" w:rsidRDefault="00BA2BF6" w14:paraId="51A59785" w14:textId="77777777">
            <w:pPr>
              <w:rPr>
                <w:b/>
              </w:rPr>
            </w:pPr>
            <w:r>
              <w:rPr>
                <w:b/>
              </w:rPr>
              <w:t>Data</w:t>
            </w:r>
          </w:p>
        </w:tc>
      </w:tr>
      <w:tr w:rsidR="00BD2894" w:rsidTr="6626DFD1" w14:paraId="44ADB96D" w14:textId="77777777">
        <w:tc>
          <w:tcPr>
            <w:tcW w:w="4508" w:type="dxa"/>
          </w:tcPr>
          <w:p w:rsidR="00BD2894" w:rsidRDefault="00BA2BF6" w14:paraId="4E002E28" w14:textId="77777777">
            <w:r>
              <w:t>School Name</w:t>
            </w:r>
          </w:p>
        </w:tc>
        <w:tc>
          <w:tcPr>
            <w:tcW w:w="4508" w:type="dxa"/>
          </w:tcPr>
          <w:p w:rsidR="00BD2894" w:rsidRDefault="00BA2BF6" w14:paraId="40791EBE" w14:textId="77777777">
            <w:r>
              <w:t>The Acorns School</w:t>
            </w:r>
          </w:p>
        </w:tc>
      </w:tr>
      <w:tr w:rsidR="00BD2894" w:rsidTr="6626DFD1" w14:paraId="7AAA792F" w14:textId="77777777">
        <w:tc>
          <w:tcPr>
            <w:tcW w:w="4508" w:type="dxa"/>
          </w:tcPr>
          <w:p w:rsidR="00BD2894" w:rsidRDefault="00BA2BF6" w14:paraId="2B7B7AA5" w14:textId="77777777">
            <w:r>
              <w:t>Number of pupils in school</w:t>
            </w:r>
          </w:p>
        </w:tc>
        <w:tc>
          <w:tcPr>
            <w:tcW w:w="4508" w:type="dxa"/>
          </w:tcPr>
          <w:p w:rsidR="00BD2894" w:rsidRDefault="0396DC6B" w14:paraId="02EB378F" w14:textId="5BAC115D">
            <w:r>
              <w:t>78</w:t>
            </w:r>
          </w:p>
        </w:tc>
      </w:tr>
      <w:tr w:rsidR="00BD2894" w:rsidTr="6626DFD1" w14:paraId="67362F32" w14:textId="77777777">
        <w:tc>
          <w:tcPr>
            <w:tcW w:w="4508" w:type="dxa"/>
          </w:tcPr>
          <w:p w:rsidR="00BD2894" w:rsidRDefault="00BA2BF6" w14:paraId="711FD264" w14:textId="77777777">
            <w:r>
              <w:t>Proportion (%) of pupil premium eligible pupils</w:t>
            </w:r>
          </w:p>
        </w:tc>
        <w:tc>
          <w:tcPr>
            <w:tcW w:w="4508" w:type="dxa"/>
          </w:tcPr>
          <w:p w:rsidR="00BD2894" w:rsidRDefault="7BEA8AB2" w14:paraId="6A05A809" w14:textId="4AF4AC28">
            <w:r>
              <w:t>62%</w:t>
            </w:r>
          </w:p>
        </w:tc>
      </w:tr>
      <w:tr w:rsidR="00BD2894" w:rsidTr="6626DFD1" w14:paraId="5DC202E0" w14:textId="77777777">
        <w:tc>
          <w:tcPr>
            <w:tcW w:w="4508" w:type="dxa"/>
          </w:tcPr>
          <w:p w:rsidR="00BD2894" w:rsidRDefault="31389030" w14:paraId="7C300A0B" w14:textId="6D7FE00B">
            <w:r>
              <w:t xml:space="preserve">Academic year strategy that our current pupil premium strategy plan covers </w:t>
            </w:r>
            <w:r w:rsidRPr="31389030">
              <w:rPr>
                <w:b/>
                <w:bCs/>
              </w:rPr>
              <w:t>(</w:t>
            </w:r>
            <w:r w:rsidRPr="31389030" w:rsidR="578402F4">
              <w:rPr>
                <w:b/>
                <w:bCs/>
              </w:rPr>
              <w:t>3-year</w:t>
            </w:r>
            <w:r w:rsidRPr="31389030">
              <w:rPr>
                <w:b/>
                <w:bCs/>
              </w:rPr>
              <w:t xml:space="preserve"> plans are recommended) </w:t>
            </w:r>
          </w:p>
        </w:tc>
        <w:tc>
          <w:tcPr>
            <w:tcW w:w="4508" w:type="dxa"/>
          </w:tcPr>
          <w:p w:rsidR="00BD2894" w:rsidRDefault="31389030" w14:paraId="6AC9A07E" w14:textId="3A89C0BB">
            <w:r>
              <w:t>2022-2</w:t>
            </w:r>
            <w:r w:rsidR="692140AB">
              <w:t>02</w:t>
            </w:r>
            <w:r>
              <w:t>3</w:t>
            </w:r>
          </w:p>
          <w:p w:rsidR="00BD2894" w:rsidRDefault="31389030" w14:paraId="0136937E" w14:textId="245C24D7">
            <w:r>
              <w:t>2023-2</w:t>
            </w:r>
            <w:r w:rsidR="7603F5AC">
              <w:t>02</w:t>
            </w:r>
            <w:r>
              <w:t>4</w:t>
            </w:r>
          </w:p>
          <w:p w:rsidR="00BD2894" w:rsidRDefault="00BA2BF6" w14:paraId="673F53D5" w14:textId="77777777">
            <w:r>
              <w:t>2024-2025</w:t>
            </w:r>
          </w:p>
        </w:tc>
      </w:tr>
      <w:tr w:rsidR="00BD2894" w:rsidTr="6626DFD1" w14:paraId="3EDBFFB4" w14:textId="77777777">
        <w:tc>
          <w:tcPr>
            <w:tcW w:w="4508" w:type="dxa"/>
          </w:tcPr>
          <w:p w:rsidR="00BD2894" w:rsidRDefault="00BA2BF6" w14:paraId="33B83461" w14:textId="77777777">
            <w:r>
              <w:t>Date this statement was published</w:t>
            </w:r>
          </w:p>
        </w:tc>
        <w:tc>
          <w:tcPr>
            <w:tcW w:w="4508" w:type="dxa"/>
          </w:tcPr>
          <w:p w:rsidR="00BD2894" w:rsidRDefault="4C5DC980" w14:paraId="5A39BBE3" w14:textId="38F8908D">
            <w:r>
              <w:t xml:space="preserve">January </w:t>
            </w:r>
            <w:r w:rsidR="22ABE0DB">
              <w:t>202</w:t>
            </w:r>
            <w:r w:rsidR="5DE7EF64">
              <w:t>3</w:t>
            </w:r>
          </w:p>
        </w:tc>
      </w:tr>
      <w:tr w:rsidR="00BD2894" w:rsidTr="6626DFD1" w14:paraId="06725AC7" w14:textId="77777777">
        <w:tc>
          <w:tcPr>
            <w:tcW w:w="4508" w:type="dxa"/>
          </w:tcPr>
          <w:p w:rsidR="00BD2894" w:rsidRDefault="00BA2BF6" w14:paraId="73ACFE8F" w14:textId="77777777">
            <w:r>
              <w:t>Date on which it will be reviewed</w:t>
            </w:r>
          </w:p>
        </w:tc>
        <w:tc>
          <w:tcPr>
            <w:tcW w:w="4508" w:type="dxa"/>
          </w:tcPr>
          <w:p w:rsidR="00BD2894" w:rsidRDefault="07C3FAF1" w14:paraId="41C8F396" w14:textId="5F2ECCAF">
            <w:r>
              <w:t>January</w:t>
            </w:r>
            <w:r w:rsidR="795F0EFA">
              <w:t xml:space="preserve"> 202</w:t>
            </w:r>
            <w:r w:rsidR="5E94D789">
              <w:t>4</w:t>
            </w:r>
          </w:p>
        </w:tc>
      </w:tr>
      <w:tr w:rsidR="00BD2894" w:rsidTr="6626DFD1" w14:paraId="5BB66496" w14:textId="77777777">
        <w:tc>
          <w:tcPr>
            <w:tcW w:w="4508" w:type="dxa"/>
          </w:tcPr>
          <w:p w:rsidR="00BD2894" w:rsidRDefault="00BA2BF6" w14:paraId="5B3CCA2B" w14:textId="77777777">
            <w:r>
              <w:t xml:space="preserve">Statement authorised by </w:t>
            </w:r>
          </w:p>
        </w:tc>
        <w:tc>
          <w:tcPr>
            <w:tcW w:w="4508" w:type="dxa"/>
          </w:tcPr>
          <w:p w:rsidR="00BD2894" w:rsidRDefault="132B9236" w14:paraId="72A3D3EC" w14:textId="03689568">
            <w:r>
              <w:t>M</w:t>
            </w:r>
            <w:r w:rsidR="3B657409">
              <w:t>rs J Hodson</w:t>
            </w:r>
          </w:p>
        </w:tc>
      </w:tr>
      <w:tr w:rsidR="00BD2894" w:rsidTr="6626DFD1" w14:paraId="6245BB77" w14:textId="77777777">
        <w:tc>
          <w:tcPr>
            <w:tcW w:w="4508" w:type="dxa"/>
          </w:tcPr>
          <w:p w:rsidR="00BD2894" w:rsidRDefault="00BA2BF6" w14:paraId="5E0072CA" w14:textId="77777777">
            <w:r>
              <w:t>Pupil Premium Lead</w:t>
            </w:r>
          </w:p>
        </w:tc>
        <w:tc>
          <w:tcPr>
            <w:tcW w:w="4508" w:type="dxa"/>
          </w:tcPr>
          <w:p w:rsidR="00BD2894" w:rsidRDefault="79A407EC" w14:paraId="0D0B940D" w14:textId="62FDB173">
            <w:r>
              <w:t>Miss H Cutts</w:t>
            </w:r>
          </w:p>
        </w:tc>
      </w:tr>
      <w:tr w:rsidR="00BD2894" w:rsidTr="6626DFD1" w14:paraId="637F627B" w14:textId="77777777">
        <w:tc>
          <w:tcPr>
            <w:tcW w:w="4508" w:type="dxa"/>
          </w:tcPr>
          <w:p w:rsidR="00BD2894" w:rsidRDefault="00BA2BF6" w14:paraId="0241A1E1" w14:textId="77777777">
            <w:r>
              <w:t>Governor</w:t>
            </w:r>
          </w:p>
        </w:tc>
        <w:tc>
          <w:tcPr>
            <w:tcW w:w="4508" w:type="dxa"/>
          </w:tcPr>
          <w:p w:rsidR="00BD2894" w:rsidRDefault="65A499C0" w14:paraId="0E27B00A" w14:textId="1E0AE895">
            <w:r>
              <w:t>Mrs B Harrison</w:t>
            </w:r>
          </w:p>
        </w:tc>
      </w:tr>
    </w:tbl>
    <w:p w:rsidR="00BD2894" w:rsidRDefault="00BD2894" w14:paraId="60061E4C" w14:textId="77777777"/>
    <w:p w:rsidR="00BD2894" w:rsidRDefault="00BA2BF6" w14:paraId="7E66F639" w14:textId="77777777">
      <w:r>
        <w:t>Funding overview</w:t>
      </w:r>
    </w:p>
    <w:tbl>
      <w:tblPr>
        <w:tblStyle w:val="TableGrid"/>
        <w:tblW w:w="0" w:type="auto"/>
        <w:tblLook w:val="04A0" w:firstRow="1" w:lastRow="0" w:firstColumn="1" w:lastColumn="0" w:noHBand="0" w:noVBand="1"/>
      </w:tblPr>
      <w:tblGrid>
        <w:gridCol w:w="4508"/>
        <w:gridCol w:w="4508"/>
      </w:tblGrid>
      <w:tr w:rsidR="00BD2894" w:rsidTr="5593C388" w14:paraId="5D1650B5" w14:textId="77777777">
        <w:tc>
          <w:tcPr>
            <w:tcW w:w="4508" w:type="dxa"/>
            <w:tcMar/>
          </w:tcPr>
          <w:p w:rsidR="00BD2894" w:rsidRDefault="00BA2BF6" w14:paraId="2DA3B5D7" w14:textId="77777777">
            <w:pPr>
              <w:rPr>
                <w:b/>
              </w:rPr>
            </w:pPr>
            <w:r>
              <w:rPr>
                <w:b/>
              </w:rPr>
              <w:t>Detail</w:t>
            </w:r>
          </w:p>
        </w:tc>
        <w:tc>
          <w:tcPr>
            <w:tcW w:w="4508" w:type="dxa"/>
            <w:tcMar/>
          </w:tcPr>
          <w:p w:rsidR="00BD2894" w:rsidRDefault="00BA2BF6" w14:paraId="06C24BAA" w14:textId="77777777">
            <w:pPr>
              <w:rPr>
                <w:b/>
              </w:rPr>
            </w:pPr>
            <w:r>
              <w:rPr>
                <w:b/>
              </w:rPr>
              <w:t>Amount</w:t>
            </w:r>
          </w:p>
        </w:tc>
      </w:tr>
      <w:tr w:rsidR="00BD2894" w:rsidTr="5593C388" w14:paraId="7D41D618" w14:textId="77777777">
        <w:tc>
          <w:tcPr>
            <w:tcW w:w="4508" w:type="dxa"/>
            <w:tcMar/>
          </w:tcPr>
          <w:p w:rsidR="00BD2894" w:rsidRDefault="6626DFD1" w14:paraId="6BAA0AB9" w14:textId="403251B5">
            <w:r>
              <w:t xml:space="preserve">Pupil premium funding allocation this </w:t>
            </w:r>
            <w:bookmarkStart w:name="_Int_NvRAQbET" w:id="2"/>
            <w:r w:rsidR="2DA65EDB">
              <w:t>financial</w:t>
            </w:r>
            <w:r>
              <w:t xml:space="preserve"> year</w:t>
            </w:r>
            <w:bookmarkEnd w:id="2"/>
          </w:p>
        </w:tc>
        <w:tc>
          <w:tcPr>
            <w:tcW w:w="4508" w:type="dxa"/>
            <w:tcMar/>
          </w:tcPr>
          <w:p w:rsidR="00BD2894" w:rsidRDefault="3FE733A5" w14:paraId="44EAFD9C" w14:textId="799F7526">
            <w:r>
              <w:t>£</w:t>
            </w:r>
            <w:r w:rsidR="6056D078">
              <w:t>32,910</w:t>
            </w:r>
          </w:p>
        </w:tc>
      </w:tr>
      <w:tr w:rsidR="00BD2894" w:rsidTr="5593C388" w14:paraId="79AED7EA" w14:textId="77777777">
        <w:tc>
          <w:tcPr>
            <w:tcW w:w="4508" w:type="dxa"/>
            <w:tcMar/>
          </w:tcPr>
          <w:p w:rsidR="00BD2894" w:rsidRDefault="6626DFD1" w14:paraId="38FE2BE6" w14:textId="5958EE0B">
            <w:r>
              <w:t xml:space="preserve">Recovery premium funding allocation this </w:t>
            </w:r>
            <w:bookmarkStart w:name="_Int_cg2DJ6cP" w:id="3"/>
            <w:r w:rsidR="3F20B2EA">
              <w:t>financial</w:t>
            </w:r>
            <w:r>
              <w:t xml:space="preserve"> year</w:t>
            </w:r>
            <w:bookmarkEnd w:id="3"/>
          </w:p>
        </w:tc>
        <w:tc>
          <w:tcPr>
            <w:tcW w:w="4508" w:type="dxa"/>
            <w:tcMar/>
          </w:tcPr>
          <w:p w:rsidR="00BD2894" w:rsidRDefault="0B096001" w14:paraId="4B94D5A5" w14:textId="36DAB6CD">
            <w:r>
              <w:t>£</w:t>
            </w:r>
            <w:r w:rsidR="25C68263">
              <w:t>13,500</w:t>
            </w:r>
          </w:p>
        </w:tc>
      </w:tr>
      <w:tr w:rsidR="00BD2894" w:rsidTr="5593C388" w14:paraId="2CA7D532" w14:textId="77777777">
        <w:tc>
          <w:tcPr>
            <w:tcW w:w="4508" w:type="dxa"/>
            <w:tcMar/>
          </w:tcPr>
          <w:p w:rsidR="00BD2894" w:rsidRDefault="00BA2BF6" w14:paraId="4C258FAB" w14:textId="77777777">
            <w:r>
              <w:t>Pupil Premium funding carried forward from previous years (£0 if not applicable)</w:t>
            </w:r>
          </w:p>
        </w:tc>
        <w:tc>
          <w:tcPr>
            <w:tcW w:w="4508" w:type="dxa"/>
            <w:tcMar/>
          </w:tcPr>
          <w:p w:rsidR="00BD2894" w:rsidRDefault="1D5DD82D" w14:paraId="3DEEC669" w14:textId="4BFAD432">
            <w:r>
              <w:t>£0</w:t>
            </w:r>
          </w:p>
        </w:tc>
      </w:tr>
      <w:tr w:rsidR="31389030" w:rsidTr="5593C388" w14:paraId="7F1FC20E" w14:textId="77777777">
        <w:tc>
          <w:tcPr>
            <w:tcW w:w="4508" w:type="dxa"/>
            <w:tcMar/>
          </w:tcPr>
          <w:p w:rsidR="5C344700" w:rsidP="31389030" w:rsidRDefault="5C344700" w14:paraId="0FA79730" w14:textId="3A73D98A">
            <w:r>
              <w:t xml:space="preserve">Total </w:t>
            </w:r>
          </w:p>
        </w:tc>
        <w:tc>
          <w:tcPr>
            <w:tcW w:w="4508" w:type="dxa"/>
            <w:tcMar/>
          </w:tcPr>
          <w:p w:rsidR="5C344700" w:rsidP="5593C388" w:rsidRDefault="5C344700" w14:paraId="6BC46021" w14:textId="6B180664">
            <w:pPr>
              <w:rPr>
                <w:b w:val="1"/>
                <w:bCs w:val="1"/>
              </w:rPr>
            </w:pPr>
            <w:r w:rsidRPr="5593C388" w:rsidR="434BC22D">
              <w:rPr>
                <w:b w:val="1"/>
                <w:bCs w:val="1"/>
              </w:rPr>
              <w:t>£46,410</w:t>
            </w:r>
          </w:p>
        </w:tc>
      </w:tr>
    </w:tbl>
    <w:p w:rsidR="00BD2894" w:rsidRDefault="00BD2894" w14:paraId="3656B9AB" w14:textId="77777777"/>
    <w:p w:rsidR="00BD2894" w:rsidRDefault="00BD2894" w14:paraId="45FB0818" w14:textId="77777777"/>
    <w:p w:rsidR="6626DFD1" w:rsidP="6626DFD1" w:rsidRDefault="6626DFD1" w14:paraId="48B9A4E2" w14:textId="5F09383D"/>
    <w:p w:rsidR="00BD2894" w:rsidRDefault="00BA2BF6" w14:paraId="26DE09A7" w14:textId="77777777">
      <w:r>
        <w:t>Statement of intent</w:t>
      </w:r>
    </w:p>
    <w:p w:rsidR="00BD2894" w:rsidP="6626DFD1" w:rsidRDefault="6626DFD1" w14:paraId="2F6899FC" w14:textId="4717621E">
      <w:pPr>
        <w:jc w:val="both"/>
      </w:pPr>
      <w:r w:rsidR="03BE284A">
        <w:rPr/>
        <w:t xml:space="preserve">At The </w:t>
      </w:r>
      <w:r w:rsidR="60DAD417">
        <w:rPr/>
        <w:t>Acorns School,</w:t>
      </w:r>
      <w:r w:rsidR="62C2A450">
        <w:rPr/>
        <w:t xml:space="preserve"> all pupils </w:t>
      </w:r>
      <w:r w:rsidR="3C0D2BA9">
        <w:rPr/>
        <w:t>are disadvantaged in some way by the fact they are here.</w:t>
      </w:r>
      <w:r w:rsidR="5F9A53B3">
        <w:rPr/>
        <w:t xml:space="preserve"> They all have SEN-K status.</w:t>
      </w:r>
      <w:r w:rsidR="3C0D2BA9">
        <w:rPr/>
        <w:t xml:space="preserve"> Pupils who are</w:t>
      </w:r>
      <w:r w:rsidR="62C2A450">
        <w:rPr/>
        <w:t xml:space="preserve"> not eligible for pupil premium funding </w:t>
      </w:r>
      <w:r w:rsidR="72D7B7B8">
        <w:rPr/>
        <w:t>will still</w:t>
      </w:r>
      <w:r w:rsidR="62C2A450">
        <w:rPr/>
        <w:t xml:space="preserve"> require </w:t>
      </w:r>
      <w:r w:rsidR="62C2A450">
        <w:rPr/>
        <w:t>additional</w:t>
      </w:r>
      <w:r w:rsidR="62C2A450">
        <w:rPr/>
        <w:t xml:space="preserve"> support </w:t>
      </w:r>
      <w:r w:rsidR="69F5E780">
        <w:rPr/>
        <w:t xml:space="preserve">and intervention. For this </w:t>
      </w:r>
      <w:r w:rsidR="66DA493E">
        <w:rPr/>
        <w:t>reason,</w:t>
      </w:r>
      <w:r w:rsidR="69F5E780">
        <w:rPr/>
        <w:t xml:space="preserve"> we as a school have decided that all pupils should </w:t>
      </w:r>
      <w:bookmarkStart w:name="_Int_5szK6cvC" w:id="1296665686"/>
      <w:r w:rsidR="69F5E780">
        <w:rPr/>
        <w:t>benefit</w:t>
      </w:r>
      <w:bookmarkEnd w:id="1296665686"/>
      <w:r w:rsidR="69F5E780">
        <w:rPr/>
        <w:t xml:space="preserve"> from the</w:t>
      </w:r>
      <w:r w:rsidR="2C119226">
        <w:rPr/>
        <w:t xml:space="preserve"> below</w:t>
      </w:r>
      <w:r w:rsidR="69F5E780">
        <w:rPr/>
        <w:t xml:space="preserve"> listed activities</w:t>
      </w:r>
      <w:r w:rsidR="5FAB43BB">
        <w:rPr/>
        <w:t>.</w:t>
      </w:r>
    </w:p>
    <w:p w:rsidR="00BD2894" w:rsidP="6626DFD1" w:rsidRDefault="00BD2894" w14:paraId="53128261" w14:textId="52CF6CE3"/>
    <w:p w:rsidR="00BD2894" w:rsidRDefault="00BA2BF6" w14:paraId="4778478F" w14:textId="77777777">
      <w:r>
        <w:t>Challenges</w:t>
      </w:r>
    </w:p>
    <w:p w:rsidR="00BD2894" w:rsidRDefault="00BA2BF6" w14:paraId="6904229C" w14:textId="77777777">
      <w:r>
        <w:t>This details the key challenges to achievement that we have identified among disadvantaged pupils.</w:t>
      </w:r>
    </w:p>
    <w:p w:rsidR="00BD2894" w:rsidRDefault="00BD2894" w14:paraId="62486C05" w14:textId="77777777"/>
    <w:tbl>
      <w:tblPr>
        <w:tblStyle w:val="TableGrid"/>
        <w:tblW w:w="9016" w:type="dxa"/>
        <w:tblLook w:val="04A0" w:firstRow="1" w:lastRow="0" w:firstColumn="1" w:lastColumn="0" w:noHBand="0" w:noVBand="1"/>
      </w:tblPr>
      <w:tblGrid>
        <w:gridCol w:w="1200"/>
        <w:gridCol w:w="7816"/>
      </w:tblGrid>
      <w:tr w:rsidR="00BD2894" w:rsidTr="5593C388" w14:paraId="2E58A6DF" w14:textId="77777777">
        <w:tc>
          <w:tcPr>
            <w:tcW w:w="1200" w:type="dxa"/>
            <w:tcMar/>
          </w:tcPr>
          <w:p w:rsidR="00BD2894" w:rsidRDefault="00BA2BF6" w14:paraId="07DBAA6F" w14:textId="77777777">
            <w:pPr>
              <w:rPr>
                <w:b/>
              </w:rPr>
            </w:pPr>
            <w:r>
              <w:rPr>
                <w:b/>
              </w:rPr>
              <w:t>Challenge Number</w:t>
            </w:r>
          </w:p>
        </w:tc>
        <w:tc>
          <w:tcPr>
            <w:tcW w:w="7816" w:type="dxa"/>
            <w:tcMar/>
          </w:tcPr>
          <w:p w:rsidR="00BD2894" w:rsidRDefault="00BA2BF6" w14:paraId="6116E084" w14:textId="77777777">
            <w:pPr>
              <w:rPr>
                <w:b/>
              </w:rPr>
            </w:pPr>
            <w:r>
              <w:rPr>
                <w:b/>
              </w:rPr>
              <w:t>Detail of challenge</w:t>
            </w:r>
          </w:p>
        </w:tc>
      </w:tr>
      <w:tr w:rsidR="00BD2894" w:rsidTr="5593C388" w14:paraId="649841BE" w14:textId="77777777">
        <w:tc>
          <w:tcPr>
            <w:tcW w:w="1200" w:type="dxa"/>
            <w:tcMar/>
          </w:tcPr>
          <w:p w:rsidR="00BD2894" w:rsidRDefault="00BA2BF6" w14:paraId="56B20A0C" w14:textId="77777777">
            <w:r>
              <w:t>1</w:t>
            </w:r>
          </w:p>
        </w:tc>
        <w:tc>
          <w:tcPr>
            <w:tcW w:w="7816" w:type="dxa"/>
            <w:tcMar/>
          </w:tcPr>
          <w:p w:rsidR="00BD2894" w:rsidP="6626DFD1" w:rsidRDefault="2B418442" w14:paraId="0638239A" w14:textId="24EAC785">
            <w:pPr>
              <w:rPr>
                <w:b/>
                <w:bCs/>
              </w:rPr>
            </w:pPr>
            <w:r w:rsidRPr="6626DFD1">
              <w:rPr>
                <w:b/>
                <w:bCs/>
              </w:rPr>
              <w:t>Attendance</w:t>
            </w:r>
          </w:p>
          <w:p w:rsidR="00BD2894" w:rsidP="6626DFD1" w:rsidRDefault="5BDD7FED" w14:paraId="2C1448CF" w14:textId="14926CC7">
            <w:pPr>
              <w:rPr>
                <w:rFonts w:ascii="Calibri" w:hAnsi="Calibri" w:eastAsia="Calibri" w:cs="Calibri"/>
                <w:color w:val="000000" w:themeColor="text1"/>
              </w:rPr>
            </w:pPr>
            <w:r w:rsidRPr="6626DFD1">
              <w:rPr>
                <w:rFonts w:ascii="Calibri" w:hAnsi="Calibri" w:eastAsia="Calibri" w:cs="Calibri"/>
                <w:color w:val="000000" w:themeColor="text1"/>
              </w:rPr>
              <w:t xml:space="preserve">Acorns is situated in </w:t>
            </w:r>
            <w:r w:rsidRPr="6626DFD1" w:rsidR="2B377EE4">
              <w:rPr>
                <w:rFonts w:ascii="Calibri" w:hAnsi="Calibri" w:eastAsia="Calibri" w:cs="Calibri"/>
                <w:color w:val="000000" w:themeColor="text1"/>
              </w:rPr>
              <w:t>Ormskirk,</w:t>
            </w:r>
            <w:r w:rsidRPr="6626DFD1">
              <w:rPr>
                <w:rFonts w:ascii="Calibri" w:hAnsi="Calibri" w:eastAsia="Calibri" w:cs="Calibri"/>
                <w:color w:val="000000" w:themeColor="text1"/>
              </w:rPr>
              <w:t xml:space="preserve"> but </w:t>
            </w:r>
            <w:bookmarkStart w:name="_Int_Gq1wTYlr" w:id="4"/>
            <w:r w:rsidRPr="6626DFD1">
              <w:rPr>
                <w:rFonts w:ascii="Calibri" w:hAnsi="Calibri" w:eastAsia="Calibri" w:cs="Calibri"/>
                <w:color w:val="000000" w:themeColor="text1"/>
              </w:rPr>
              <w:t>the majority of</w:t>
            </w:r>
            <w:bookmarkEnd w:id="4"/>
            <w:r w:rsidRPr="6626DFD1">
              <w:rPr>
                <w:rFonts w:ascii="Calibri" w:hAnsi="Calibri" w:eastAsia="Calibri" w:cs="Calibri"/>
                <w:color w:val="000000" w:themeColor="text1"/>
              </w:rPr>
              <w:t xml:space="preserve"> pupils live in nearby Skelmersdale: 100% of those pupils reside in the bottom 2% of wards in the country for deprivation (Digmoor, Moorside and Birch Green). At any time approximately 40% of pupils are eligible for free school meals (Lancashire Secondary School average: 11.8%) and</w:t>
            </w:r>
          </w:p>
          <w:p w:rsidR="00BD2894" w:rsidP="6626DFD1" w:rsidRDefault="5BDD7FED" w14:paraId="03D2B6B1" w14:textId="39CCC794">
            <w:pPr>
              <w:rPr>
                <w:rFonts w:ascii="Calibri" w:hAnsi="Calibri" w:eastAsia="Calibri" w:cs="Calibri"/>
                <w:color w:val="000000" w:themeColor="text1"/>
              </w:rPr>
            </w:pPr>
            <w:r w:rsidRPr="6626DFD1">
              <w:rPr>
                <w:rFonts w:ascii="Calibri" w:hAnsi="Calibri" w:eastAsia="Calibri" w:cs="Calibri"/>
                <w:color w:val="000000" w:themeColor="text1"/>
              </w:rPr>
              <w:t xml:space="preserve">has risen to over 50% in recent years. Skelmersdale suffers from poor public transport infrastructure, </w:t>
            </w:r>
            <w:r w:rsidRPr="6626DFD1" w:rsidR="5724085C">
              <w:rPr>
                <w:rFonts w:ascii="Calibri" w:hAnsi="Calibri" w:eastAsia="Calibri" w:cs="Calibri"/>
                <w:color w:val="000000" w:themeColor="text1"/>
              </w:rPr>
              <w:t>self-image,</w:t>
            </w:r>
            <w:r w:rsidRPr="6626DFD1">
              <w:rPr>
                <w:rFonts w:ascii="Calibri" w:hAnsi="Calibri" w:eastAsia="Calibri" w:cs="Calibri"/>
                <w:color w:val="000000" w:themeColor="text1"/>
              </w:rPr>
              <w:t xml:space="preserve"> and reputation.</w:t>
            </w:r>
          </w:p>
          <w:p w:rsidR="00BD2894" w:rsidP="6626DFD1" w:rsidRDefault="69760C27" w14:paraId="5C033770" w14:textId="1AF51611">
            <w:r>
              <w:t>The attendance of pupil premium</w:t>
            </w:r>
            <w:r w:rsidR="39070C9E">
              <w:t xml:space="preserve"> pupils </w:t>
            </w:r>
            <w:r>
              <w:t xml:space="preserve">is </w:t>
            </w:r>
            <w:r w:rsidR="6EEB0227">
              <w:t>slightly higher than</w:t>
            </w:r>
            <w:r>
              <w:t xml:space="preserve"> that of peers and a greater proportion are </w:t>
            </w:r>
            <w:r w:rsidR="611856EB">
              <w:t xml:space="preserve">not </w:t>
            </w:r>
            <w:r>
              <w:t xml:space="preserve">classed as </w:t>
            </w:r>
            <w:r w:rsidR="0D48C6F4">
              <w:t>persistent absentees</w:t>
            </w:r>
            <w:r w:rsidR="42F5AE00">
              <w:t>, however as attendance continues to be one of our biggest challenges it remains a prime focus.</w:t>
            </w:r>
          </w:p>
          <w:p w:rsidR="00BD2894" w:rsidP="6626DFD1" w:rsidRDefault="4AE396C7" w14:paraId="11EED352" w14:textId="548F971E">
            <w:r>
              <w:t xml:space="preserve">Autumn </w:t>
            </w:r>
            <w:r w:rsidR="5D0EF5AF">
              <w:t xml:space="preserve">term </w:t>
            </w:r>
            <w:r w:rsidR="55415004">
              <w:t xml:space="preserve">2022 </w:t>
            </w:r>
            <w:r w:rsidR="5D0EF5AF">
              <w:t>attendance</w:t>
            </w:r>
            <w:r w:rsidR="27E1DB04">
              <w:t xml:space="preserve"> figure whole school =</w:t>
            </w:r>
            <w:r w:rsidR="5CE8EDA0">
              <w:t xml:space="preserve"> 42.6</w:t>
            </w:r>
            <w:r w:rsidR="4F5CDDC5">
              <w:t>%</w:t>
            </w:r>
          </w:p>
          <w:p w:rsidR="00BD2894" w:rsidP="6626DFD1" w:rsidRDefault="1A3DB120" w14:paraId="7AD84CD2" w14:textId="6F912242">
            <w:r>
              <w:t xml:space="preserve">Autumn Term </w:t>
            </w:r>
            <w:r w:rsidR="7A5EE584">
              <w:t xml:space="preserve">2022 </w:t>
            </w:r>
            <w:r w:rsidR="27E1DB04">
              <w:t xml:space="preserve">attendance figure </w:t>
            </w:r>
            <w:r w:rsidR="09375B42">
              <w:t>non-PP</w:t>
            </w:r>
            <w:r w:rsidR="27E1DB04">
              <w:t xml:space="preserve"> =</w:t>
            </w:r>
            <w:r w:rsidR="65DAEF07">
              <w:t xml:space="preserve"> </w:t>
            </w:r>
            <w:r w:rsidR="2E14F929">
              <w:t>42.47</w:t>
            </w:r>
            <w:r w:rsidR="65DAEF07">
              <w:t>%</w:t>
            </w:r>
          </w:p>
          <w:p w:rsidR="00BD2894" w:rsidP="6626DFD1" w:rsidRDefault="004E728B" w14:paraId="209710A9" w14:textId="473F1AA7">
            <w:r>
              <w:t xml:space="preserve">Autumn Term </w:t>
            </w:r>
            <w:r w:rsidR="21520952">
              <w:t xml:space="preserve">2022 </w:t>
            </w:r>
            <w:r w:rsidR="27E1DB04">
              <w:t xml:space="preserve">attendance figure PP pupils = </w:t>
            </w:r>
            <w:r w:rsidR="15DD5ECA">
              <w:t>43.47</w:t>
            </w:r>
            <w:r w:rsidR="5CA1A522">
              <w:t>%</w:t>
            </w:r>
          </w:p>
          <w:p w:rsidR="00BD2894" w:rsidP="6626DFD1" w:rsidRDefault="19F5FA6A" w14:paraId="3D1E6F0D" w14:textId="114406CE">
            <w:r>
              <w:t xml:space="preserve">Autumn Term </w:t>
            </w:r>
            <w:r w:rsidR="448F3626">
              <w:t xml:space="preserve">2022 </w:t>
            </w:r>
            <w:r w:rsidR="27E1DB04">
              <w:t xml:space="preserve">Persistent absentees for </w:t>
            </w:r>
            <w:r w:rsidR="7DBC8316">
              <w:t xml:space="preserve">non-PP </w:t>
            </w:r>
            <w:r w:rsidR="27E1DB04">
              <w:t xml:space="preserve">= </w:t>
            </w:r>
            <w:r w:rsidR="6A5CAEBF">
              <w:t>26.96</w:t>
            </w:r>
            <w:r w:rsidR="685BFB97">
              <w:t xml:space="preserve">% </w:t>
            </w:r>
          </w:p>
          <w:p w:rsidR="00BD2894" w:rsidP="6626DFD1" w:rsidRDefault="594FA1FA" w14:paraId="4101652C" w14:textId="08BB7A52">
            <w:r>
              <w:t>P</w:t>
            </w:r>
            <w:r w:rsidR="685BFB97">
              <w:t xml:space="preserve">roportion of </w:t>
            </w:r>
            <w:r w:rsidR="3D2C6D59">
              <w:t>persistent absentees</w:t>
            </w:r>
            <w:r w:rsidR="2DB7440E">
              <w:t xml:space="preserve"> </w:t>
            </w:r>
            <w:r w:rsidR="669AFD33">
              <w:t>for</w:t>
            </w:r>
            <w:r w:rsidR="52FF45D3">
              <w:t xml:space="preserve"> Autumn Term</w:t>
            </w:r>
            <w:r w:rsidR="669AFD33">
              <w:t xml:space="preserve"> </w:t>
            </w:r>
            <w:r w:rsidR="4CE08E93">
              <w:t xml:space="preserve">2022 </w:t>
            </w:r>
            <w:r w:rsidR="685BFB97">
              <w:t xml:space="preserve">PP pupils = </w:t>
            </w:r>
            <w:r w:rsidR="0FDEA0F2">
              <w:t>11.83</w:t>
            </w:r>
            <w:r w:rsidR="685BFB97">
              <w:t>%</w:t>
            </w:r>
          </w:p>
        </w:tc>
      </w:tr>
      <w:tr w:rsidR="00BD2894" w:rsidTr="5593C388" w14:paraId="18F999B5" w14:textId="77777777">
        <w:tc>
          <w:tcPr>
            <w:tcW w:w="1200" w:type="dxa"/>
            <w:tcMar/>
          </w:tcPr>
          <w:p w:rsidR="00BD2894" w:rsidRDefault="00BA2BF6" w14:paraId="7144751B" w14:textId="77777777">
            <w:r>
              <w:t>2</w:t>
            </w:r>
          </w:p>
        </w:tc>
        <w:tc>
          <w:tcPr>
            <w:tcW w:w="7816" w:type="dxa"/>
            <w:tcMar/>
          </w:tcPr>
          <w:p w:rsidR="00BD2894" w:rsidP="6626DFD1" w:rsidRDefault="2DAD8F39" w14:paraId="701271A6" w14:textId="38CE135D">
            <w:pPr>
              <w:jc w:val="both"/>
              <w:rPr>
                <w:b/>
                <w:bCs/>
              </w:rPr>
            </w:pPr>
            <w:r w:rsidRPr="6626DFD1">
              <w:rPr>
                <w:b/>
                <w:bCs/>
              </w:rPr>
              <w:t>Low levels of literacy and numeracy</w:t>
            </w:r>
          </w:p>
          <w:p w:rsidR="00BD2894" w:rsidP="5593C388" w:rsidRDefault="3ECDA6B9" w14:paraId="7826995F" w14:textId="39B647C9">
            <w:pPr>
              <w:jc w:val="both"/>
              <w:rPr>
                <w:rFonts w:eastAsia="" w:eastAsiaTheme="minorEastAsia"/>
                <w:color w:val="000000" w:themeColor="text1"/>
              </w:rPr>
            </w:pPr>
            <w:r w:rsidR="17928ECB">
              <w:rPr/>
              <w:t xml:space="preserve">Pupils arrive at The Acorns </w:t>
            </w:r>
            <w:r w:rsidR="16FB78E0">
              <w:rPr/>
              <w:t>via</w:t>
            </w:r>
            <w:r w:rsidR="17928ECB">
              <w:rPr/>
              <w:t xml:space="preserve"> </w:t>
            </w:r>
            <w:bookmarkStart w:name="_Int_F2TXflkb" w:id="1351449670"/>
            <w:proofErr w:type="gramStart"/>
            <w:r w:rsidR="17928ECB">
              <w:rPr/>
              <w:t xml:space="preserve">a </w:t>
            </w:r>
            <w:r w:rsidR="6F07E4C3">
              <w:rPr/>
              <w:t>number</w:t>
            </w:r>
            <w:r w:rsidR="17928ECB">
              <w:rPr/>
              <w:t xml:space="preserve"> of</w:t>
            </w:r>
            <w:proofErr w:type="gramEnd"/>
            <w:bookmarkEnd w:id="1351449670"/>
            <w:r w:rsidR="17928ECB">
              <w:rPr/>
              <w:t xml:space="preserve"> </w:t>
            </w:r>
            <w:r w:rsidR="7A529A6C">
              <w:rPr/>
              <w:t xml:space="preserve">different </w:t>
            </w:r>
            <w:r w:rsidR="17928ECB">
              <w:rPr/>
              <w:t>pathways</w:t>
            </w:r>
            <w:r w:rsidR="34E16229">
              <w:rPr/>
              <w:t>;</w:t>
            </w:r>
            <w:r w:rsidR="17928ECB">
              <w:rPr/>
              <w:t xml:space="preserve"> permanent exclusion,</w:t>
            </w:r>
            <w:r w:rsidR="33D5CC6B">
              <w:rPr/>
              <w:t xml:space="preserve"> PRU t</w:t>
            </w:r>
            <w:r w:rsidR="33D5CC6B">
              <w:rPr/>
              <w:t>o PRU transfer</w:t>
            </w:r>
            <w:r w:rsidR="33D5CC6B">
              <w:rPr/>
              <w:t>,</w:t>
            </w:r>
            <w:r w:rsidR="426FDB89">
              <w:rPr/>
              <w:t xml:space="preserve"> an</w:t>
            </w:r>
            <w:r w:rsidR="33D5CC6B">
              <w:rPr/>
              <w:t xml:space="preserve"> SEN package,</w:t>
            </w:r>
            <w:r w:rsidR="17928ECB">
              <w:rPr/>
              <w:t xml:space="preserve"> a medical </w:t>
            </w:r>
            <w:r w:rsidR="267AFE9A">
              <w:rPr/>
              <w:t>placement,</w:t>
            </w:r>
            <w:r w:rsidR="17928ECB">
              <w:rPr/>
              <w:t xml:space="preserve"> or </w:t>
            </w:r>
            <w:r w:rsidR="409B62B5">
              <w:rPr/>
              <w:t xml:space="preserve">an </w:t>
            </w:r>
            <w:r w:rsidR="17928ECB">
              <w:rPr/>
              <w:t>intervention</w:t>
            </w:r>
            <w:r w:rsidR="001D26FD">
              <w:rPr/>
              <w:t xml:space="preserve"> place requested from a mainstream school</w:t>
            </w:r>
            <w:r w:rsidR="17928ECB">
              <w:rPr/>
              <w:t xml:space="preserve">. </w:t>
            </w:r>
            <w:r w:rsidRPr="5593C388" w:rsidR="75D47F0F">
              <w:rPr>
                <w:rFonts w:eastAsia="" w:eastAsiaTheme="minorEastAsia"/>
                <w:color w:val="000000" w:themeColor="text1" w:themeTint="FF" w:themeShade="FF"/>
              </w:rPr>
              <w:t>On entry the vast majority are functioning at levels below expectations and</w:t>
            </w:r>
            <w:r w:rsidRPr="5593C388" w:rsidR="4CA5C8A6">
              <w:rPr>
                <w:rFonts w:eastAsia="" w:eastAsiaTheme="minorEastAsia"/>
                <w:color w:val="000000" w:themeColor="text1" w:themeTint="FF" w:themeShade="FF"/>
              </w:rPr>
              <w:t xml:space="preserve"> </w:t>
            </w:r>
            <w:r w:rsidRPr="5593C388" w:rsidR="75D47F0F">
              <w:rPr>
                <w:rFonts w:eastAsia="" w:eastAsiaTheme="minorEastAsia"/>
                <w:color w:val="000000" w:themeColor="text1" w:themeTint="FF" w:themeShade="FF"/>
              </w:rPr>
              <w:t xml:space="preserve">many present as disaffected with low motivation and poor self-esteem in relation to learning. Many arrive with having missed large sections of primary and secondary education </w:t>
            </w:r>
            <w:bookmarkStart w:name="_Int_2PL9SbGB" w:id="1987309296"/>
            <w:r w:rsidRPr="5593C388" w:rsidR="75D47F0F">
              <w:rPr>
                <w:rFonts w:eastAsia="" w:eastAsiaTheme="minorEastAsia"/>
                <w:color w:val="000000" w:themeColor="text1" w:themeTint="FF" w:themeShade="FF"/>
              </w:rPr>
              <w:t>as a result of</w:t>
            </w:r>
            <w:bookmarkEnd w:id="1987309296"/>
            <w:r w:rsidRPr="5593C388" w:rsidR="75D47F0F">
              <w:rPr>
                <w:rFonts w:eastAsia="" w:eastAsiaTheme="minorEastAsia"/>
                <w:color w:val="000000" w:themeColor="text1" w:themeTint="FF" w:themeShade="FF"/>
              </w:rPr>
              <w:t xml:space="preserve"> not attending school, trying several schools via managed </w:t>
            </w:r>
            <w:r w:rsidRPr="5593C388" w:rsidR="69F40AD5">
              <w:rPr>
                <w:rFonts w:eastAsia="" w:eastAsiaTheme="minorEastAsia"/>
                <w:color w:val="000000" w:themeColor="text1" w:themeTint="FF" w:themeShade="FF"/>
              </w:rPr>
              <w:t>transfers,</w:t>
            </w:r>
            <w:r w:rsidRPr="5593C388" w:rsidR="75D47F0F">
              <w:rPr>
                <w:rFonts w:eastAsia="" w:eastAsiaTheme="minorEastAsia"/>
                <w:color w:val="000000" w:themeColor="text1" w:themeTint="FF" w:themeShade="FF"/>
              </w:rPr>
              <w:t xml:space="preserve"> or moving residence/ area.</w:t>
            </w:r>
          </w:p>
          <w:p w:rsidR="00BD2894" w:rsidP="6626DFD1" w:rsidRDefault="27134620" w14:paraId="74348B1D" w14:textId="1DE1C7DF">
            <w:pPr>
              <w:jc w:val="both"/>
            </w:pPr>
            <w:r>
              <w:t xml:space="preserve">Pupils have also been affected by the pandemic and not had opportunity to be in school in the same way and </w:t>
            </w:r>
            <w:r w:rsidR="19E0E063">
              <w:t xml:space="preserve">have </w:t>
            </w:r>
            <w:r>
              <w:t>struggled with accessing learning.</w:t>
            </w:r>
          </w:p>
          <w:p w:rsidR="00BD2894" w:rsidP="6626DFD1" w:rsidRDefault="1796BEF6" w14:paraId="3299E171" w14:textId="4BD2BE39">
            <w:pPr>
              <w:jc w:val="both"/>
            </w:pPr>
            <w:r>
              <w:t xml:space="preserve">From the assessments that are carried out at the start of the </w:t>
            </w:r>
            <w:bookmarkStart w:name="_Int_ByZZaC8T" w:id="5"/>
            <w:r>
              <w:t>pupils</w:t>
            </w:r>
            <w:bookmarkEnd w:id="5"/>
            <w:r>
              <w:t xml:space="preserve"> admissions process </w:t>
            </w:r>
            <w:r w:rsidR="0532398A">
              <w:t>they</w:t>
            </w:r>
            <w:r>
              <w:t xml:space="preserve"> </w:t>
            </w:r>
            <w:r w:rsidR="6D5B6B9E">
              <w:t xml:space="preserve">often </w:t>
            </w:r>
            <w:r>
              <w:t>reveal low levels of numeracy and literacy</w:t>
            </w:r>
            <w:r w:rsidR="47333600">
              <w:t xml:space="preserve">. The </w:t>
            </w:r>
            <w:r>
              <w:t xml:space="preserve">dyslexia and </w:t>
            </w:r>
            <w:r w:rsidR="410C03B4">
              <w:t>dyscalculia</w:t>
            </w:r>
            <w:r>
              <w:t xml:space="preserve"> tests give further insight into where pupils struggle specifically. </w:t>
            </w:r>
          </w:p>
          <w:p w:rsidR="00BD2894" w:rsidP="6626DFD1" w:rsidRDefault="1796BEF6" w14:paraId="4B99056E" w14:textId="276BB6D8">
            <w:pPr>
              <w:jc w:val="both"/>
            </w:pPr>
            <w:r>
              <w:t>A new reading test has been introduced and all Acorns pupils will complete this as it is more accurate.</w:t>
            </w:r>
            <w:r w:rsidR="475F9B1B">
              <w:t xml:space="preserve"> Diagnostic assessment using the new programme to identify pupil needs, then specific targeted intervention</w:t>
            </w:r>
            <w:r w:rsidR="6FD6AF47">
              <w:t xml:space="preserve"> will be done to combat these low levels of literacy and numeracy.</w:t>
            </w:r>
          </w:p>
        </w:tc>
      </w:tr>
      <w:tr w:rsidR="00BD2894" w:rsidTr="5593C388" w14:paraId="5FCD5EC4" w14:textId="77777777">
        <w:tc>
          <w:tcPr>
            <w:tcW w:w="1200" w:type="dxa"/>
            <w:tcMar/>
          </w:tcPr>
          <w:p w:rsidR="00BD2894" w:rsidRDefault="00BA2BF6" w14:paraId="0B778152" w14:textId="77777777">
            <w:r>
              <w:t>3</w:t>
            </w:r>
          </w:p>
        </w:tc>
        <w:tc>
          <w:tcPr>
            <w:tcW w:w="7816" w:type="dxa"/>
            <w:tcMar/>
          </w:tcPr>
          <w:p w:rsidR="00BD2894" w:rsidP="5593C388" w:rsidRDefault="31468DEB" w14:paraId="751C74F7" w14:textId="167E3A63">
            <w:pPr>
              <w:rPr>
                <w:b w:val="1"/>
                <w:bCs w:val="1"/>
                <w:color w:val="auto"/>
              </w:rPr>
            </w:pPr>
            <w:r w:rsidRPr="5593C388" w:rsidR="2CD93B67">
              <w:rPr>
                <w:b w:val="1"/>
                <w:bCs w:val="1"/>
                <w:color w:val="auto"/>
              </w:rPr>
              <w:t>EHCP (Education Health Care Plan)</w:t>
            </w:r>
            <w:r w:rsidRPr="5593C388" w:rsidR="6B0297D1">
              <w:rPr>
                <w:b w:val="1"/>
                <w:bCs w:val="1"/>
                <w:color w:val="auto"/>
              </w:rPr>
              <w:t xml:space="preserve"> pupils and bespoke timetables</w:t>
            </w:r>
            <w:r w:rsidRPr="5593C388" w:rsidR="1C39521A">
              <w:rPr>
                <w:b w:val="1"/>
                <w:bCs w:val="1"/>
                <w:color w:val="auto"/>
              </w:rPr>
              <w:t xml:space="preserve"> including alternative provision</w:t>
            </w:r>
            <w:r w:rsidRPr="5593C388" w:rsidR="5298B529">
              <w:rPr>
                <w:b w:val="1"/>
                <w:bCs w:val="1"/>
                <w:color w:val="auto"/>
              </w:rPr>
              <w:t>.</w:t>
            </w:r>
          </w:p>
          <w:p w:rsidR="00BD2894" w:rsidP="5593C388" w:rsidRDefault="3F6DA302" w14:paraId="0D85E659" w14:textId="2C7F7FD1">
            <w:pPr>
              <w:rPr>
                <w:color w:val="auto"/>
              </w:rPr>
            </w:pPr>
            <w:r w:rsidRPr="5593C388" w:rsidR="7D5C2693">
              <w:rPr>
                <w:color w:val="auto"/>
              </w:rPr>
              <w:t xml:space="preserve">Some pupils who qualify for Pupil Premium funding have specific </w:t>
            </w:r>
            <w:r w:rsidRPr="5593C388" w:rsidR="4C22C277">
              <w:rPr>
                <w:color w:val="auto"/>
              </w:rPr>
              <w:t>SEND (Special Educational Needs and Disabilities)</w:t>
            </w:r>
            <w:r w:rsidRPr="5593C388" w:rsidR="7D5C2693">
              <w:rPr>
                <w:color w:val="auto"/>
              </w:rPr>
              <w:t xml:space="preserve"> needs.</w:t>
            </w:r>
          </w:p>
          <w:p w:rsidR="00BD2894" w:rsidP="5593C388" w:rsidRDefault="3F6DA302" w14:paraId="1299C43A" w14:textId="7ACE9095">
            <w:pPr>
              <w:pStyle w:val="Normal"/>
              <w:rPr>
                <w:color w:val="auto"/>
              </w:rPr>
            </w:pPr>
            <w:r w:rsidRPr="5593C388" w:rsidR="1E09B3FB">
              <w:rPr>
                <w:color w:val="auto"/>
              </w:rPr>
              <w:t xml:space="preserve">We have 16 students with EHCP’s, 10 of these are entitled to either PPG or </w:t>
            </w:r>
            <w:r w:rsidRPr="5593C388" w:rsidR="1B00F31E">
              <w:rPr>
                <w:color w:val="auto"/>
              </w:rPr>
              <w:t>FSM (free school meals)</w:t>
            </w:r>
            <w:r w:rsidRPr="5593C388" w:rsidR="1E09B3FB">
              <w:rPr>
                <w:color w:val="auto"/>
              </w:rPr>
              <w:t xml:space="preserve">, </w:t>
            </w:r>
            <w:r w:rsidRPr="5593C388" w:rsidR="2D8D1660">
              <w:rPr>
                <w:color w:val="auto"/>
              </w:rPr>
              <w:t>5 of</w:t>
            </w:r>
            <w:r w:rsidRPr="5593C388" w:rsidR="1E09B3FB">
              <w:rPr>
                <w:color w:val="auto"/>
              </w:rPr>
              <w:t xml:space="preserve"> which qu</w:t>
            </w:r>
            <w:r w:rsidRPr="5593C388" w:rsidR="00968E53">
              <w:rPr>
                <w:color w:val="auto"/>
              </w:rPr>
              <w:t>alify for Pupil Premium Funding</w:t>
            </w:r>
            <w:r w:rsidRPr="5593C388" w:rsidR="41F1A921">
              <w:rPr>
                <w:color w:val="auto"/>
              </w:rPr>
              <w:t xml:space="preserve">. These students are offered extra support according to their EHCP strategies as well as </w:t>
            </w:r>
            <w:r w:rsidRPr="5593C388" w:rsidR="3EC57A7C">
              <w:rPr>
                <w:color w:val="auto"/>
              </w:rPr>
              <w:t>targeted interventions and 1 to 1 ‘in-</w:t>
            </w:r>
            <w:r w:rsidRPr="5593C388" w:rsidR="16171096">
              <w:rPr>
                <w:color w:val="auto"/>
              </w:rPr>
              <w:t>class</w:t>
            </w:r>
            <w:r w:rsidRPr="5593C388" w:rsidR="3EC57A7C">
              <w:rPr>
                <w:color w:val="auto"/>
              </w:rPr>
              <w:t xml:space="preserve"> support where needed. These students have their </w:t>
            </w:r>
            <w:r w:rsidRPr="5593C388" w:rsidR="1D93BAF3">
              <w:rPr>
                <w:color w:val="auto"/>
              </w:rPr>
              <w:t xml:space="preserve">EHCP reviewed at least </w:t>
            </w:r>
            <w:r w:rsidRPr="5593C388" w:rsidR="52A5DB1B">
              <w:rPr>
                <w:color w:val="auto"/>
              </w:rPr>
              <w:t>annually,</w:t>
            </w:r>
            <w:r w:rsidRPr="5593C388" w:rsidR="1D93BAF3">
              <w:rPr>
                <w:color w:val="auto"/>
              </w:rPr>
              <w:t xml:space="preserve"> and strategies are adapted when needed. Su</w:t>
            </w:r>
            <w:r w:rsidRPr="5593C388" w:rsidR="7053C563">
              <w:rPr>
                <w:color w:val="auto"/>
              </w:rPr>
              <w:t xml:space="preserve">pport is offered to parents by keyworkers and </w:t>
            </w:r>
            <w:r w:rsidRPr="5593C388" w:rsidR="7089DF00">
              <w:rPr>
                <w:color w:val="auto"/>
              </w:rPr>
              <w:t>SENCO (Special Educational Needs Coordinators)</w:t>
            </w:r>
            <w:r w:rsidRPr="5593C388" w:rsidR="7053C563">
              <w:rPr>
                <w:color w:val="auto"/>
              </w:rPr>
              <w:t xml:space="preserve"> when </w:t>
            </w:r>
            <w:r w:rsidRPr="5593C388" w:rsidR="7053C563">
              <w:rPr>
                <w:color w:val="auto"/>
              </w:rPr>
              <w:t>requested</w:t>
            </w:r>
            <w:r w:rsidRPr="5593C388" w:rsidR="73536882">
              <w:rPr>
                <w:color w:val="auto"/>
              </w:rPr>
              <w:t>.</w:t>
            </w:r>
            <w:r w:rsidRPr="5593C388" w:rsidR="5DFBDAF5">
              <w:rPr>
                <w:color w:val="auto"/>
              </w:rPr>
              <w:t xml:space="preserve"> Students without access to laptops at home are offered these and internet routers. Bespoke packages are </w:t>
            </w:r>
            <w:r w:rsidRPr="5593C388" w:rsidR="46D9E239">
              <w:rPr>
                <w:color w:val="auto"/>
              </w:rPr>
              <w:t>implemented for each student based on their needs.</w:t>
            </w:r>
          </w:p>
        </w:tc>
      </w:tr>
      <w:tr w:rsidR="31389030" w:rsidTr="5593C388" w14:paraId="401D45B5" w14:textId="77777777">
        <w:tc>
          <w:tcPr>
            <w:tcW w:w="1200" w:type="dxa"/>
            <w:tcMar/>
          </w:tcPr>
          <w:p w:rsidR="2F0CC779" w:rsidP="31389030" w:rsidRDefault="6FD03709" w14:paraId="04150278" w14:textId="1FB44365">
            <w:r>
              <w:t>4</w:t>
            </w:r>
          </w:p>
        </w:tc>
        <w:tc>
          <w:tcPr>
            <w:tcW w:w="7816" w:type="dxa"/>
            <w:tcMar/>
          </w:tcPr>
          <w:p w:rsidR="2F0CC779" w:rsidP="6626DFD1" w:rsidRDefault="543D80E2" w14:paraId="420D52B4" w14:textId="701F12DD">
            <w:pPr>
              <w:rPr>
                <w:b/>
                <w:bCs/>
              </w:rPr>
            </w:pPr>
            <w:r w:rsidRPr="6626DFD1">
              <w:rPr>
                <w:b/>
                <w:bCs/>
              </w:rPr>
              <w:t xml:space="preserve">Social, </w:t>
            </w:r>
            <w:r w:rsidRPr="6626DFD1" w:rsidR="195D67AE">
              <w:rPr>
                <w:b/>
                <w:bCs/>
              </w:rPr>
              <w:t>emotional,</w:t>
            </w:r>
            <w:r w:rsidRPr="6626DFD1">
              <w:rPr>
                <w:b/>
                <w:bCs/>
              </w:rPr>
              <w:t xml:space="preserve"> and behavioural concerns</w:t>
            </w:r>
            <w:r w:rsidRPr="6626DFD1" w:rsidR="3F7309F3">
              <w:rPr>
                <w:b/>
                <w:bCs/>
              </w:rPr>
              <w:t>.</w:t>
            </w:r>
          </w:p>
          <w:p w:rsidR="2F0CC779" w:rsidP="31389030" w:rsidRDefault="74F325EF" w14:paraId="2D6988DC" w14:textId="2FF40C4F">
            <w:r>
              <w:t>Pupils'</w:t>
            </w:r>
            <w:r w:rsidR="46D0CE9E">
              <w:t xml:space="preserve"> </w:t>
            </w:r>
            <w:r w:rsidR="49F2A981">
              <w:t xml:space="preserve">poor </w:t>
            </w:r>
            <w:r w:rsidR="46D0CE9E">
              <w:t>emotional well-being, social and behavioural needs affect</w:t>
            </w:r>
            <w:r w:rsidR="50593FE5">
              <w:t xml:space="preserve"> them</w:t>
            </w:r>
            <w:r w:rsidR="46D0CE9E">
              <w:t xml:space="preserve"> being </w:t>
            </w:r>
            <w:r w:rsidR="4FE38A72">
              <w:t>able</w:t>
            </w:r>
            <w:r w:rsidR="46D0CE9E">
              <w:t xml:space="preserve"> to be able to make progress and </w:t>
            </w:r>
            <w:r w:rsidR="37CDC71D">
              <w:t xml:space="preserve">impacts </w:t>
            </w:r>
            <w:r w:rsidR="46D0CE9E">
              <w:t>their readiness to learn.</w:t>
            </w:r>
            <w:r w:rsidR="021F1A38">
              <w:t xml:space="preserve"> </w:t>
            </w:r>
          </w:p>
        </w:tc>
      </w:tr>
      <w:tr w:rsidR="6626DFD1" w:rsidTr="5593C388" w14:paraId="7DF0867E" w14:textId="77777777">
        <w:trPr>
          <w:trHeight w:val="300"/>
        </w:trPr>
        <w:tc>
          <w:tcPr>
            <w:tcW w:w="1200" w:type="dxa"/>
            <w:tcMar/>
          </w:tcPr>
          <w:p w:rsidR="7274715C" w:rsidP="6626DFD1" w:rsidRDefault="7274715C" w14:paraId="1ED5B0D3" w14:textId="51DE18B4">
            <w:r>
              <w:t>5</w:t>
            </w:r>
          </w:p>
        </w:tc>
        <w:tc>
          <w:tcPr>
            <w:tcW w:w="7816" w:type="dxa"/>
            <w:tcMar/>
          </w:tcPr>
          <w:p w:rsidR="74CB4FE1" w:rsidP="6626DFD1" w:rsidRDefault="74CB4FE1" w14:paraId="2ABA69EC" w14:textId="42EC7B3E">
            <w:pPr>
              <w:rPr>
                <w:b/>
                <w:bCs/>
              </w:rPr>
            </w:pPr>
            <w:r w:rsidRPr="6626DFD1">
              <w:rPr>
                <w:b/>
                <w:bCs/>
              </w:rPr>
              <w:t>Career/</w:t>
            </w:r>
            <w:r w:rsidRPr="6626DFD1" w:rsidR="053FC381">
              <w:rPr>
                <w:b/>
                <w:bCs/>
              </w:rPr>
              <w:t xml:space="preserve">lack of </w:t>
            </w:r>
            <w:r w:rsidRPr="6626DFD1">
              <w:rPr>
                <w:b/>
                <w:bCs/>
              </w:rPr>
              <w:t>positive destinations</w:t>
            </w:r>
            <w:r w:rsidRPr="6626DFD1" w:rsidR="1002590B">
              <w:rPr>
                <w:b/>
                <w:bCs/>
              </w:rPr>
              <w:t>/EET figures</w:t>
            </w:r>
            <w:r w:rsidRPr="6626DFD1" w:rsidR="7106B4C7">
              <w:rPr>
                <w:b/>
                <w:bCs/>
              </w:rPr>
              <w:t>.</w:t>
            </w:r>
          </w:p>
          <w:p w:rsidR="78729DD9" w:rsidP="6626DFD1" w:rsidRDefault="78729DD9" w14:paraId="3DE6C843" w14:textId="33C8FEAD">
            <w:r>
              <w:t>Low aspirations/structural issues</w:t>
            </w:r>
            <w:r w:rsidR="52DBA04B">
              <w:t xml:space="preserve"> within Skelmersdale</w:t>
            </w:r>
            <w:r w:rsidR="49404560">
              <w:t>, lack of value placed on work and education from a multi-generational point of view in some families.</w:t>
            </w:r>
          </w:p>
          <w:p w:rsidR="6DCC658D" w:rsidP="6626DFD1" w:rsidRDefault="6DCC658D" w14:paraId="39283AE1" w14:textId="1B621087">
            <w:r>
              <w:t xml:space="preserve">Although Acorns NEET figure was 8% last academic </w:t>
            </w:r>
            <w:r w:rsidR="4F41FD2C">
              <w:t>year</w:t>
            </w:r>
            <w:r w:rsidR="082DFC02">
              <w:t xml:space="preserve"> </w:t>
            </w:r>
            <w:r w:rsidR="7E9EFE4C">
              <w:t xml:space="preserve">compared to </w:t>
            </w:r>
            <w:r w:rsidR="7FA6F800">
              <w:t>Lancashire PRU’s</w:t>
            </w:r>
            <w:r w:rsidR="082DFC02">
              <w:t xml:space="preserve"> </w:t>
            </w:r>
            <w:r w:rsidR="25B589D9">
              <w:t>18%</w:t>
            </w:r>
            <w:r w:rsidR="4F41FD2C">
              <w:t>,</w:t>
            </w:r>
            <w:r>
              <w:t xml:space="preserve"> we </w:t>
            </w:r>
            <w:r w:rsidR="71BB8451">
              <w:t>intend to</w:t>
            </w:r>
            <w:r w:rsidR="60AE6C50">
              <w:t xml:space="preserve"> focus on </w:t>
            </w:r>
            <w:r w:rsidR="5DA4D821">
              <w:t>all</w:t>
            </w:r>
            <w:r w:rsidR="60AE6C50">
              <w:t xml:space="preserve"> </w:t>
            </w:r>
            <w:r w:rsidR="72451EE5">
              <w:t xml:space="preserve">year 11 </w:t>
            </w:r>
            <w:r w:rsidR="60AE6C50">
              <w:t xml:space="preserve">pupils getting their career plans in before December and applications </w:t>
            </w:r>
            <w:r w:rsidR="56E1CA6D">
              <w:t xml:space="preserve">to colleges or apprenticeships </w:t>
            </w:r>
            <w:r w:rsidR="60AE6C50">
              <w:t>by January 2023.</w:t>
            </w:r>
            <w:r w:rsidR="1762E9BF">
              <w:t xml:space="preserve"> </w:t>
            </w:r>
          </w:p>
        </w:tc>
      </w:tr>
    </w:tbl>
    <w:p w:rsidR="00BD2894" w:rsidRDefault="00BD2894" w14:paraId="3461D779" w14:textId="77777777"/>
    <w:p w:rsidR="00BD2894" w:rsidRDefault="00BD2894" w14:paraId="3CF2D8B6" w14:textId="77777777"/>
    <w:p w:rsidR="00BD2894" w:rsidRDefault="00BA2BF6" w14:paraId="78817168" w14:textId="77777777">
      <w:r>
        <w:t>Intended outcomes</w:t>
      </w:r>
    </w:p>
    <w:p w:rsidR="00BD2894" w:rsidRDefault="00BA2BF6" w14:paraId="25D8CC95" w14:textId="77777777">
      <w:r>
        <w:t>This explains the outcomes we are aiming for by the end of our current strategy plan and how we will measure whether they have been achieved.</w:t>
      </w:r>
    </w:p>
    <w:tbl>
      <w:tblPr>
        <w:tblStyle w:val="TableGrid"/>
        <w:tblW w:w="0" w:type="auto"/>
        <w:tblLook w:val="04A0" w:firstRow="1" w:lastRow="0" w:firstColumn="1" w:lastColumn="0" w:noHBand="0" w:noVBand="1"/>
      </w:tblPr>
      <w:tblGrid>
        <w:gridCol w:w="4508"/>
        <w:gridCol w:w="4508"/>
      </w:tblGrid>
      <w:tr w:rsidR="00BD2894" w:rsidTr="5593C388" w14:paraId="0C4BD0E2" w14:textId="77777777">
        <w:tc>
          <w:tcPr>
            <w:tcW w:w="4508" w:type="dxa"/>
            <w:tcMar/>
          </w:tcPr>
          <w:p w:rsidR="00BD2894" w:rsidRDefault="00BA2BF6" w14:paraId="71CF7E0D" w14:textId="77777777">
            <w:pPr>
              <w:rPr>
                <w:b/>
              </w:rPr>
            </w:pPr>
            <w:r>
              <w:rPr>
                <w:b/>
              </w:rPr>
              <w:t>Intended Outcome</w:t>
            </w:r>
          </w:p>
        </w:tc>
        <w:tc>
          <w:tcPr>
            <w:tcW w:w="4508" w:type="dxa"/>
            <w:tcMar/>
          </w:tcPr>
          <w:p w:rsidR="00BD2894" w:rsidRDefault="00BA2BF6" w14:paraId="5AD3DEEF" w14:textId="77777777">
            <w:pPr>
              <w:rPr>
                <w:b/>
              </w:rPr>
            </w:pPr>
            <w:r>
              <w:rPr>
                <w:b/>
              </w:rPr>
              <w:t>Success Criteria</w:t>
            </w:r>
          </w:p>
        </w:tc>
      </w:tr>
      <w:tr w:rsidR="00BD2894" w:rsidTr="5593C388" w14:paraId="0FB78278" w14:textId="77777777">
        <w:tc>
          <w:tcPr>
            <w:tcW w:w="4508" w:type="dxa"/>
            <w:tcMar/>
          </w:tcPr>
          <w:p w:rsidR="00BD2894" w:rsidRDefault="2AA11EE9" w14:paraId="1FC39945" w14:textId="673B318E">
            <w:r>
              <w:t xml:space="preserve">1 </w:t>
            </w:r>
            <w:r w:rsidR="1D169FD0">
              <w:t>Improved attendance for PP pupils</w:t>
            </w:r>
            <w:r w:rsidR="394D5CCF">
              <w:t xml:space="preserve"> in line with peers</w:t>
            </w:r>
          </w:p>
        </w:tc>
        <w:tc>
          <w:tcPr>
            <w:tcW w:w="4508" w:type="dxa"/>
            <w:tcMar/>
          </w:tcPr>
          <w:p w:rsidR="00BD2894" w:rsidRDefault="0434C9CB" w14:paraId="0562CB0E" w14:textId="2C17631F">
            <w:r>
              <w:t>Narrow the gap between PP and non-PP pupils.</w:t>
            </w:r>
          </w:p>
        </w:tc>
      </w:tr>
      <w:tr w:rsidR="00BD2894" w:rsidTr="5593C388" w14:paraId="34CE0A41" w14:textId="77777777">
        <w:tc>
          <w:tcPr>
            <w:tcW w:w="4508" w:type="dxa"/>
            <w:tcMar/>
          </w:tcPr>
          <w:p w:rsidR="00BD2894" w:rsidRDefault="708E618C" w14:paraId="62EBF3C5" w14:textId="42696C07">
            <w:r>
              <w:t xml:space="preserve">2 </w:t>
            </w:r>
            <w:r w:rsidR="3C8D0114">
              <w:t>Improved levels o</w:t>
            </w:r>
            <w:r w:rsidR="049D8849">
              <w:t>f</w:t>
            </w:r>
            <w:r w:rsidR="3C8D0114">
              <w:t xml:space="preserve"> reading, in terms of comprehension, fluency and enjoyment</w:t>
            </w:r>
          </w:p>
        </w:tc>
        <w:tc>
          <w:tcPr>
            <w:tcW w:w="4508" w:type="dxa"/>
            <w:tcMar/>
          </w:tcPr>
          <w:p w:rsidR="00BD2894" w:rsidRDefault="5A78A97C" w14:paraId="6D98A12B" w14:textId="66381C91">
            <w:r>
              <w:t>Progress in reading assessments over time.</w:t>
            </w:r>
          </w:p>
        </w:tc>
      </w:tr>
      <w:tr w:rsidR="6626DFD1" w:rsidTr="5593C388" w14:paraId="3351524F" w14:textId="77777777">
        <w:trPr>
          <w:trHeight w:val="300"/>
        </w:trPr>
        <w:tc>
          <w:tcPr>
            <w:tcW w:w="4508" w:type="dxa"/>
            <w:tcMar/>
          </w:tcPr>
          <w:p w:rsidR="7774EB13" w:rsidP="6626DFD1" w:rsidRDefault="7774EB13" w14:paraId="06BD48E6" w14:textId="2F76BD60">
            <w:r w:rsidR="4679193B">
              <w:rPr/>
              <w:t xml:space="preserve">3 </w:t>
            </w:r>
            <w:r w:rsidR="5C79366A">
              <w:rPr/>
              <w:t xml:space="preserve">Improved </w:t>
            </w:r>
            <w:bookmarkStart w:name="_Int_G85hAEFT" w:id="318501758"/>
            <w:r w:rsidR="5C79366A">
              <w:rPr/>
              <w:t>engagement</w:t>
            </w:r>
            <w:bookmarkEnd w:id="318501758"/>
            <w:r w:rsidR="5C79366A">
              <w:rPr/>
              <w:t xml:space="preserve"> in </w:t>
            </w:r>
            <w:r w:rsidR="1EC3B2F8">
              <w:rPr/>
              <w:t>Vocational</w:t>
            </w:r>
            <w:r w:rsidR="5C79366A">
              <w:rPr/>
              <w:t xml:space="preserve"> </w:t>
            </w:r>
            <w:r w:rsidR="5FA92401">
              <w:rPr/>
              <w:t>P</w:t>
            </w:r>
            <w:r w:rsidR="5C79366A">
              <w:rPr/>
              <w:t>rovision and bespoke timetables</w:t>
            </w:r>
          </w:p>
        </w:tc>
        <w:tc>
          <w:tcPr>
            <w:tcW w:w="4508" w:type="dxa"/>
            <w:tcMar/>
          </w:tcPr>
          <w:p w:rsidR="3D9FE053" w:rsidP="6626DFD1" w:rsidRDefault="3D9FE053" w14:paraId="0FD6DC06" w14:textId="1AE85325">
            <w:r w:rsidR="328C0342">
              <w:rPr/>
              <w:t xml:space="preserve">Attendance </w:t>
            </w:r>
            <w:bookmarkStart w:name="_Int_l2eOUZYm" w:id="2100423682"/>
            <w:r w:rsidR="173820A8">
              <w:rPr/>
              <w:t>increase</w:t>
            </w:r>
            <w:bookmarkEnd w:id="2100423682"/>
            <w:r w:rsidR="173820A8">
              <w:rPr/>
              <w:t xml:space="preserve"> for all pupils and positive reports from vocational providers.</w:t>
            </w:r>
          </w:p>
        </w:tc>
      </w:tr>
      <w:tr w:rsidR="00BD2894" w:rsidTr="5593C388" w14:paraId="2946DB82" w14:textId="77777777">
        <w:tc>
          <w:tcPr>
            <w:tcW w:w="4508" w:type="dxa"/>
            <w:tcMar/>
          </w:tcPr>
          <w:p w:rsidR="00BD2894" w:rsidRDefault="4E17742E" w14:paraId="5997CC1D" w14:textId="28CBCCBA">
            <w:r>
              <w:t>4</w:t>
            </w:r>
            <w:r w:rsidR="61540406">
              <w:t xml:space="preserve"> </w:t>
            </w:r>
            <w:r w:rsidR="3C8D0114">
              <w:t>Improved mental health/wellbeing of pupils</w:t>
            </w:r>
          </w:p>
        </w:tc>
        <w:tc>
          <w:tcPr>
            <w:tcW w:w="4508" w:type="dxa"/>
            <w:tcMar/>
          </w:tcPr>
          <w:p w:rsidR="00BD2894" w:rsidRDefault="0C405117" w14:paraId="110FFD37" w14:textId="19A354BD">
            <w:r>
              <w:t>Pupil voice.</w:t>
            </w:r>
          </w:p>
        </w:tc>
      </w:tr>
      <w:tr w:rsidR="00BD2894" w:rsidTr="5593C388" w14:paraId="6B699379" w14:textId="77777777">
        <w:tc>
          <w:tcPr>
            <w:tcW w:w="4508" w:type="dxa"/>
            <w:tcMar/>
          </w:tcPr>
          <w:p w:rsidR="00BD2894" w:rsidRDefault="30B59E84" w14:paraId="3FE9F23F" w14:textId="746FA40B">
            <w:r>
              <w:t>5</w:t>
            </w:r>
            <w:r w:rsidR="468C51AA">
              <w:t xml:space="preserve"> </w:t>
            </w:r>
            <w:r w:rsidR="105A27E6">
              <w:t xml:space="preserve">Positive </w:t>
            </w:r>
            <w:r w:rsidR="3C8D0114">
              <w:t>destinations</w:t>
            </w:r>
            <w:r w:rsidR="483AE78B">
              <w:t>/</w:t>
            </w:r>
            <w:r w:rsidR="1333FA0E">
              <w:t>increased</w:t>
            </w:r>
            <w:r w:rsidR="483AE78B">
              <w:t xml:space="preserve"> EET</w:t>
            </w:r>
          </w:p>
        </w:tc>
        <w:tc>
          <w:tcPr>
            <w:tcW w:w="4508" w:type="dxa"/>
            <w:tcMar/>
          </w:tcPr>
          <w:p w:rsidR="00BD2894" w:rsidRDefault="25E60C87" w14:paraId="1F72F646" w14:textId="31A27DC9">
            <w:r>
              <w:t>EET Figures.</w:t>
            </w:r>
          </w:p>
        </w:tc>
      </w:tr>
    </w:tbl>
    <w:p w:rsidR="00BD2894" w:rsidRDefault="00BD2894" w14:paraId="08CE6F91" w14:textId="77777777"/>
    <w:p w:rsidR="00BD2894" w:rsidRDefault="00BD2894" w14:paraId="61CDCEAD" w14:textId="77777777"/>
    <w:p w:rsidR="00BD2894" w:rsidRDefault="6626DFD1" w14:paraId="06E5FFC9" w14:textId="0A757DFF">
      <w:r>
        <w:t>Activity in this Financial year</w:t>
      </w:r>
    </w:p>
    <w:p w:rsidR="00BD2894" w:rsidRDefault="6626DFD1" w14:paraId="68576634" w14:textId="6631CD06">
      <w:r>
        <w:t xml:space="preserve">This details how we intend to spend our pupil premium (and recovery premium funding) this </w:t>
      </w:r>
      <w:bookmarkStart w:name="_Int_UUQt5Kpf" w:id="6"/>
      <w:r w:rsidR="2EAF2499">
        <w:t>financial</w:t>
      </w:r>
      <w:r>
        <w:t xml:space="preserve"> year</w:t>
      </w:r>
      <w:bookmarkEnd w:id="6"/>
      <w:r>
        <w:t xml:space="preserve"> to address the challenge listed above.</w:t>
      </w:r>
    </w:p>
    <w:p w:rsidR="00BD2894" w:rsidRDefault="31389030" w14:paraId="7352EE52" w14:textId="477D8F09">
      <w:r>
        <w:t xml:space="preserve">Teaching for example </w:t>
      </w:r>
      <w:r w:rsidR="207FA9AF">
        <w:t>CPD (Continuing Professional Development)</w:t>
      </w:r>
      <w:r>
        <w:t>, recruitment and retention</w:t>
      </w:r>
    </w:p>
    <w:tbl>
      <w:tblPr>
        <w:tblStyle w:val="TableGrid"/>
        <w:tblW w:w="9015" w:type="dxa"/>
        <w:tblLook w:val="04A0" w:firstRow="1" w:lastRow="0" w:firstColumn="1" w:lastColumn="0" w:noHBand="0" w:noVBand="1"/>
      </w:tblPr>
      <w:tblGrid>
        <w:gridCol w:w="1440"/>
        <w:gridCol w:w="5104"/>
        <w:gridCol w:w="1215"/>
        <w:gridCol w:w="1256"/>
      </w:tblGrid>
      <w:tr w:rsidR="00BD2894" w:rsidTr="5593C388" w14:paraId="16DDB295" w14:textId="77777777">
        <w:trPr>
          <w:trHeight w:val="300"/>
        </w:trPr>
        <w:tc>
          <w:tcPr>
            <w:tcW w:w="1440" w:type="dxa"/>
            <w:tcMar/>
          </w:tcPr>
          <w:p w:rsidR="00BD2894" w:rsidP="5593C388" w:rsidRDefault="00BA2BF6" w14:paraId="18283460" w14:textId="77777777">
            <w:pPr>
              <w:rPr>
                <w:b w:val="1"/>
                <w:bCs w:val="1"/>
              </w:rPr>
            </w:pPr>
            <w:r w:rsidRPr="5593C388" w:rsidR="28D2C42F">
              <w:rPr>
                <w:b w:val="1"/>
                <w:bCs w:val="1"/>
              </w:rPr>
              <w:t>Activity</w:t>
            </w:r>
          </w:p>
        </w:tc>
        <w:tc>
          <w:tcPr>
            <w:tcW w:w="5104" w:type="dxa"/>
            <w:tcMar/>
          </w:tcPr>
          <w:p w:rsidR="00BD2894" w:rsidP="5593C388" w:rsidRDefault="00BA2BF6" w14:paraId="7392A3BF" w14:textId="77777777">
            <w:pPr>
              <w:rPr>
                <w:b w:val="1"/>
                <w:bCs w:val="1"/>
              </w:rPr>
            </w:pPr>
            <w:r w:rsidRPr="5593C388" w:rsidR="28D2C42F">
              <w:rPr>
                <w:b w:val="1"/>
                <w:bCs w:val="1"/>
              </w:rPr>
              <w:t>Evidence that supports this approach</w:t>
            </w:r>
          </w:p>
        </w:tc>
        <w:tc>
          <w:tcPr>
            <w:tcW w:w="1215" w:type="dxa"/>
            <w:tcMar/>
          </w:tcPr>
          <w:p w:rsidR="59B1AEAC" w:rsidP="5593C388" w:rsidRDefault="59B1AEAC" w14:paraId="39196DBC" w14:textId="552691FD">
            <w:pPr>
              <w:rPr>
                <w:b w:val="1"/>
                <w:bCs w:val="1"/>
              </w:rPr>
            </w:pPr>
            <w:r w:rsidRPr="5593C388" w:rsidR="2400F933">
              <w:rPr>
                <w:b w:val="1"/>
                <w:bCs w:val="1"/>
              </w:rPr>
              <w:t>Cost (£)</w:t>
            </w:r>
          </w:p>
        </w:tc>
        <w:tc>
          <w:tcPr>
            <w:tcW w:w="1256" w:type="dxa"/>
            <w:tcMar/>
          </w:tcPr>
          <w:p w:rsidR="00BD2894" w:rsidP="5593C388" w:rsidRDefault="31389030" w14:paraId="3FB884FF" w14:textId="36330A85">
            <w:pPr>
              <w:rPr>
                <w:b w:val="1"/>
                <w:bCs w:val="1"/>
                <w:sz w:val="20"/>
                <w:szCs w:val="20"/>
              </w:rPr>
            </w:pPr>
            <w:r w:rsidRPr="5593C388" w:rsidR="427960D5">
              <w:rPr>
                <w:b w:val="1"/>
                <w:bCs w:val="1"/>
                <w:sz w:val="20"/>
                <w:szCs w:val="20"/>
              </w:rPr>
              <w:t>Challenge number address</w:t>
            </w:r>
            <w:r w:rsidRPr="5593C388" w:rsidR="363B346B">
              <w:rPr>
                <w:b w:val="1"/>
                <w:bCs w:val="1"/>
                <w:sz w:val="20"/>
                <w:szCs w:val="20"/>
              </w:rPr>
              <w:t>e</w:t>
            </w:r>
            <w:r w:rsidRPr="5593C388" w:rsidR="427960D5">
              <w:rPr>
                <w:b w:val="1"/>
                <w:bCs w:val="1"/>
                <w:sz w:val="20"/>
                <w:szCs w:val="20"/>
              </w:rPr>
              <w:t>d</w:t>
            </w:r>
          </w:p>
        </w:tc>
      </w:tr>
      <w:tr w:rsidR="00BD2894" w:rsidTr="5593C388" w14:paraId="6BB9E253" w14:textId="77777777">
        <w:trPr>
          <w:trHeight w:val="300"/>
        </w:trPr>
        <w:tc>
          <w:tcPr>
            <w:tcW w:w="1440" w:type="dxa"/>
            <w:tcMar/>
          </w:tcPr>
          <w:p w:rsidR="00BD2894" w:rsidRDefault="653107F7" w14:paraId="23DE523C" w14:textId="7E1B95F0">
            <w:r>
              <w:t>Teaching (</w:t>
            </w:r>
            <w:r w:rsidR="2A7BBB84">
              <w:t xml:space="preserve">including the </w:t>
            </w:r>
            <w:r>
              <w:t>Holly high support team)</w:t>
            </w:r>
          </w:p>
        </w:tc>
        <w:tc>
          <w:tcPr>
            <w:tcW w:w="5104" w:type="dxa"/>
            <w:tcMar/>
          </w:tcPr>
          <w:p w:rsidR="00BD2894" w:rsidP="6626DFD1" w:rsidRDefault="6E832007" w14:paraId="7BDF2A2D" w14:textId="07BB6D63">
            <w:pPr>
              <w:jc w:val="both"/>
            </w:pPr>
            <w:r>
              <w:t xml:space="preserve">The </w:t>
            </w:r>
            <w:r w:rsidR="0F181178">
              <w:t>EEF (Education Endowment Foundation)</w:t>
            </w:r>
            <w:r>
              <w:t xml:space="preserve"> recommends that schools particularly focus their pupil premium on high quality teaching.</w:t>
            </w:r>
          </w:p>
          <w:p w:rsidR="00BD2894" w:rsidP="6626DFD1" w:rsidRDefault="331E3F78" w14:paraId="52E56223" w14:textId="370F4F72">
            <w:pPr>
              <w:jc w:val="both"/>
            </w:pPr>
            <w:r w:rsidRPr="6626DFD1">
              <w:rPr>
                <w:u w:val="single"/>
              </w:rPr>
              <w:t xml:space="preserve">The best available evidence indicates that great teaching is the most important lever schools </w:t>
            </w:r>
            <w:bookmarkStart w:name="_Int_2YkxQhXS" w:id="7"/>
            <w:r w:rsidRPr="6626DFD1">
              <w:rPr>
                <w:u w:val="single"/>
              </w:rPr>
              <w:t>have to</w:t>
            </w:r>
            <w:bookmarkEnd w:id="7"/>
            <w:r w:rsidRPr="6626DFD1">
              <w:rPr>
                <w:u w:val="single"/>
              </w:rPr>
              <w:t xml:space="preserve"> improve pupil attainment</w:t>
            </w:r>
            <w:r>
              <w:t xml:space="preserve">. Ensuring every teacher is </w:t>
            </w:r>
            <w:r w:rsidR="4782D239">
              <w:t>supported in delivering high-quality teaching is essential to achieving the best outcomes for all pupils, particularly the most disadvantaged among them.</w:t>
            </w:r>
            <w:r w:rsidR="16C1786C">
              <w:t xml:space="preserve"> </w:t>
            </w:r>
          </w:p>
        </w:tc>
        <w:tc>
          <w:tcPr>
            <w:tcW w:w="1215" w:type="dxa"/>
            <w:tcMar/>
          </w:tcPr>
          <w:p w:rsidR="48B42407" w:rsidP="5593C388" w:rsidRDefault="48B42407" w14:paraId="03CA84BB" w14:textId="246C7EE1">
            <w:pPr>
              <w:rPr>
                <w:b w:val="1"/>
                <w:bCs w:val="1"/>
                <w:color w:val="auto"/>
              </w:rPr>
            </w:pPr>
            <w:r w:rsidRPr="5593C388" w:rsidR="7B506331">
              <w:rPr>
                <w:b w:val="1"/>
                <w:bCs w:val="1"/>
                <w:color w:val="auto"/>
              </w:rPr>
              <w:t>£</w:t>
            </w:r>
            <w:r w:rsidRPr="5593C388" w:rsidR="6BB7C8F9">
              <w:rPr>
                <w:b w:val="1"/>
                <w:bCs w:val="1"/>
                <w:color w:val="auto"/>
              </w:rPr>
              <w:t>117</w:t>
            </w:r>
            <w:r w:rsidRPr="5593C388" w:rsidR="7B506331">
              <w:rPr>
                <w:b w:val="1"/>
                <w:bCs w:val="1"/>
                <w:color w:val="auto"/>
              </w:rPr>
              <w:t>,</w:t>
            </w:r>
            <w:r w:rsidRPr="5593C388" w:rsidR="3B1C9086">
              <w:rPr>
                <w:b w:val="1"/>
                <w:bCs w:val="1"/>
                <w:color w:val="auto"/>
              </w:rPr>
              <w:t>00</w:t>
            </w:r>
            <w:r w:rsidRPr="5593C388" w:rsidR="7B506331">
              <w:rPr>
                <w:b w:val="1"/>
                <w:bCs w:val="1"/>
                <w:color w:val="auto"/>
              </w:rPr>
              <w:t>0</w:t>
            </w:r>
          </w:p>
        </w:tc>
        <w:tc>
          <w:tcPr>
            <w:tcW w:w="1256" w:type="dxa"/>
            <w:tcMar/>
          </w:tcPr>
          <w:p w:rsidR="00BD2894" w:rsidP="5593C388" w:rsidRDefault="5DC7A867" w14:paraId="07547A01" w14:textId="34138375">
            <w:pPr>
              <w:rPr>
                <w:color w:val="auto"/>
              </w:rPr>
            </w:pPr>
            <w:r w:rsidRPr="5593C388" w:rsidR="672A74EC">
              <w:rPr>
                <w:color w:val="auto"/>
              </w:rPr>
              <w:t>1,2,3,4,5</w:t>
            </w:r>
          </w:p>
        </w:tc>
      </w:tr>
      <w:tr w:rsidR="00BD2894" w:rsidTr="5593C388" w14:paraId="5043CB0F" w14:textId="77777777">
        <w:trPr>
          <w:trHeight w:val="300"/>
        </w:trPr>
        <w:tc>
          <w:tcPr>
            <w:tcW w:w="1440" w:type="dxa"/>
            <w:tcMar/>
          </w:tcPr>
          <w:p w:rsidR="00BD2894" w:rsidRDefault="1E651D10" w14:paraId="275B6EC1" w14:textId="496245AC">
            <w:r>
              <w:t xml:space="preserve">CPD </w:t>
            </w:r>
          </w:p>
          <w:p w:rsidR="00BD2894" w:rsidRDefault="3C3E8904" w14:paraId="38FFAD34" w14:textId="19F62FED">
            <w:r>
              <w:t>I</w:t>
            </w:r>
            <w:r w:rsidR="37562F9B">
              <w:t>n</w:t>
            </w:r>
            <w:r w:rsidR="4A955764">
              <w:t xml:space="preserve"> </w:t>
            </w:r>
            <w:r w:rsidR="37562F9B">
              <w:t>house</w:t>
            </w:r>
          </w:p>
          <w:p w:rsidR="00BD2894" w:rsidRDefault="37562F9B" w14:paraId="6553A90B" w14:textId="66ADBD2D">
            <w:r>
              <w:t>National College</w:t>
            </w:r>
          </w:p>
          <w:p w:rsidR="00BD2894" w:rsidRDefault="37562F9B" w14:paraId="6BB49CED" w14:textId="6B56E01C">
            <w:r>
              <w:t>Visitors</w:t>
            </w:r>
          </w:p>
          <w:p w:rsidR="00BD2894" w:rsidRDefault="64E2B398" w14:paraId="07459315" w14:textId="0D1FFBD2">
            <w:r>
              <w:t>Network meetings to share good practice and forge better links with mainstream and other schools</w:t>
            </w:r>
          </w:p>
        </w:tc>
        <w:tc>
          <w:tcPr>
            <w:tcW w:w="5104" w:type="dxa"/>
            <w:tcMar/>
          </w:tcPr>
          <w:p w:rsidR="00BD2894" w:rsidP="6626DFD1" w:rsidRDefault="64E2B398" w14:paraId="2299478B" w14:textId="5AFBEF6D">
            <w:pPr>
              <w:jc w:val="both"/>
            </w:pPr>
            <w:r w:rsidR="30082501">
              <w:rPr/>
              <w:t xml:space="preserve">To assure high quality teaching </w:t>
            </w:r>
            <w:r w:rsidR="6F439517">
              <w:rPr/>
              <w:t>continuous professional development</w:t>
            </w:r>
            <w:r w:rsidR="30082501">
              <w:rPr/>
              <w:t xml:space="preserve"> is a high priority at The Acorns School, with an hour </w:t>
            </w:r>
            <w:r w:rsidR="7BEDC0B3">
              <w:rPr/>
              <w:t xml:space="preserve">weekly </w:t>
            </w:r>
            <w:r w:rsidR="30082501">
              <w:rPr/>
              <w:t xml:space="preserve">dedicated CPD time for teaching staff, plus whole school CPD time once a calendar month. </w:t>
            </w:r>
            <w:r w:rsidR="7026EC48">
              <w:rPr/>
              <w:t>T</w:t>
            </w:r>
            <w:r w:rsidR="6EE51844">
              <w:rPr/>
              <w:t>e</w:t>
            </w:r>
            <w:r w:rsidR="7026EC48">
              <w:rPr/>
              <w:t>rmly Inset and Twilight sessions for staff. Ad hoc targeted CPD for individual staf</w:t>
            </w:r>
            <w:r w:rsidR="254439EB">
              <w:rPr/>
              <w:t>f.</w:t>
            </w:r>
          </w:p>
          <w:p w:rsidR="00BD2894" w:rsidP="6626DFD1" w:rsidRDefault="64E2B398" w14:paraId="32B2D204" w14:textId="6C3BFC2A">
            <w:pPr>
              <w:jc w:val="both"/>
            </w:pPr>
            <w:r>
              <w:t>School has purchased National College places for all staff</w:t>
            </w:r>
            <w:r w:rsidR="53AFBEBC">
              <w:t xml:space="preserve"> and Governors</w:t>
            </w:r>
            <w:r>
              <w:t>.</w:t>
            </w:r>
          </w:p>
          <w:p w:rsidR="00BD2894" w:rsidP="6626DFD1" w:rsidRDefault="64E2B398" w14:paraId="358A022B" w14:textId="331134EF">
            <w:pPr>
              <w:jc w:val="both"/>
            </w:pPr>
            <w:r>
              <w:t xml:space="preserve">School has an agreement with the other PRU’s and </w:t>
            </w:r>
            <w:r w:rsidR="1EDE8003">
              <w:t xml:space="preserve">local </w:t>
            </w:r>
            <w:r>
              <w:t xml:space="preserve">mainstream </w:t>
            </w:r>
            <w:r w:rsidR="20D96BB3">
              <w:t xml:space="preserve">schools </w:t>
            </w:r>
            <w:r>
              <w:t xml:space="preserve">that </w:t>
            </w:r>
            <w:r w:rsidR="572318B7">
              <w:t xml:space="preserve">teaching </w:t>
            </w:r>
            <w:r>
              <w:t>staff will attend network meetings to share good practice and forge better links with other schools.</w:t>
            </w:r>
          </w:p>
          <w:p w:rsidR="00BD2894" w:rsidP="6626DFD1" w:rsidRDefault="64E2B398" w14:paraId="38BE6764" w14:textId="27A51870">
            <w:pPr>
              <w:jc w:val="both"/>
              <w:rPr>
                <w:rFonts w:ascii="Calibri" w:hAnsi="Calibri" w:eastAsia="Calibri" w:cs="Calibri"/>
              </w:rPr>
            </w:pPr>
            <w:r>
              <w:t xml:space="preserve">As a whole school </w:t>
            </w:r>
            <w:r w:rsidR="2407016A">
              <w:t>strategy,</w:t>
            </w:r>
            <w:r>
              <w:t xml:space="preserve"> we are focusing on </w:t>
            </w:r>
            <w:r w:rsidR="62CE7AAD">
              <w:t xml:space="preserve">the following themes; </w:t>
            </w:r>
            <w:r w:rsidRPr="6626DFD1" w:rsidR="1271E920">
              <w:rPr>
                <w:rFonts w:ascii="Calibri" w:hAnsi="Calibri" w:eastAsia="Calibri" w:cs="Calibri"/>
              </w:rPr>
              <w:t>Relational Approach</w:t>
            </w:r>
            <w:r w:rsidRPr="6626DFD1" w:rsidR="667C94F8">
              <w:rPr>
                <w:rFonts w:ascii="Calibri" w:hAnsi="Calibri" w:eastAsia="Calibri" w:cs="Calibri"/>
              </w:rPr>
              <w:t>, Trauma informed school</w:t>
            </w:r>
            <w:r w:rsidRPr="6626DFD1" w:rsidR="6015FE94">
              <w:rPr>
                <w:rFonts w:ascii="Calibri" w:hAnsi="Calibri" w:eastAsia="Calibri" w:cs="Calibri"/>
              </w:rPr>
              <w:t xml:space="preserve"> and have included staff training on these </w:t>
            </w:r>
            <w:r w:rsidRPr="6626DFD1" w:rsidR="53428939">
              <w:rPr>
                <w:rFonts w:ascii="Calibri" w:hAnsi="Calibri" w:eastAsia="Calibri" w:cs="Calibri"/>
              </w:rPr>
              <w:t xml:space="preserve">specific </w:t>
            </w:r>
            <w:r w:rsidRPr="6626DFD1" w:rsidR="6015FE94">
              <w:rPr>
                <w:rFonts w:ascii="Calibri" w:hAnsi="Calibri" w:eastAsia="Calibri" w:cs="Calibri"/>
              </w:rPr>
              <w:t>topics.</w:t>
            </w:r>
            <w:r w:rsidRPr="6626DFD1" w:rsidR="32EA735C">
              <w:rPr>
                <w:rFonts w:ascii="Calibri" w:hAnsi="Calibri" w:eastAsia="Calibri" w:cs="Calibri"/>
              </w:rPr>
              <w:t xml:space="preserve"> </w:t>
            </w:r>
          </w:p>
          <w:p w:rsidR="00BD2894" w:rsidP="5593C388" w:rsidRDefault="0E38AA56" w14:paraId="383DB47F" w14:textId="0AC81864">
            <w:pPr>
              <w:jc w:val="both"/>
              <w:rPr>
                <w:rFonts w:ascii="Calibri" w:hAnsi="Calibri" w:eastAsia="Calibri" w:cs="Calibri"/>
              </w:rPr>
            </w:pPr>
            <w:r w:rsidRPr="5593C388" w:rsidR="6CC8A95C">
              <w:rPr>
                <w:rFonts w:ascii="Calibri" w:hAnsi="Calibri" w:eastAsia="Calibri" w:cs="Calibri"/>
              </w:rPr>
              <w:t>Teachers regularly attend relevant moderation meetings for their subject area.</w:t>
            </w:r>
          </w:p>
          <w:p w:rsidR="00BD2894" w:rsidP="5593C388" w:rsidRDefault="0E38AA56" w14:paraId="6537F28F" w14:textId="4D3C2D18">
            <w:pPr>
              <w:pStyle w:val="Normal"/>
              <w:jc w:val="both"/>
              <w:rPr>
                <w:rFonts w:ascii="Calibri" w:hAnsi="Calibri" w:eastAsia="Calibri" w:cs="Calibri"/>
              </w:rPr>
            </w:pPr>
            <w:r w:rsidRPr="5593C388" w:rsidR="576B5718">
              <w:rPr>
                <w:rFonts w:ascii="Calibri" w:hAnsi="Calibri" w:eastAsia="Calibri" w:cs="Calibri"/>
              </w:rPr>
              <w:t xml:space="preserve">Evidence from EEF </w:t>
            </w:r>
            <w:r w:rsidRPr="5593C388" w:rsidR="4AA55AAE">
              <w:rPr>
                <w:rFonts w:ascii="Calibri" w:hAnsi="Calibri" w:eastAsia="Calibri" w:cs="Calibri"/>
              </w:rPr>
              <w:t xml:space="preserve">Supporting </w:t>
            </w:r>
            <w:r w:rsidRPr="5593C388" w:rsidR="52BF7349">
              <w:rPr>
                <w:rFonts w:ascii="Calibri" w:hAnsi="Calibri" w:eastAsia="Calibri" w:cs="Calibri"/>
              </w:rPr>
              <w:t>continuous</w:t>
            </w:r>
            <w:r w:rsidRPr="5593C388" w:rsidR="4AA55AAE">
              <w:rPr>
                <w:rFonts w:ascii="Calibri" w:hAnsi="Calibri" w:eastAsia="Calibri" w:cs="Calibri"/>
              </w:rPr>
              <w:t xml:space="preserve"> and sustained professional development (PD) on </w:t>
            </w:r>
            <w:r w:rsidRPr="5593C388" w:rsidR="08B5389C">
              <w:rPr>
                <w:rFonts w:ascii="Calibri" w:hAnsi="Calibri" w:eastAsia="Calibri" w:cs="Calibri"/>
              </w:rPr>
              <w:t>evidence-based</w:t>
            </w:r>
            <w:r w:rsidRPr="5593C388" w:rsidR="4AA55AAE">
              <w:rPr>
                <w:rFonts w:ascii="Calibri" w:hAnsi="Calibri" w:eastAsia="Calibri" w:cs="Calibri"/>
              </w:rPr>
              <w:t xml:space="preserve"> classroom approaches is important to develop the practice of teachers in your setting. The content of P</w:t>
            </w:r>
            <w:r w:rsidRPr="5593C388" w:rsidR="5CD0B996">
              <w:rPr>
                <w:rFonts w:ascii="Calibri" w:hAnsi="Calibri" w:eastAsia="Calibri" w:cs="Calibri"/>
              </w:rPr>
              <w:t>D should be based on the best available evidence. Effective PD is likely to require a balanced approach that includes building knowledge, motivating teachers, deve</w:t>
            </w:r>
            <w:r w:rsidRPr="5593C388" w:rsidR="2A74CF0B">
              <w:rPr>
                <w:rFonts w:ascii="Calibri" w:hAnsi="Calibri" w:eastAsia="Calibri" w:cs="Calibri"/>
              </w:rPr>
              <w:t xml:space="preserve">loping teacher techniques, and embedding practice. </w:t>
            </w:r>
          </w:p>
        </w:tc>
        <w:tc>
          <w:tcPr>
            <w:tcW w:w="1215" w:type="dxa"/>
            <w:tcMar/>
          </w:tcPr>
          <w:p w:rsidR="5000FB1F" w:rsidP="6626DFD1" w:rsidRDefault="5000FB1F" w14:paraId="157E73E1" w14:textId="39F8C190">
            <w:r w:rsidRPr="6626DFD1">
              <w:t>National College £700</w:t>
            </w:r>
          </w:p>
          <w:p w:rsidR="6626DFD1" w:rsidP="6626DFD1" w:rsidRDefault="6626DFD1" w14:paraId="25BFF0FE" w14:textId="6F5EEC3D"/>
          <w:p w:rsidR="5000FB1F" w:rsidP="6626DFD1" w:rsidRDefault="5000FB1F" w14:paraId="0C2AD7BB" w14:textId="455BA4F5">
            <w:r w:rsidRPr="6626DFD1">
              <w:t>Whole school CPD</w:t>
            </w:r>
          </w:p>
          <w:p w:rsidR="5000FB1F" w:rsidP="6626DFD1" w:rsidRDefault="5000FB1F" w14:paraId="3868E171" w14:textId="0DD753CC">
            <w:r w:rsidRPr="6626DFD1">
              <w:t>£5,500</w:t>
            </w:r>
          </w:p>
          <w:p w:rsidR="6626DFD1" w:rsidP="6626DFD1" w:rsidRDefault="6626DFD1" w14:paraId="497EAB78" w14:textId="549FBFDF"/>
          <w:p w:rsidR="5000FB1F" w:rsidP="6626DFD1" w:rsidRDefault="5000FB1F" w14:paraId="1525C7A1" w14:textId="4E7B6F88">
            <w:pPr>
              <w:rPr>
                <w:b/>
                <w:bCs/>
              </w:rPr>
            </w:pPr>
            <w:r w:rsidRPr="6626DFD1">
              <w:rPr>
                <w:b/>
                <w:bCs/>
              </w:rPr>
              <w:t>Total £6,200</w:t>
            </w:r>
          </w:p>
        </w:tc>
        <w:tc>
          <w:tcPr>
            <w:tcW w:w="1256" w:type="dxa"/>
            <w:tcMar/>
          </w:tcPr>
          <w:p w:rsidR="00BD2894" w:rsidRDefault="5000FB1F" w14:paraId="6DFB9E20" w14:textId="73AC94E3">
            <w:r>
              <w:t>2,3,4</w:t>
            </w:r>
          </w:p>
        </w:tc>
      </w:tr>
      <w:tr w:rsidR="00BD2894" w:rsidTr="5593C388" w14:paraId="70DF9E56" w14:textId="77777777">
        <w:trPr>
          <w:trHeight w:val="300"/>
        </w:trPr>
        <w:tc>
          <w:tcPr>
            <w:tcW w:w="1440" w:type="dxa"/>
            <w:tcMar/>
          </w:tcPr>
          <w:p w:rsidR="00BD2894" w:rsidRDefault="446A0BD4" w14:paraId="44E871BC" w14:textId="69346C2D">
            <w:r>
              <w:t>Teaching (ICT)</w:t>
            </w:r>
          </w:p>
        </w:tc>
        <w:tc>
          <w:tcPr>
            <w:tcW w:w="5104" w:type="dxa"/>
            <w:tcMar/>
          </w:tcPr>
          <w:p w:rsidR="00BD2894" w:rsidP="5593C388" w:rsidRDefault="446A0BD4" w14:paraId="6F3F2579" w14:textId="6140763A">
            <w:pPr>
              <w:pStyle w:val="Normal"/>
              <w:jc w:val="both"/>
            </w:pPr>
            <w:r w:rsidR="7F5F46B4">
              <w:rPr/>
              <w:t xml:space="preserve">Laptops </w:t>
            </w:r>
            <w:r w:rsidR="1C604173">
              <w:rPr/>
              <w:t xml:space="preserve">available </w:t>
            </w:r>
            <w:r w:rsidR="7F5F46B4">
              <w:rPr/>
              <w:t>for all pupils in school.</w:t>
            </w:r>
          </w:p>
          <w:p w:rsidR="00BD2894" w:rsidP="6626DFD1" w:rsidRDefault="5B083C88" w14:paraId="2779C838" w14:textId="3D96640F">
            <w:pPr>
              <w:jc w:val="both"/>
            </w:pPr>
            <w:r w:rsidR="3D739EEC">
              <w:rPr/>
              <w:t xml:space="preserve">Laptops assigned to all members of staff and whiteboards in </w:t>
            </w:r>
            <w:r w:rsidR="55853D5F">
              <w:rPr/>
              <w:t>classrooms</w:t>
            </w:r>
            <w:r w:rsidR="3D739EEC">
              <w:rPr/>
              <w:t>.</w:t>
            </w:r>
          </w:p>
          <w:p w:rsidR="00BD2894" w:rsidP="5593C388" w:rsidRDefault="5B083C88" w14:paraId="144A5D23" w14:textId="2E844363">
            <w:pPr>
              <w:pStyle w:val="Normal"/>
              <w:jc w:val="both"/>
            </w:pPr>
            <w:r w:rsidR="03B72852">
              <w:rPr/>
              <w:t>Ensuring every teacher is supported in delivering high-quality teaching which includes the use of ICT is essential to achieving the best outcomes for all pupils, particularly the most disadvantaged among them.</w:t>
            </w:r>
          </w:p>
        </w:tc>
        <w:tc>
          <w:tcPr>
            <w:tcW w:w="1215" w:type="dxa"/>
            <w:tcMar/>
          </w:tcPr>
          <w:p w:rsidR="3D516A15" w:rsidP="6626DFD1" w:rsidRDefault="3D516A15" w14:paraId="2FD9663D" w14:textId="599AB37F">
            <w:r w:rsidRPr="6626DFD1">
              <w:t xml:space="preserve">Laptops </w:t>
            </w:r>
            <w:r w:rsidRPr="6626DFD1" w:rsidR="725E78B9">
              <w:t>&amp;</w:t>
            </w:r>
            <w:r w:rsidRPr="6626DFD1">
              <w:t xml:space="preserve"> whiteboards </w:t>
            </w:r>
          </w:p>
          <w:p w:rsidR="3D516A15" w:rsidP="6626DFD1" w:rsidRDefault="3D516A15" w14:paraId="6E633D55" w14:textId="77523449">
            <w:pPr>
              <w:rPr>
                <w:b/>
                <w:bCs/>
              </w:rPr>
            </w:pPr>
            <w:r w:rsidRPr="6626DFD1">
              <w:t xml:space="preserve">cost </w:t>
            </w:r>
            <w:r w:rsidRPr="6626DFD1" w:rsidR="2DDC40CA">
              <w:rPr>
                <w:b/>
                <w:bCs/>
              </w:rPr>
              <w:t>Total</w:t>
            </w:r>
          </w:p>
          <w:p w:rsidR="3D516A15" w:rsidP="6626DFD1" w:rsidRDefault="3D516A15" w14:paraId="7FC250B3" w14:textId="3D495974">
            <w:pPr>
              <w:rPr>
                <w:b/>
                <w:bCs/>
              </w:rPr>
            </w:pPr>
            <w:r w:rsidRPr="6626DFD1">
              <w:rPr>
                <w:b/>
                <w:bCs/>
              </w:rPr>
              <w:t>£30,000</w:t>
            </w:r>
          </w:p>
          <w:p w:rsidR="6626DFD1" w:rsidP="6626DFD1" w:rsidRDefault="6626DFD1" w14:paraId="4F442AB3" w14:textId="49928272">
            <w:pPr>
              <w:rPr>
                <w:color w:val="FF0000"/>
              </w:rPr>
            </w:pPr>
          </w:p>
        </w:tc>
        <w:tc>
          <w:tcPr>
            <w:tcW w:w="1256" w:type="dxa"/>
            <w:tcMar/>
          </w:tcPr>
          <w:p w:rsidR="00BD2894" w:rsidRDefault="00BD2894" w14:paraId="738610EB" w14:textId="3D11D64D">
            <w:r w:rsidR="6BD860C2">
              <w:rPr/>
              <w:t>2,3,4</w:t>
            </w:r>
          </w:p>
        </w:tc>
      </w:tr>
      <w:tr w:rsidR="00BD2894" w:rsidTr="5593C388" w14:paraId="5630AD66" w14:textId="77777777">
        <w:trPr>
          <w:trHeight w:val="300"/>
        </w:trPr>
        <w:tc>
          <w:tcPr>
            <w:tcW w:w="1440" w:type="dxa"/>
            <w:tcMar/>
          </w:tcPr>
          <w:p w:rsidR="00BD2894" w:rsidRDefault="42513F94" w14:paraId="61829076" w14:textId="2521EB08">
            <w:r>
              <w:t>Total</w:t>
            </w:r>
          </w:p>
        </w:tc>
        <w:tc>
          <w:tcPr>
            <w:tcW w:w="5104" w:type="dxa"/>
            <w:tcMar/>
          </w:tcPr>
          <w:p w:rsidR="00BD2894" w:rsidRDefault="00BD2894" w14:paraId="2BA226A1" w14:textId="77777777"/>
        </w:tc>
        <w:tc>
          <w:tcPr>
            <w:tcW w:w="1215" w:type="dxa"/>
            <w:tcMar/>
          </w:tcPr>
          <w:p w:rsidR="5E2BC4C8" w:rsidP="5593C388" w:rsidRDefault="5E2BC4C8" w14:paraId="693E0BCF" w14:textId="2B49A061">
            <w:pPr>
              <w:pStyle w:val="Normal"/>
              <w:bidi w:val="0"/>
              <w:spacing w:before="0" w:beforeAutospacing="off" w:after="0" w:afterAutospacing="off" w:line="259" w:lineRule="auto"/>
              <w:ind w:left="0" w:right="0"/>
              <w:jc w:val="left"/>
              <w:rPr>
                <w:b w:val="1"/>
                <w:bCs w:val="1"/>
              </w:rPr>
            </w:pPr>
            <w:r w:rsidRPr="5593C388" w:rsidR="1BE80C21">
              <w:rPr>
                <w:b w:val="1"/>
                <w:bCs w:val="1"/>
              </w:rPr>
              <w:t>£</w:t>
            </w:r>
            <w:r w:rsidRPr="5593C388" w:rsidR="3C880D13">
              <w:rPr>
                <w:b w:val="1"/>
                <w:bCs w:val="1"/>
              </w:rPr>
              <w:t>153,200</w:t>
            </w:r>
          </w:p>
        </w:tc>
        <w:tc>
          <w:tcPr>
            <w:tcW w:w="1256" w:type="dxa"/>
            <w:tcMar/>
          </w:tcPr>
          <w:p w:rsidR="00BD2894" w:rsidRDefault="00BD2894" w14:paraId="17AD93B2" w14:textId="0EE75A8A"/>
        </w:tc>
      </w:tr>
    </w:tbl>
    <w:p w:rsidR="00BD2894" w:rsidRDefault="00BD2894" w14:paraId="0DE4B5B7" w14:textId="77777777"/>
    <w:p w:rsidR="00BD2894" w:rsidRDefault="00BA2BF6" w14:paraId="59EF54EF" w14:textId="77777777">
      <w:r>
        <w:t>Targeted academic support (for example, tutoring, one to one support structured interventions)</w:t>
      </w:r>
    </w:p>
    <w:tbl>
      <w:tblPr>
        <w:tblStyle w:val="TableGrid"/>
        <w:tblW w:w="9015" w:type="dxa"/>
        <w:tblLook w:val="04A0" w:firstRow="1" w:lastRow="0" w:firstColumn="1" w:lastColumn="0" w:noHBand="0" w:noVBand="1"/>
      </w:tblPr>
      <w:tblGrid>
        <w:gridCol w:w="1275"/>
        <w:gridCol w:w="5445"/>
        <w:gridCol w:w="1122"/>
        <w:gridCol w:w="1173"/>
      </w:tblGrid>
      <w:tr w:rsidR="00BD2894" w:rsidTr="5593C388" w14:paraId="5EE87E8D" w14:textId="77777777">
        <w:trPr>
          <w:trHeight w:val="300"/>
        </w:trPr>
        <w:tc>
          <w:tcPr>
            <w:tcW w:w="1275" w:type="dxa"/>
            <w:tcMar/>
          </w:tcPr>
          <w:p w:rsidR="00BD2894" w:rsidP="5593C388" w:rsidRDefault="00BA2BF6" w14:paraId="529AEE40" w14:textId="77777777">
            <w:pPr>
              <w:rPr>
                <w:b w:val="1"/>
                <w:bCs w:val="1"/>
              </w:rPr>
            </w:pPr>
            <w:r w:rsidRPr="5593C388" w:rsidR="28D2C42F">
              <w:rPr>
                <w:b w:val="1"/>
                <w:bCs w:val="1"/>
              </w:rPr>
              <w:t>Activity</w:t>
            </w:r>
          </w:p>
        </w:tc>
        <w:tc>
          <w:tcPr>
            <w:tcW w:w="5445" w:type="dxa"/>
            <w:tcMar/>
          </w:tcPr>
          <w:p w:rsidR="00BD2894" w:rsidP="5593C388" w:rsidRDefault="00BA2BF6" w14:paraId="21C380EA" w14:textId="77777777">
            <w:pPr>
              <w:rPr>
                <w:b w:val="1"/>
                <w:bCs w:val="1"/>
              </w:rPr>
            </w:pPr>
            <w:r w:rsidRPr="5593C388" w:rsidR="28D2C42F">
              <w:rPr>
                <w:b w:val="1"/>
                <w:bCs w:val="1"/>
              </w:rPr>
              <w:t>Evidence that supports this approach</w:t>
            </w:r>
          </w:p>
        </w:tc>
        <w:tc>
          <w:tcPr>
            <w:tcW w:w="1122" w:type="dxa"/>
            <w:tcMar/>
          </w:tcPr>
          <w:p w:rsidR="35D7F2A0" w:rsidP="5593C388" w:rsidRDefault="35D7F2A0" w14:paraId="0B4F61BC" w14:textId="5A70F790">
            <w:pPr>
              <w:rPr>
                <w:b w:val="1"/>
                <w:bCs w:val="1"/>
              </w:rPr>
            </w:pPr>
            <w:r w:rsidRPr="5593C388" w:rsidR="07A92625">
              <w:rPr>
                <w:b w:val="1"/>
                <w:bCs w:val="1"/>
              </w:rPr>
              <w:t>Cost (£)</w:t>
            </w:r>
          </w:p>
        </w:tc>
        <w:tc>
          <w:tcPr>
            <w:tcW w:w="1173" w:type="dxa"/>
            <w:tcMar/>
          </w:tcPr>
          <w:p w:rsidR="00BD2894" w:rsidP="5593C388" w:rsidRDefault="31389030" w14:paraId="01188CE6" w14:textId="77777777">
            <w:pPr>
              <w:rPr>
                <w:b w:val="1"/>
                <w:bCs w:val="1"/>
                <w:sz w:val="20"/>
                <w:szCs w:val="20"/>
              </w:rPr>
            </w:pPr>
            <w:r w:rsidRPr="5593C388" w:rsidR="427960D5">
              <w:rPr>
                <w:b w:val="1"/>
                <w:bCs w:val="1"/>
                <w:sz w:val="20"/>
                <w:szCs w:val="20"/>
              </w:rPr>
              <w:t>Challenge number addressed</w:t>
            </w:r>
          </w:p>
        </w:tc>
      </w:tr>
      <w:tr w:rsidR="00BD2894" w:rsidTr="5593C388" w14:paraId="66204FF1" w14:textId="77777777">
        <w:trPr>
          <w:trHeight w:val="300"/>
        </w:trPr>
        <w:tc>
          <w:tcPr>
            <w:tcW w:w="1275" w:type="dxa"/>
            <w:tcMar/>
          </w:tcPr>
          <w:p w:rsidR="00BD2894" w:rsidRDefault="7EFD005A" w14:paraId="2DBF0D7D" w14:textId="39AF5B94">
            <w:r>
              <w:t>Alternative provision funding</w:t>
            </w:r>
          </w:p>
        </w:tc>
        <w:tc>
          <w:tcPr>
            <w:tcW w:w="5445" w:type="dxa"/>
            <w:tcMar/>
          </w:tcPr>
          <w:p w:rsidR="00BD2894" w:rsidP="5593C388" w:rsidRDefault="65688266" w14:paraId="2AB7C0EF" w14:textId="47FC8D0B">
            <w:pPr>
              <w:rPr>
                <w:rFonts w:ascii="Calibri" w:hAnsi="Calibri" w:eastAsia="Calibri" w:cs="Calibri"/>
              </w:rPr>
            </w:pPr>
            <w:r w:rsidRPr="5593C388" w:rsidR="4AEF1F09">
              <w:rPr>
                <w:rFonts w:ascii="Calibri" w:hAnsi="Calibri" w:eastAsia="Calibri" w:cs="Calibri"/>
              </w:rPr>
              <w:t xml:space="preserve">Typically, pupils who arrive at Acorns have been disengaged from learning and do not see the value of education. The Acorns School recognises that a full academic programme is not always </w:t>
            </w:r>
            <w:r w:rsidRPr="5593C388" w:rsidR="4AEF1F09">
              <w:rPr>
                <w:rFonts w:ascii="Calibri" w:hAnsi="Calibri" w:eastAsia="Calibri" w:cs="Calibri"/>
              </w:rPr>
              <w:t>appropriate</w:t>
            </w:r>
            <w:r w:rsidRPr="5593C388" w:rsidR="4AEF1F09">
              <w:rPr>
                <w:rFonts w:ascii="Calibri" w:hAnsi="Calibri" w:eastAsia="Calibri" w:cs="Calibri"/>
              </w:rPr>
              <w:t xml:space="preserve"> and does not always meet need. Wherever possible, pupils are encouraged to develop their social and emotional skills through practical ‘hands on’ activities which supports communication, team building and preparation for the later stages of mainstream or other education and training.</w:t>
            </w:r>
            <w:r w:rsidR="4AEF1F09">
              <w:rPr/>
              <w:t xml:space="preserve"> </w:t>
            </w:r>
          </w:p>
          <w:p w:rsidR="00BD2894" w:rsidP="6626DFD1" w:rsidRDefault="1F997A68" w14:paraId="6B62F1B3" w14:textId="6E5EC97C">
            <w:pPr>
              <w:jc w:val="both"/>
            </w:pPr>
            <w:r w:rsidR="1B6EE62C">
              <w:rPr/>
              <w:t>High quality teaching and learning by using quality assured Alternative Providers who offer vocational courses.</w:t>
            </w:r>
            <w:r w:rsidR="4468695B">
              <w:rPr/>
              <w:t xml:space="preserve"> To create bespoke timetables to engage pupils who are struggling to attend/engage with education for a variety of reasons.</w:t>
            </w:r>
          </w:p>
        </w:tc>
        <w:tc>
          <w:tcPr>
            <w:tcW w:w="1122" w:type="dxa"/>
            <w:tcMar/>
          </w:tcPr>
          <w:p w:rsidR="67806E9A" w:rsidP="5593C388" w:rsidRDefault="67806E9A" w14:paraId="4518D2A2" w14:textId="76FFC01B">
            <w:pPr>
              <w:rPr>
                <w:b w:val="1"/>
                <w:bCs w:val="1"/>
                <w:color w:val="auto"/>
              </w:rPr>
            </w:pPr>
            <w:r w:rsidRPr="5593C388" w:rsidR="11BAD47F">
              <w:rPr>
                <w:b w:val="1"/>
                <w:bCs w:val="1"/>
                <w:color w:val="auto"/>
              </w:rPr>
              <w:t>£80,000</w:t>
            </w:r>
          </w:p>
        </w:tc>
        <w:tc>
          <w:tcPr>
            <w:tcW w:w="1173" w:type="dxa"/>
            <w:tcMar/>
          </w:tcPr>
          <w:p w:rsidR="00BD2894" w:rsidRDefault="00BD2894" w14:paraId="02F2C34E" w14:textId="07560425">
            <w:r w:rsidR="20D1D960">
              <w:rPr/>
              <w:t>1,2,3,4,5</w:t>
            </w:r>
          </w:p>
        </w:tc>
      </w:tr>
      <w:tr w:rsidR="00BD2894" w:rsidTr="5593C388" w14:paraId="680A4E5D" w14:textId="77777777">
        <w:trPr>
          <w:trHeight w:val="300"/>
        </w:trPr>
        <w:tc>
          <w:tcPr>
            <w:tcW w:w="1275" w:type="dxa"/>
            <w:tcMar/>
          </w:tcPr>
          <w:p w:rsidR="00BD2894" w:rsidRDefault="053DE075" w14:paraId="19219836" w14:textId="0FD289AC">
            <w:r>
              <w:t xml:space="preserve">One to one </w:t>
            </w:r>
            <w:r w:rsidR="27CBA927">
              <w:t>tutor</w:t>
            </w:r>
          </w:p>
        </w:tc>
        <w:tc>
          <w:tcPr>
            <w:tcW w:w="5445" w:type="dxa"/>
            <w:tcMar/>
          </w:tcPr>
          <w:p w:rsidR="00BD2894" w:rsidP="5593C388" w:rsidRDefault="2FDE3AD6" w14:paraId="296FEF7D" w14:textId="6873DB90">
            <w:pPr>
              <w:rPr>
                <w:color w:val="auto"/>
              </w:rPr>
            </w:pPr>
            <w:r w:rsidRPr="5593C388" w:rsidR="654548FB">
              <w:rPr>
                <w:color w:val="auto"/>
              </w:rPr>
              <w:t>Targeted academic support</w:t>
            </w:r>
            <w:r w:rsidRPr="5593C388" w:rsidR="14FF679C">
              <w:rPr>
                <w:color w:val="auto"/>
              </w:rPr>
              <w:t xml:space="preserve"> using specialist tutors to enable all pupils including </w:t>
            </w:r>
            <w:bookmarkStart w:name="_Int_xO2GObOP" w:id="8"/>
            <w:r w:rsidRPr="5593C388" w:rsidR="14FF679C">
              <w:rPr>
                <w:color w:val="auto"/>
              </w:rPr>
              <w:t>high risk</w:t>
            </w:r>
            <w:bookmarkEnd w:id="8"/>
            <w:r w:rsidRPr="5593C388" w:rsidR="69A8F597">
              <w:rPr>
                <w:color w:val="auto"/>
              </w:rPr>
              <w:t xml:space="preserve"> pupils.</w:t>
            </w:r>
          </w:p>
        </w:tc>
        <w:tc>
          <w:tcPr>
            <w:tcW w:w="1122" w:type="dxa"/>
            <w:tcMar/>
          </w:tcPr>
          <w:p w:rsidR="20AEA5C0" w:rsidP="5593C388" w:rsidRDefault="20AEA5C0" w14:paraId="6725F116" w14:textId="25FD7689">
            <w:pPr>
              <w:rPr>
                <w:b w:val="1"/>
                <w:bCs w:val="1"/>
                <w:color w:val="auto"/>
              </w:rPr>
            </w:pPr>
            <w:r w:rsidRPr="5593C388" w:rsidR="3F657AF1">
              <w:rPr>
                <w:b w:val="1"/>
                <w:bCs w:val="1"/>
                <w:color w:val="auto"/>
              </w:rPr>
              <w:t>£15,700</w:t>
            </w:r>
          </w:p>
        </w:tc>
        <w:tc>
          <w:tcPr>
            <w:tcW w:w="1173" w:type="dxa"/>
            <w:tcMar/>
          </w:tcPr>
          <w:p w:rsidR="00BD2894" w:rsidRDefault="00BD2894" w14:paraId="7194DBDC" w14:textId="0BE822DA">
            <w:r w:rsidR="51C23ED8">
              <w:rPr/>
              <w:t>1,2,3,4,5</w:t>
            </w:r>
          </w:p>
        </w:tc>
      </w:tr>
      <w:tr w:rsidR="00BD2894" w:rsidTr="5593C388" w14:paraId="769D0D3C" w14:textId="77777777">
        <w:trPr>
          <w:trHeight w:val="300"/>
        </w:trPr>
        <w:tc>
          <w:tcPr>
            <w:tcW w:w="1275" w:type="dxa"/>
            <w:tcMar/>
          </w:tcPr>
          <w:p w:rsidR="00BD2894" w:rsidRDefault="45609179" w14:paraId="54CD245A" w14:textId="7B60AD65">
            <w:r>
              <w:t>Keyworkers</w:t>
            </w:r>
          </w:p>
        </w:tc>
        <w:tc>
          <w:tcPr>
            <w:tcW w:w="5445" w:type="dxa"/>
            <w:tcMar/>
          </w:tcPr>
          <w:p w:rsidR="00BD2894" w:rsidP="6626DFD1" w:rsidRDefault="0C271BD6" w14:paraId="350A7F7F" w14:textId="33085094">
            <w:pPr>
              <w:jc w:val="both"/>
            </w:pPr>
            <w:r>
              <w:t>High staff ratio with a keyworker or HLTA attached to every form group as part of the pastoral team.</w:t>
            </w:r>
          </w:p>
          <w:p w:rsidR="00BD2894" w:rsidP="6626DFD1" w:rsidRDefault="04D295F1" w14:paraId="45159C95" w14:textId="0B84CDBD">
            <w:pPr>
              <w:jc w:val="both"/>
            </w:pPr>
            <w:r>
              <w:t xml:space="preserve">Keyworker </w:t>
            </w:r>
            <w:r w:rsidR="45609179">
              <w:t>deployment and interventions</w:t>
            </w:r>
            <w:r w:rsidR="1C959CB9">
              <w:t>.</w:t>
            </w:r>
            <w:r w:rsidR="2A939916">
              <w:t xml:space="preserve"> </w:t>
            </w:r>
            <w:r w:rsidR="30C0CEA9">
              <w:t>HLTA (Higher Level Teaching Assistants)</w:t>
            </w:r>
            <w:r w:rsidR="2A939916">
              <w:t xml:space="preserve"> use</w:t>
            </w:r>
            <w:r w:rsidR="0AB4FA33">
              <w:t>d</w:t>
            </w:r>
            <w:r w:rsidR="2A939916">
              <w:t xml:space="preserve"> in Cedar </w:t>
            </w:r>
            <w:r w:rsidR="449E78EF">
              <w:t xml:space="preserve">nurture </w:t>
            </w:r>
            <w:r w:rsidR="2A939916">
              <w:t xml:space="preserve">groups to support learning and progress. </w:t>
            </w:r>
          </w:p>
          <w:p w:rsidR="00BD2894" w:rsidP="6626DFD1" w:rsidRDefault="547AA28E" w14:paraId="33BAF949" w14:textId="287C82E2">
            <w:pPr>
              <w:jc w:val="both"/>
            </w:pPr>
            <w:r w:rsidR="18B31DC4">
              <w:rPr/>
              <w:t>Keyworkers</w:t>
            </w:r>
            <w:r w:rsidR="1FD845E9">
              <w:rPr/>
              <w:t xml:space="preserve"> trained up to deliver ELSA</w:t>
            </w:r>
            <w:r w:rsidR="745A182A">
              <w:rPr/>
              <w:t xml:space="preserve"> and </w:t>
            </w:r>
            <w:r w:rsidR="1FD845E9">
              <w:rPr/>
              <w:t>reading interventions</w:t>
            </w:r>
            <w:r w:rsidR="6B03B2BE">
              <w:rPr/>
              <w:t>.</w:t>
            </w:r>
          </w:p>
          <w:p w:rsidR="00BD2894" w:rsidP="6626DFD1" w:rsidRDefault="1C959CB9" w14:paraId="1231BE67" w14:textId="186E5766">
            <w:pPr>
              <w:jc w:val="both"/>
            </w:pPr>
            <w:r>
              <w:t>Evidence EEF research guidance</w:t>
            </w:r>
            <w:r w:rsidR="0A642CC5">
              <w:t>.</w:t>
            </w:r>
            <w:r>
              <w:t xml:space="preserve"> </w:t>
            </w:r>
            <w:hyperlink r:id="rId8">
              <w:r w:rsidRPr="6626DFD1">
                <w:rPr>
                  <w:rStyle w:val="Hyperlink"/>
                </w:rPr>
                <w:t>https://educationendowmentfoundation.org.uk/education-evidence/guidance-reports/teachingassistants</w:t>
              </w:r>
            </w:hyperlink>
          </w:p>
        </w:tc>
        <w:tc>
          <w:tcPr>
            <w:tcW w:w="1122" w:type="dxa"/>
            <w:tcMar/>
          </w:tcPr>
          <w:p w:rsidR="78C50F1D" w:rsidP="5593C388" w:rsidRDefault="78C50F1D" w14:paraId="5975D9DE" w14:textId="1866FA92">
            <w:pPr>
              <w:pStyle w:val="Normal"/>
              <w:bidi w:val="0"/>
              <w:spacing w:before="0" w:beforeAutospacing="off" w:after="0" w:afterAutospacing="off" w:line="259" w:lineRule="auto"/>
              <w:ind w:left="0" w:right="0"/>
              <w:jc w:val="left"/>
              <w:rPr>
                <w:b w:val="1"/>
                <w:bCs w:val="1"/>
                <w:color w:val="auto"/>
              </w:rPr>
            </w:pPr>
            <w:r w:rsidRPr="5593C388" w:rsidR="718A48DB">
              <w:rPr>
                <w:b w:val="1"/>
                <w:bCs w:val="1"/>
                <w:color w:val="auto"/>
              </w:rPr>
              <w:t>£302,035</w:t>
            </w:r>
          </w:p>
        </w:tc>
        <w:tc>
          <w:tcPr>
            <w:tcW w:w="1173" w:type="dxa"/>
            <w:tcMar/>
          </w:tcPr>
          <w:p w:rsidR="00BD2894" w:rsidRDefault="00BD2894" w14:paraId="36FEB5B0" w14:textId="0C126F81">
            <w:r w:rsidR="5764B219">
              <w:rPr/>
              <w:t>2,3,4</w:t>
            </w:r>
          </w:p>
        </w:tc>
      </w:tr>
      <w:tr w:rsidR="6626DFD1" w:rsidTr="5593C388" w14:paraId="40E872E6" w14:textId="77777777">
        <w:trPr>
          <w:trHeight w:val="300"/>
        </w:trPr>
        <w:tc>
          <w:tcPr>
            <w:tcW w:w="1275" w:type="dxa"/>
            <w:tcMar/>
          </w:tcPr>
          <w:p w:rsidR="6626DFD1" w:rsidP="6626DFD1" w:rsidRDefault="6626DFD1" w14:paraId="458F3209" w14:textId="701E3188">
            <w:r>
              <w:t>Reading programme being developed and implemented by key teachers in school</w:t>
            </w:r>
          </w:p>
        </w:tc>
        <w:tc>
          <w:tcPr>
            <w:tcW w:w="5445" w:type="dxa"/>
            <w:tcMar/>
          </w:tcPr>
          <w:p w:rsidR="6626DFD1" w:rsidP="6626DFD1" w:rsidRDefault="6626DFD1" w14:paraId="26FF8949" w14:textId="4B79F227">
            <w:pPr>
              <w:jc w:val="both"/>
            </w:pPr>
            <w:r w:rsidR="03BE284A">
              <w:rPr/>
              <w:t>Reading is a key priority on the School Improvement Plan 2022-2025.Diagnostic assessment using the new programme to identify pupil needs, then targeted intervention.</w:t>
            </w:r>
          </w:p>
          <w:p w:rsidR="6626DFD1" w:rsidP="6626DFD1" w:rsidRDefault="6626DFD1" w14:paraId="397770AB" w14:textId="64139EA9">
            <w:pPr>
              <w:jc w:val="both"/>
            </w:pPr>
            <w:r w:rsidR="03BE284A">
              <w:rPr/>
              <w:t>Reading team of teaching staff regular meetings to agree on intent of the plan, implementation, then measure the impact.</w:t>
            </w:r>
          </w:p>
          <w:p w:rsidR="6626DFD1" w:rsidP="6626DFD1" w:rsidRDefault="6626DFD1" w14:paraId="12497F5A" w14:textId="33703FBF">
            <w:pPr>
              <w:jc w:val="both"/>
            </w:pPr>
            <w:r w:rsidR="2D5ADF38">
              <w:rPr/>
              <w:t>https://educationendowmentfoundation.org.uk/education-evidence/guidance-reports/literacy</w:t>
            </w:r>
          </w:p>
        </w:tc>
        <w:tc>
          <w:tcPr>
            <w:tcW w:w="1122" w:type="dxa"/>
            <w:tcMar/>
          </w:tcPr>
          <w:p w:rsidR="6626DFD1" w:rsidP="6626DFD1" w:rsidRDefault="6626DFD1" w14:paraId="46293AF1" w14:textId="50D93013">
            <w:pPr>
              <w:spacing w:line="259" w:lineRule="auto"/>
            </w:pPr>
            <w:r w:rsidRPr="6626DFD1">
              <w:t xml:space="preserve">Program cost </w:t>
            </w:r>
          </w:p>
          <w:p w:rsidR="69BEC577" w:rsidP="6626DFD1" w:rsidRDefault="69BEC577" w14:paraId="52FE239C" w14:textId="3A86F43F">
            <w:pPr>
              <w:spacing w:line="259" w:lineRule="auto"/>
            </w:pPr>
            <w:r w:rsidRPr="6626DFD1">
              <w:t>Bedrock learning</w:t>
            </w:r>
          </w:p>
          <w:p w:rsidR="6626DFD1" w:rsidP="6626DFD1" w:rsidRDefault="6626DFD1" w14:paraId="0512C00D" w14:textId="68AEB9BC">
            <w:pPr>
              <w:spacing w:line="259" w:lineRule="auto"/>
            </w:pPr>
          </w:p>
          <w:p w:rsidR="1EE0886B" w:rsidP="6626DFD1" w:rsidRDefault="1EE0886B" w14:paraId="34C51C23" w14:textId="1A439A19">
            <w:pPr>
              <w:spacing w:line="259" w:lineRule="auto"/>
            </w:pPr>
            <w:r w:rsidRPr="6626DFD1">
              <w:t>Total</w:t>
            </w:r>
          </w:p>
          <w:p w:rsidR="6626DFD1" w:rsidP="5593C388" w:rsidRDefault="6626DFD1" w14:paraId="737790C1" w14:textId="1450D13B">
            <w:pPr>
              <w:spacing w:line="259" w:lineRule="auto"/>
              <w:rPr>
                <w:b w:val="1"/>
                <w:bCs w:val="1"/>
              </w:rPr>
            </w:pPr>
            <w:r w:rsidRPr="5593C388" w:rsidR="03BE284A">
              <w:rPr>
                <w:b w:val="1"/>
                <w:bCs w:val="1"/>
              </w:rPr>
              <w:t>£</w:t>
            </w:r>
            <w:r w:rsidRPr="5593C388" w:rsidR="30EA5A33">
              <w:rPr>
                <w:b w:val="1"/>
                <w:bCs w:val="1"/>
              </w:rPr>
              <w:t>1000</w:t>
            </w:r>
          </w:p>
        </w:tc>
        <w:tc>
          <w:tcPr>
            <w:tcW w:w="1173" w:type="dxa"/>
            <w:tcMar/>
          </w:tcPr>
          <w:p w:rsidR="6626DFD1" w:rsidP="6626DFD1" w:rsidRDefault="6626DFD1" w14:paraId="38852A6F" w14:textId="3EBFAF4B">
            <w:r>
              <w:t>2</w:t>
            </w:r>
          </w:p>
        </w:tc>
      </w:tr>
      <w:tr w:rsidR="00BD2894" w:rsidTr="5593C388" w14:paraId="5B08B5D1" w14:textId="77777777">
        <w:trPr>
          <w:trHeight w:val="300"/>
        </w:trPr>
        <w:tc>
          <w:tcPr>
            <w:tcW w:w="1275" w:type="dxa"/>
            <w:tcMar/>
          </w:tcPr>
          <w:p w:rsidR="00BD2894" w:rsidRDefault="51170175" w14:paraId="16DEB4AB" w14:textId="39D532C2">
            <w:r>
              <w:t>Total</w:t>
            </w:r>
          </w:p>
        </w:tc>
        <w:tc>
          <w:tcPr>
            <w:tcW w:w="5445" w:type="dxa"/>
            <w:tcMar/>
          </w:tcPr>
          <w:p w:rsidR="00BD2894" w:rsidRDefault="00BD2894" w14:paraId="0AD9C6F4" w14:textId="77777777"/>
        </w:tc>
        <w:tc>
          <w:tcPr>
            <w:tcW w:w="1122" w:type="dxa"/>
            <w:tcMar/>
          </w:tcPr>
          <w:p w:rsidR="41A19B3C" w:rsidP="5593C388" w:rsidRDefault="41A19B3C" w14:paraId="3C9C4E70" w14:textId="091EA50C">
            <w:pPr>
              <w:rPr>
                <w:b w:val="1"/>
                <w:bCs w:val="1"/>
              </w:rPr>
            </w:pPr>
            <w:r w:rsidRPr="5593C388" w:rsidR="6AED362C">
              <w:rPr>
                <w:b w:val="1"/>
                <w:bCs w:val="1"/>
              </w:rPr>
              <w:t>£</w:t>
            </w:r>
            <w:r w:rsidRPr="5593C388" w:rsidR="7CEF8070">
              <w:rPr>
                <w:b w:val="1"/>
                <w:bCs w:val="1"/>
              </w:rPr>
              <w:t>398,735</w:t>
            </w:r>
          </w:p>
        </w:tc>
        <w:tc>
          <w:tcPr>
            <w:tcW w:w="1173" w:type="dxa"/>
            <w:tcMar/>
          </w:tcPr>
          <w:p w:rsidR="00BD2894" w:rsidRDefault="00BD2894" w14:paraId="4B1F511A" w14:textId="783AD956"/>
        </w:tc>
      </w:tr>
    </w:tbl>
    <w:p w:rsidR="00BD2894" w:rsidRDefault="00BD2894" w14:paraId="65F9C3DC" w14:textId="77777777"/>
    <w:p w:rsidR="00BD2894" w:rsidRDefault="00BA2BF6" w14:paraId="577F3E26" w14:textId="77777777">
      <w:r w:rsidR="28D2C42F">
        <w:rPr/>
        <w:t>Wider strategies (for example related to attendance, behaviour, wellbeing)</w:t>
      </w:r>
    </w:p>
    <w:tbl>
      <w:tblPr>
        <w:tblStyle w:val="TableGrid"/>
        <w:tblW w:w="9015" w:type="dxa"/>
        <w:tblLook w:val="04A0" w:firstRow="1" w:lastRow="0" w:firstColumn="1" w:lastColumn="0" w:noHBand="0" w:noVBand="1"/>
      </w:tblPr>
      <w:tblGrid>
        <w:gridCol w:w="1905"/>
        <w:gridCol w:w="4731"/>
        <w:gridCol w:w="1185"/>
        <w:gridCol w:w="1194"/>
      </w:tblGrid>
      <w:tr w:rsidR="00BD2894" w:rsidTr="5593C388" w14:paraId="55824D24" w14:textId="77777777">
        <w:trPr>
          <w:trHeight w:val="300"/>
        </w:trPr>
        <w:tc>
          <w:tcPr>
            <w:tcW w:w="1905" w:type="dxa"/>
            <w:tcMar/>
          </w:tcPr>
          <w:p w:rsidR="00BD2894" w:rsidP="5593C388" w:rsidRDefault="00BA2BF6" w14:paraId="6734CC68" w14:textId="77777777">
            <w:pPr>
              <w:rPr>
                <w:b w:val="1"/>
                <w:bCs w:val="1"/>
              </w:rPr>
            </w:pPr>
            <w:r w:rsidRPr="5593C388" w:rsidR="28D2C42F">
              <w:rPr>
                <w:b w:val="1"/>
                <w:bCs w:val="1"/>
              </w:rPr>
              <w:t>Activity</w:t>
            </w:r>
          </w:p>
        </w:tc>
        <w:tc>
          <w:tcPr>
            <w:tcW w:w="4731" w:type="dxa"/>
            <w:tcMar/>
          </w:tcPr>
          <w:p w:rsidR="00BD2894" w:rsidP="5593C388" w:rsidRDefault="00BA2BF6" w14:paraId="60074545" w14:textId="77777777">
            <w:pPr>
              <w:rPr>
                <w:b w:val="1"/>
                <w:bCs w:val="1"/>
              </w:rPr>
            </w:pPr>
            <w:r w:rsidRPr="5593C388" w:rsidR="28D2C42F">
              <w:rPr>
                <w:b w:val="1"/>
                <w:bCs w:val="1"/>
              </w:rPr>
              <w:t>Evidence that supports this approach</w:t>
            </w:r>
          </w:p>
        </w:tc>
        <w:tc>
          <w:tcPr>
            <w:tcW w:w="1185" w:type="dxa"/>
            <w:tcMar/>
          </w:tcPr>
          <w:p w:rsidR="1A430255" w:rsidP="5593C388" w:rsidRDefault="1A430255" w14:paraId="66BBF87D" w14:textId="307B20D6">
            <w:pPr>
              <w:rPr>
                <w:b w:val="1"/>
                <w:bCs w:val="1"/>
              </w:rPr>
            </w:pPr>
            <w:r w:rsidRPr="5593C388" w:rsidR="027C6DE5">
              <w:rPr>
                <w:b w:val="1"/>
                <w:bCs w:val="1"/>
              </w:rPr>
              <w:t>Cost £</w:t>
            </w:r>
          </w:p>
          <w:p w:rsidR="7514B7B2" w:rsidP="5593C388" w:rsidRDefault="7514B7B2" w14:paraId="4E9416BB" w14:textId="28F3BEBF">
            <w:pPr>
              <w:rPr>
                <w:b w:val="1"/>
                <w:bCs w:val="1"/>
              </w:rPr>
            </w:pPr>
            <w:r w:rsidRPr="5593C388" w:rsidR="32FE2A04">
              <w:rPr>
                <w:b w:val="1"/>
                <w:bCs w:val="1"/>
              </w:rPr>
              <w:t>(</w:t>
            </w:r>
            <w:r w:rsidRPr="5593C388" w:rsidR="4F697F84">
              <w:rPr>
                <w:b w:val="1"/>
                <w:bCs w:val="1"/>
              </w:rPr>
              <w:t>Financial</w:t>
            </w:r>
            <w:r w:rsidRPr="5593C388" w:rsidR="32FE2A04">
              <w:rPr>
                <w:b w:val="1"/>
                <w:bCs w:val="1"/>
              </w:rPr>
              <w:t xml:space="preserve"> year)</w:t>
            </w:r>
          </w:p>
        </w:tc>
        <w:tc>
          <w:tcPr>
            <w:tcW w:w="1194" w:type="dxa"/>
            <w:tcMar/>
          </w:tcPr>
          <w:p w:rsidR="00BD2894" w:rsidP="5593C388" w:rsidRDefault="31389030" w14:paraId="6137E014" w14:textId="77777777">
            <w:pPr>
              <w:rPr>
                <w:b w:val="1"/>
                <w:bCs w:val="1"/>
                <w:sz w:val="20"/>
                <w:szCs w:val="20"/>
              </w:rPr>
            </w:pPr>
            <w:r w:rsidRPr="5593C388" w:rsidR="427960D5">
              <w:rPr>
                <w:b w:val="1"/>
                <w:bCs w:val="1"/>
                <w:sz w:val="20"/>
                <w:szCs w:val="20"/>
              </w:rPr>
              <w:t>Challenge number addressed</w:t>
            </w:r>
          </w:p>
        </w:tc>
      </w:tr>
      <w:tr w:rsidR="00BD2894" w:rsidTr="5593C388" w14:paraId="5023141B" w14:textId="77777777">
        <w:trPr>
          <w:trHeight w:val="300"/>
        </w:trPr>
        <w:tc>
          <w:tcPr>
            <w:tcW w:w="1905" w:type="dxa"/>
            <w:tcMar/>
          </w:tcPr>
          <w:p w:rsidR="00BD2894" w:rsidRDefault="0AC1C8DF" w14:paraId="1F3B1409" w14:textId="37F49D5C">
            <w:r>
              <w:t xml:space="preserve">Breakfast supplied for </w:t>
            </w:r>
            <w:r w:rsidR="20FF1872">
              <w:t xml:space="preserve">all </w:t>
            </w:r>
            <w:r>
              <w:t>pupils</w:t>
            </w:r>
          </w:p>
        </w:tc>
        <w:tc>
          <w:tcPr>
            <w:tcW w:w="4731" w:type="dxa"/>
            <w:tcMar/>
          </w:tcPr>
          <w:p w:rsidR="00BD2894" w:rsidRDefault="1FC91B54" w14:paraId="562C75D1" w14:textId="1E54AA9A">
            <w:r w:rsidR="08CE604E">
              <w:rPr/>
              <w:t xml:space="preserve">Supporting attendance </w:t>
            </w:r>
            <w:r w:rsidR="3E08B48B">
              <w:rPr/>
              <w:t xml:space="preserve">and pupil health and wellbeing by supplying breakfast. </w:t>
            </w:r>
            <w:r w:rsidR="429D4CAD">
              <w:rPr/>
              <w:t>This allows pupils who may suffer from food poverty at home to eat and then be in a more positive frame of mind ready to learn.</w:t>
            </w:r>
          </w:p>
        </w:tc>
        <w:tc>
          <w:tcPr>
            <w:tcW w:w="1185" w:type="dxa"/>
            <w:tcMar/>
          </w:tcPr>
          <w:p w:rsidR="3E3BD75D" w:rsidP="5593C388" w:rsidRDefault="3E3BD75D" w14:paraId="78E69374" w14:textId="557CF126">
            <w:pPr>
              <w:rPr>
                <w:b w:val="1"/>
                <w:bCs w:val="1"/>
                <w:color w:val="auto"/>
              </w:rPr>
            </w:pPr>
            <w:r w:rsidRPr="5593C388" w:rsidR="5ADFE3F3">
              <w:rPr>
                <w:b w:val="1"/>
                <w:bCs w:val="1"/>
                <w:color w:val="auto"/>
              </w:rPr>
              <w:t>£380</w:t>
            </w:r>
          </w:p>
        </w:tc>
        <w:tc>
          <w:tcPr>
            <w:tcW w:w="1194" w:type="dxa"/>
            <w:tcMar/>
          </w:tcPr>
          <w:p w:rsidR="00BD2894" w:rsidRDefault="00BD2894" w14:paraId="664355AD" w14:textId="5046263C">
            <w:r w:rsidR="7021F9E4">
              <w:rPr/>
              <w:t>1,4</w:t>
            </w:r>
          </w:p>
        </w:tc>
      </w:tr>
      <w:tr w:rsidR="00BD2894" w:rsidTr="5593C388" w14:paraId="1A965116" w14:textId="77777777">
        <w:trPr>
          <w:trHeight w:val="300"/>
        </w:trPr>
        <w:tc>
          <w:tcPr>
            <w:tcW w:w="1905" w:type="dxa"/>
            <w:tcMar/>
          </w:tcPr>
          <w:p w:rsidR="00BD2894" w:rsidRDefault="0AC1C8DF" w14:paraId="7DF4E37C" w14:textId="2C6B7B5F">
            <w:r>
              <w:t>Transport</w:t>
            </w:r>
            <w:r w:rsidR="2B3AA8F8">
              <w:t xml:space="preserve"> </w:t>
            </w:r>
            <w:r>
              <w:t>(</w:t>
            </w:r>
            <w:r w:rsidR="72D2E641">
              <w:t>taxis</w:t>
            </w:r>
            <w:r>
              <w:t xml:space="preserve"> provided for pupils)</w:t>
            </w:r>
          </w:p>
        </w:tc>
        <w:tc>
          <w:tcPr>
            <w:tcW w:w="4731" w:type="dxa"/>
            <w:tcMar/>
          </w:tcPr>
          <w:p w:rsidR="00BD2894" w:rsidP="5593C388" w:rsidRDefault="2C207E4A" w14:paraId="44FB30F8" w14:textId="7A624DBA">
            <w:pPr>
              <w:rPr>
                <w:rFonts w:eastAsia="" w:eastAsiaTheme="minorEastAsia"/>
                <w:color w:val="000000" w:themeColor="text1"/>
              </w:rPr>
            </w:pPr>
            <w:r w:rsidRPr="5593C388" w:rsidR="56EFEF39">
              <w:rPr>
                <w:rFonts w:eastAsia="" w:eastAsiaTheme="minorEastAsia"/>
                <w:color w:val="000000" w:themeColor="text1" w:themeTint="FF" w:themeShade="FF"/>
              </w:rPr>
              <w:t xml:space="preserve">Skelmersdale suffers from poor public transport infrastructure, </w:t>
            </w:r>
            <w:r w:rsidRPr="5593C388" w:rsidR="15BD6931">
              <w:rPr>
                <w:rFonts w:eastAsia="" w:eastAsiaTheme="minorEastAsia"/>
                <w:color w:val="000000" w:themeColor="text1" w:themeTint="FF" w:themeShade="FF"/>
              </w:rPr>
              <w:t>self-image,</w:t>
            </w:r>
            <w:r w:rsidRPr="5593C388" w:rsidR="1D5CA26D">
              <w:rPr>
                <w:rFonts w:eastAsia="" w:eastAsiaTheme="minorEastAsia"/>
                <w:color w:val="000000" w:themeColor="text1" w:themeTint="FF" w:themeShade="FF"/>
              </w:rPr>
              <w:t xml:space="preserve"> </w:t>
            </w:r>
            <w:r w:rsidRPr="5593C388" w:rsidR="56EFEF39">
              <w:rPr>
                <w:rFonts w:eastAsia="" w:eastAsiaTheme="minorEastAsia"/>
                <w:color w:val="000000" w:themeColor="text1" w:themeTint="FF" w:themeShade="FF"/>
              </w:rPr>
              <w:t xml:space="preserve">and reputation. </w:t>
            </w:r>
            <w:bookmarkStart w:name="_Int_x3PfpXBl" w:id="6426514"/>
            <w:r w:rsidRPr="5593C388" w:rsidR="56EFEF39">
              <w:rPr>
                <w:rFonts w:eastAsia="" w:eastAsiaTheme="minorEastAsia"/>
                <w:color w:val="000000" w:themeColor="text1" w:themeTint="FF" w:themeShade="FF"/>
              </w:rPr>
              <w:t>Nearly all</w:t>
            </w:r>
            <w:bookmarkEnd w:id="6426514"/>
            <w:r w:rsidRPr="5593C388" w:rsidR="56EFEF39">
              <w:rPr>
                <w:rFonts w:eastAsia="" w:eastAsiaTheme="minorEastAsia"/>
                <w:color w:val="000000" w:themeColor="text1" w:themeTint="FF" w:themeShade="FF"/>
              </w:rPr>
              <w:t xml:space="preserve"> pupils are transported to school by taxi.</w:t>
            </w:r>
          </w:p>
        </w:tc>
        <w:tc>
          <w:tcPr>
            <w:tcW w:w="1185" w:type="dxa"/>
            <w:tcMar/>
          </w:tcPr>
          <w:p w:rsidR="6626DFD1" w:rsidP="5593C388" w:rsidRDefault="6626DFD1" w14:paraId="3A527822" w14:textId="66DE785A">
            <w:pPr>
              <w:rPr>
                <w:b w:val="1"/>
                <w:bCs w:val="1"/>
              </w:rPr>
            </w:pPr>
            <w:r w:rsidRPr="5593C388" w:rsidR="41273B47">
              <w:rPr>
                <w:b w:val="1"/>
                <w:bCs w:val="1"/>
              </w:rPr>
              <w:t>£118,000</w:t>
            </w:r>
          </w:p>
        </w:tc>
        <w:tc>
          <w:tcPr>
            <w:tcW w:w="1194" w:type="dxa"/>
            <w:tcMar/>
          </w:tcPr>
          <w:p w:rsidR="00BD2894" w:rsidRDefault="00BD2894" w14:paraId="1DA6542E" w14:textId="2AA7519D">
            <w:r w:rsidR="466BED92">
              <w:rPr/>
              <w:t>1</w:t>
            </w:r>
          </w:p>
        </w:tc>
      </w:tr>
      <w:tr w:rsidR="00BD2894" w:rsidTr="5593C388" w14:paraId="3041E394" w14:textId="77777777">
        <w:trPr>
          <w:trHeight w:val="300"/>
        </w:trPr>
        <w:tc>
          <w:tcPr>
            <w:tcW w:w="1905" w:type="dxa"/>
            <w:tcMar/>
          </w:tcPr>
          <w:p w:rsidR="00BD2894" w:rsidRDefault="71BADD79" w14:paraId="722B00AE" w14:textId="76BDA9D8">
            <w:r>
              <w:t>EP (Educational Psychologist)</w:t>
            </w:r>
            <w:r w:rsidR="638E648F">
              <w:t xml:space="preserve"> extra time</w:t>
            </w:r>
          </w:p>
        </w:tc>
        <w:tc>
          <w:tcPr>
            <w:tcW w:w="4731" w:type="dxa"/>
            <w:tcMar/>
          </w:tcPr>
          <w:p w:rsidR="00BD2894" w:rsidP="5593C388" w:rsidRDefault="290C63D4" w14:paraId="42C6D796" w14:textId="74E70772">
            <w:pPr>
              <w:pStyle w:val="Normal"/>
            </w:pPr>
            <w:r w:rsidR="3913EE8B">
              <w:rPr/>
              <w:t>One year contract for an Independent Educational Psychology service</w:t>
            </w:r>
            <w:r w:rsidR="1A29AA5D">
              <w:rPr/>
              <w:t>.</w:t>
            </w:r>
          </w:p>
        </w:tc>
        <w:tc>
          <w:tcPr>
            <w:tcW w:w="1185" w:type="dxa"/>
            <w:tcMar/>
          </w:tcPr>
          <w:p w:rsidR="0DCC7DCB" w:rsidP="5593C388" w:rsidRDefault="0DCC7DCB" w14:paraId="20CCB36C" w14:textId="3226E02E">
            <w:pPr>
              <w:rPr>
                <w:b w:val="1"/>
                <w:bCs w:val="1"/>
                <w:color w:val="auto"/>
              </w:rPr>
            </w:pPr>
            <w:r w:rsidRPr="5593C388" w:rsidR="2E688B91">
              <w:rPr>
                <w:b w:val="1"/>
                <w:bCs w:val="1"/>
                <w:color w:val="auto"/>
              </w:rPr>
              <w:t>£12,920</w:t>
            </w:r>
          </w:p>
          <w:p w:rsidR="6626DFD1" w:rsidP="6626DFD1" w:rsidRDefault="6626DFD1" w14:paraId="04633BBD" w14:textId="0D623FA3"/>
        </w:tc>
        <w:tc>
          <w:tcPr>
            <w:tcW w:w="1194" w:type="dxa"/>
            <w:tcMar/>
          </w:tcPr>
          <w:p w:rsidR="00BD2894" w:rsidRDefault="00BD2894" w14:paraId="6E1831B3" w14:textId="695F47A2">
            <w:r w:rsidR="1B571FDB">
              <w:rPr/>
              <w:t>3,4</w:t>
            </w:r>
          </w:p>
        </w:tc>
      </w:tr>
      <w:tr w:rsidR="6626DFD1" w:rsidTr="5593C388" w14:paraId="4C5CA736" w14:textId="77777777">
        <w:trPr>
          <w:trHeight w:val="300"/>
        </w:trPr>
        <w:tc>
          <w:tcPr>
            <w:tcW w:w="1905" w:type="dxa"/>
            <w:tcMar/>
          </w:tcPr>
          <w:p w:rsidR="68FE2196" w:rsidP="6626DFD1" w:rsidRDefault="68FE2196" w14:paraId="708EE12C" w14:textId="6B8F92C4">
            <w:r>
              <w:t>ELSA sessions</w:t>
            </w:r>
          </w:p>
        </w:tc>
        <w:tc>
          <w:tcPr>
            <w:tcW w:w="4731" w:type="dxa"/>
            <w:tcMar/>
          </w:tcPr>
          <w:p w:rsidR="7AECE974" w:rsidP="6626DFD1" w:rsidRDefault="7AECE974" w14:paraId="3E8CEA00" w14:textId="0A40BC25">
            <w:pPr>
              <w:spacing w:line="257" w:lineRule="auto"/>
              <w:rPr>
                <w:rFonts w:ascii="Calibri" w:hAnsi="Calibri" w:eastAsia="Calibri" w:cs="Calibri"/>
              </w:rPr>
            </w:pPr>
            <w:r w:rsidRPr="5593C388" w:rsidR="289775A1">
              <w:rPr>
                <w:rFonts w:ascii="Calibri" w:hAnsi="Calibri" w:eastAsia="Calibri" w:cs="Calibri"/>
              </w:rPr>
              <w:t>ELSA 5 step plan in place for those pupils who require it</w:t>
            </w:r>
            <w:r w:rsidRPr="5593C388" w:rsidR="73D90C20">
              <w:rPr>
                <w:rFonts w:ascii="Calibri" w:hAnsi="Calibri" w:eastAsia="Calibri" w:cs="Calibri"/>
              </w:rPr>
              <w:t xml:space="preserve"> to support them with their emotions and emotional regulation</w:t>
            </w:r>
            <w:r w:rsidRPr="5593C388" w:rsidR="289775A1">
              <w:rPr>
                <w:rFonts w:ascii="Calibri" w:hAnsi="Calibri" w:eastAsia="Calibri" w:cs="Calibri"/>
              </w:rPr>
              <w:t>, shared with staff. This builds on the Learner Passports that are in place for every pupil</w:t>
            </w:r>
            <w:r w:rsidRPr="5593C388" w:rsidR="2CA1C13B">
              <w:rPr>
                <w:rFonts w:ascii="Calibri" w:hAnsi="Calibri" w:eastAsia="Calibri" w:cs="Calibri"/>
              </w:rPr>
              <w:t xml:space="preserve">. </w:t>
            </w:r>
          </w:p>
        </w:tc>
        <w:tc>
          <w:tcPr>
            <w:tcW w:w="1185" w:type="dxa"/>
            <w:tcMar/>
          </w:tcPr>
          <w:p w:rsidR="6BB4F38B" w:rsidP="5593C388" w:rsidRDefault="6BB4F38B" w14:paraId="750DCA30" w14:textId="422EF61D">
            <w:pPr>
              <w:rPr>
                <w:b w:val="1"/>
                <w:bCs w:val="1"/>
                <w:color w:val="auto"/>
              </w:rPr>
            </w:pPr>
            <w:r w:rsidRPr="5593C388" w:rsidR="35A474EB">
              <w:rPr>
                <w:b w:val="1"/>
                <w:bCs w:val="1"/>
                <w:color w:val="auto"/>
              </w:rPr>
              <w:t>£</w:t>
            </w:r>
            <w:r w:rsidRPr="5593C388" w:rsidR="071980AF">
              <w:rPr>
                <w:b w:val="1"/>
                <w:bCs w:val="1"/>
                <w:color w:val="auto"/>
              </w:rPr>
              <w:t>1</w:t>
            </w:r>
            <w:r w:rsidRPr="5593C388" w:rsidR="353848D4">
              <w:rPr>
                <w:b w:val="1"/>
                <w:bCs w:val="1"/>
                <w:color w:val="auto"/>
              </w:rPr>
              <w:t>,</w:t>
            </w:r>
            <w:r w:rsidRPr="5593C388" w:rsidR="071980AF">
              <w:rPr>
                <w:b w:val="1"/>
                <w:bCs w:val="1"/>
                <w:color w:val="auto"/>
              </w:rPr>
              <w:t>725</w:t>
            </w:r>
          </w:p>
          <w:p w:rsidR="6626DFD1" w:rsidP="6626DFD1" w:rsidRDefault="6626DFD1" w14:paraId="0C3F666B" w14:textId="40A6B09C"/>
        </w:tc>
        <w:tc>
          <w:tcPr>
            <w:tcW w:w="1194" w:type="dxa"/>
            <w:tcMar/>
          </w:tcPr>
          <w:p w:rsidR="6626DFD1" w:rsidP="6626DFD1" w:rsidRDefault="6626DFD1" w14:paraId="2365F7CF" w14:textId="4779EA20">
            <w:r w:rsidR="5B66F805">
              <w:rPr/>
              <w:t>3,4</w:t>
            </w:r>
          </w:p>
        </w:tc>
      </w:tr>
      <w:tr w:rsidR="6626DFD1" w:rsidTr="5593C388" w14:paraId="44E93D52" w14:textId="77777777">
        <w:trPr>
          <w:trHeight w:val="1785"/>
        </w:trPr>
        <w:tc>
          <w:tcPr>
            <w:tcW w:w="1905" w:type="dxa"/>
            <w:tcMar/>
          </w:tcPr>
          <w:p w:rsidR="3A16FB7B" w:rsidP="6626DFD1" w:rsidRDefault="3A16FB7B" w14:paraId="4355D567" w14:textId="68FC1080">
            <w:r>
              <w:t>Pastoral support</w:t>
            </w:r>
          </w:p>
        </w:tc>
        <w:tc>
          <w:tcPr>
            <w:tcW w:w="4731" w:type="dxa"/>
            <w:tcMar/>
          </w:tcPr>
          <w:p w:rsidR="3A16FB7B" w:rsidP="6626DFD1" w:rsidRDefault="3A16FB7B" w14:paraId="05DB5660" w14:textId="63B1BEEB">
            <w:pPr>
              <w:spacing w:line="257" w:lineRule="auto"/>
              <w:jc w:val="both"/>
              <w:rPr>
                <w:rFonts w:ascii="Calibri" w:hAnsi="Calibri" w:eastAsia="Calibri" w:cs="Calibri"/>
              </w:rPr>
            </w:pPr>
            <w:r w:rsidRPr="5593C388" w:rsidR="167932E2">
              <w:rPr>
                <w:rFonts w:ascii="Calibri" w:hAnsi="Calibri" w:eastAsia="Calibri" w:cs="Calibri"/>
              </w:rPr>
              <w:t xml:space="preserve">Pastoral support from Family support worker for vulnerable children and families – key support is needed to ensure attendance is </w:t>
            </w:r>
            <w:r w:rsidRPr="5593C388" w:rsidR="167932E2">
              <w:rPr>
                <w:rFonts w:ascii="Calibri" w:hAnsi="Calibri" w:eastAsia="Calibri" w:cs="Calibri"/>
              </w:rPr>
              <w:t>maintained</w:t>
            </w:r>
            <w:r w:rsidRPr="5593C388" w:rsidR="167932E2">
              <w:rPr>
                <w:rFonts w:ascii="Calibri" w:hAnsi="Calibri" w:eastAsia="Calibri" w:cs="Calibri"/>
              </w:rPr>
              <w:t>, improved and pupils are ready to learn.</w:t>
            </w:r>
            <w:r w:rsidRPr="5593C388" w:rsidR="7B280718">
              <w:rPr>
                <w:rFonts w:ascii="Calibri" w:hAnsi="Calibri" w:eastAsia="Calibri" w:cs="Calibri"/>
              </w:rPr>
              <w:t xml:space="preserve"> This includes Team around the School TAS meetings and being the lead professional.</w:t>
            </w:r>
          </w:p>
        </w:tc>
        <w:tc>
          <w:tcPr>
            <w:tcW w:w="1185" w:type="dxa"/>
            <w:tcMar/>
          </w:tcPr>
          <w:p w:rsidR="6626DFD1" w:rsidP="5593C388" w:rsidRDefault="6626DFD1" w14:paraId="57BB6519" w14:textId="3C45D4E1">
            <w:pPr>
              <w:rPr>
                <w:b w:val="1"/>
                <w:bCs w:val="1"/>
                <w:color w:val="auto"/>
              </w:rPr>
            </w:pPr>
            <w:r w:rsidRPr="5593C388" w:rsidR="282B6E06">
              <w:rPr>
                <w:b w:val="1"/>
                <w:bCs w:val="1"/>
                <w:color w:val="auto"/>
              </w:rPr>
              <w:t>£19,510</w:t>
            </w:r>
          </w:p>
        </w:tc>
        <w:tc>
          <w:tcPr>
            <w:tcW w:w="1194" w:type="dxa"/>
            <w:tcMar/>
          </w:tcPr>
          <w:p w:rsidR="6626DFD1" w:rsidP="6626DFD1" w:rsidRDefault="6626DFD1" w14:paraId="3B77F11E" w14:textId="1B1653C9">
            <w:r w:rsidR="4873D811">
              <w:rPr/>
              <w:t>1,3,4</w:t>
            </w:r>
          </w:p>
        </w:tc>
      </w:tr>
      <w:tr w:rsidR="00BD2894" w:rsidTr="5593C388" w14:paraId="54E11D2A" w14:textId="77777777">
        <w:trPr>
          <w:trHeight w:val="300"/>
        </w:trPr>
        <w:tc>
          <w:tcPr>
            <w:tcW w:w="1905" w:type="dxa"/>
            <w:tcMar/>
          </w:tcPr>
          <w:p w:rsidR="00BD2894" w:rsidRDefault="2A94FDD6" w14:paraId="31126E5D" w14:textId="61C04614">
            <w:r>
              <w:t>Uniform provision</w:t>
            </w:r>
          </w:p>
        </w:tc>
        <w:tc>
          <w:tcPr>
            <w:tcW w:w="4731" w:type="dxa"/>
            <w:tcMar/>
          </w:tcPr>
          <w:p w:rsidR="00BD2894" w:rsidP="5593C388" w:rsidRDefault="00BD2894" w14:paraId="2DE403A5" w14:textId="3A933D81">
            <w:pPr>
              <w:pStyle w:val="Normal"/>
            </w:pPr>
            <w:r w:rsidR="78FC5362">
              <w:rPr/>
              <w:t xml:space="preserve">Due to the nature of pupils arriving here from either mainstream or PRU to PRU transfer they do not always have the correct uniform. The Acorns school has a stock of uniform in readiness for pupils that may not have it and parents </w:t>
            </w:r>
            <w:r w:rsidR="025298C6">
              <w:rPr/>
              <w:t>who cannot necessarily afford it at the time of admissions.</w:t>
            </w:r>
          </w:p>
        </w:tc>
        <w:tc>
          <w:tcPr>
            <w:tcW w:w="1185" w:type="dxa"/>
            <w:tcMar/>
          </w:tcPr>
          <w:p w:rsidR="6626DFD1" w:rsidP="5593C388" w:rsidRDefault="6626DFD1" w14:paraId="4E9920D5" w14:textId="399F75D4">
            <w:pPr>
              <w:rPr>
                <w:b w:val="1"/>
                <w:bCs w:val="1"/>
              </w:rPr>
            </w:pPr>
            <w:r w:rsidRPr="5593C388" w:rsidR="0A9DEE31">
              <w:rPr>
                <w:b w:val="1"/>
                <w:bCs w:val="1"/>
              </w:rPr>
              <w:t>£300</w:t>
            </w:r>
          </w:p>
        </w:tc>
        <w:tc>
          <w:tcPr>
            <w:tcW w:w="1194" w:type="dxa"/>
            <w:tcMar/>
          </w:tcPr>
          <w:p w:rsidR="00BD2894" w:rsidRDefault="00BD2894" w14:paraId="62431CDC" w14:textId="15CCBE11">
            <w:r w:rsidR="5D7268DA">
              <w:rPr/>
              <w:t>1,4</w:t>
            </w:r>
          </w:p>
        </w:tc>
      </w:tr>
      <w:tr w:rsidR="6626DFD1" w:rsidTr="5593C388" w14:paraId="55BC0685" w14:textId="77777777">
        <w:trPr>
          <w:trHeight w:val="300"/>
        </w:trPr>
        <w:tc>
          <w:tcPr>
            <w:tcW w:w="1905" w:type="dxa"/>
            <w:tcMar/>
          </w:tcPr>
          <w:p w:rsidR="62EC0C04" w:rsidP="6626DFD1" w:rsidRDefault="62EC0C04" w14:paraId="159ECBE7" w14:textId="5DAB7665">
            <w:r>
              <w:t xml:space="preserve">Enhanced hot meal </w:t>
            </w:r>
          </w:p>
        </w:tc>
        <w:tc>
          <w:tcPr>
            <w:tcW w:w="4731" w:type="dxa"/>
            <w:tcMar/>
          </w:tcPr>
          <w:p w:rsidR="795AF83E" w:rsidRDefault="795AF83E" w14:paraId="7257970C" w14:textId="542979F8">
            <w:r w:rsidR="795AF83E">
              <w:rPr/>
              <w:t>An enhanced hot meal offer has been bought in from Lancashire County Council for a year.</w:t>
            </w:r>
          </w:p>
          <w:p w:rsidR="5593C388" w:rsidRDefault="5593C388" w14:paraId="52EC3A84" w14:textId="60F6C3CD"/>
          <w:p w:rsidR="6626DFD1" w:rsidP="6626DFD1" w:rsidRDefault="6626DFD1" w14:paraId="13C4C12F" w14:textId="3902A8E7"/>
        </w:tc>
        <w:tc>
          <w:tcPr>
            <w:tcW w:w="1185" w:type="dxa"/>
            <w:tcMar/>
          </w:tcPr>
          <w:p w:rsidR="276B36F7" w:rsidP="5593C388" w:rsidRDefault="276B36F7" w14:paraId="75A0C56E" w14:textId="1D8CDA42">
            <w:pPr>
              <w:rPr>
                <w:b w:val="1"/>
                <w:bCs w:val="1"/>
                <w:color w:val="auto"/>
              </w:rPr>
            </w:pPr>
            <w:r w:rsidRPr="5593C388" w:rsidR="70D3F8F1">
              <w:rPr>
                <w:b w:val="1"/>
                <w:bCs w:val="1"/>
                <w:color w:val="auto"/>
              </w:rPr>
              <w:t>£11,945</w:t>
            </w:r>
          </w:p>
          <w:p w:rsidR="6626DFD1" w:rsidP="6626DFD1" w:rsidRDefault="6626DFD1" w14:paraId="60BEB7EB" w14:textId="2CC3B74D"/>
        </w:tc>
        <w:tc>
          <w:tcPr>
            <w:tcW w:w="1194" w:type="dxa"/>
            <w:tcMar/>
          </w:tcPr>
          <w:p w:rsidR="6626DFD1" w:rsidP="6626DFD1" w:rsidRDefault="6626DFD1" w14:paraId="3C910AAA" w14:textId="73C6A3E7">
            <w:r w:rsidR="45DA78DF">
              <w:rPr/>
              <w:t>1,4</w:t>
            </w:r>
          </w:p>
        </w:tc>
      </w:tr>
      <w:tr w:rsidR="6626DFD1" w:rsidTr="5593C388" w14:paraId="5B16D09A" w14:textId="77777777">
        <w:trPr>
          <w:trHeight w:val="300"/>
        </w:trPr>
        <w:tc>
          <w:tcPr>
            <w:tcW w:w="1905" w:type="dxa"/>
            <w:tcMar/>
          </w:tcPr>
          <w:p w:rsidR="2356F70F" w:rsidP="6626DFD1" w:rsidRDefault="2356F70F" w14:paraId="29B6FA71" w14:textId="1BFA231B">
            <w:r>
              <w:t>Period products provision</w:t>
            </w:r>
          </w:p>
        </w:tc>
        <w:tc>
          <w:tcPr>
            <w:tcW w:w="4731" w:type="dxa"/>
            <w:tcMar/>
          </w:tcPr>
          <w:p w:rsidR="6626DFD1" w:rsidP="6626DFD1" w:rsidRDefault="6626DFD1" w14:paraId="4567E940" w14:textId="4A0CECFD">
            <w:r w:rsidR="253B78E0">
              <w:rPr/>
              <w:t xml:space="preserve">Periods products are made available in all </w:t>
            </w:r>
            <w:proofErr w:type="gramStart"/>
            <w:r w:rsidR="253B78E0">
              <w:rPr/>
              <w:t>pupil</w:t>
            </w:r>
            <w:proofErr w:type="gramEnd"/>
            <w:r w:rsidR="253B78E0">
              <w:rPr/>
              <w:t xml:space="preserve"> toilets.</w:t>
            </w:r>
          </w:p>
          <w:p w:rsidR="6626DFD1" w:rsidP="5593C388" w:rsidRDefault="6626DFD1" w14:paraId="4BA10B4C" w14:textId="2C00B6B1">
            <w:pPr>
              <w:pStyle w:val="Normal"/>
            </w:pPr>
          </w:p>
        </w:tc>
        <w:tc>
          <w:tcPr>
            <w:tcW w:w="1185" w:type="dxa"/>
            <w:tcMar/>
          </w:tcPr>
          <w:p w:rsidR="672014E4" w:rsidP="5593C388" w:rsidRDefault="672014E4" w14:paraId="020EC959" w14:textId="4D853008">
            <w:pPr>
              <w:rPr>
                <w:b w:val="1"/>
                <w:bCs w:val="1"/>
                <w:color w:val="auto"/>
              </w:rPr>
            </w:pPr>
            <w:r w:rsidRPr="5593C388" w:rsidR="05388BB3">
              <w:rPr>
                <w:b w:val="1"/>
                <w:bCs w:val="1"/>
                <w:color w:val="auto"/>
              </w:rPr>
              <w:t>£100</w:t>
            </w:r>
          </w:p>
          <w:p w:rsidR="6626DFD1" w:rsidP="6626DFD1" w:rsidRDefault="6626DFD1" w14:paraId="4F052315" w14:textId="6C51525D"/>
        </w:tc>
        <w:tc>
          <w:tcPr>
            <w:tcW w:w="1194" w:type="dxa"/>
            <w:tcMar/>
          </w:tcPr>
          <w:p w:rsidR="6626DFD1" w:rsidP="6626DFD1" w:rsidRDefault="6626DFD1" w14:paraId="5E1318B4" w14:textId="3B7C2DB3">
            <w:r w:rsidR="25B9ADA1">
              <w:rPr/>
              <w:t>1,4</w:t>
            </w:r>
          </w:p>
        </w:tc>
      </w:tr>
      <w:tr w:rsidR="6626DFD1" w:rsidTr="5593C388" w14:paraId="347F9FBD" w14:textId="77777777">
        <w:trPr>
          <w:trHeight w:val="300"/>
        </w:trPr>
        <w:tc>
          <w:tcPr>
            <w:tcW w:w="1905" w:type="dxa"/>
            <w:tcMar/>
          </w:tcPr>
          <w:p w:rsidR="28DB6854" w:rsidP="6626DFD1" w:rsidRDefault="28DB6854" w14:paraId="21457668" w14:textId="070E38FF">
            <w:r>
              <w:t>School Counsellor (Mondays)</w:t>
            </w:r>
          </w:p>
        </w:tc>
        <w:tc>
          <w:tcPr>
            <w:tcW w:w="4731" w:type="dxa"/>
            <w:tcMar/>
          </w:tcPr>
          <w:p w:rsidR="6626DFD1" w:rsidP="6626DFD1" w:rsidRDefault="6626DFD1" w14:paraId="0FB48598" w14:textId="2CBCC76B">
            <w:r w:rsidR="069C605D">
              <w:rPr/>
              <w:t>The Acorns school has employed a school counsellor on Mondays who is available to all pupils to support with any concerns they may have.</w:t>
            </w:r>
          </w:p>
        </w:tc>
        <w:tc>
          <w:tcPr>
            <w:tcW w:w="1185" w:type="dxa"/>
            <w:tcMar/>
          </w:tcPr>
          <w:p w:rsidR="515CAE77" w:rsidP="5593C388" w:rsidRDefault="515CAE77" w14:paraId="0B4BDBB2" w14:textId="41090106">
            <w:pPr>
              <w:rPr>
                <w:b w:val="1"/>
                <w:bCs w:val="1"/>
                <w:color w:val="auto"/>
              </w:rPr>
            </w:pPr>
            <w:r w:rsidRPr="5593C388" w:rsidR="1F7F82B6">
              <w:rPr>
                <w:b w:val="1"/>
                <w:bCs w:val="1"/>
                <w:color w:val="auto"/>
              </w:rPr>
              <w:t>£6</w:t>
            </w:r>
            <w:r w:rsidRPr="5593C388" w:rsidR="5D9E6205">
              <w:rPr>
                <w:b w:val="1"/>
                <w:bCs w:val="1"/>
                <w:color w:val="auto"/>
              </w:rPr>
              <w:t>,</w:t>
            </w:r>
            <w:r w:rsidRPr="5593C388" w:rsidR="1F7F82B6">
              <w:rPr>
                <w:b w:val="1"/>
                <w:bCs w:val="1"/>
                <w:color w:val="auto"/>
              </w:rPr>
              <w:t>250</w:t>
            </w:r>
          </w:p>
        </w:tc>
        <w:tc>
          <w:tcPr>
            <w:tcW w:w="1194" w:type="dxa"/>
            <w:tcMar/>
          </w:tcPr>
          <w:p w:rsidR="6626DFD1" w:rsidP="6626DFD1" w:rsidRDefault="6626DFD1" w14:paraId="06A30B61" w14:textId="57EA2993">
            <w:r w:rsidR="418FDF66">
              <w:rPr/>
              <w:t>4</w:t>
            </w:r>
          </w:p>
        </w:tc>
      </w:tr>
      <w:tr w:rsidR="6626DFD1" w:rsidTr="5593C388" w14:paraId="5EE32F3B" w14:textId="77777777">
        <w:trPr>
          <w:trHeight w:val="300"/>
        </w:trPr>
        <w:tc>
          <w:tcPr>
            <w:tcW w:w="1905" w:type="dxa"/>
            <w:tcMar/>
          </w:tcPr>
          <w:p w:rsidR="00B7072C" w:rsidP="6626DFD1" w:rsidRDefault="00B7072C" w14:paraId="4D94AF13" w14:textId="6A02F544">
            <w:r>
              <w:t>Careers advice/support</w:t>
            </w:r>
          </w:p>
        </w:tc>
        <w:tc>
          <w:tcPr>
            <w:tcW w:w="4731" w:type="dxa"/>
            <w:tcMar/>
          </w:tcPr>
          <w:p w:rsidR="0C32F4C4" w:rsidP="6626DFD1" w:rsidRDefault="0C32F4C4" w14:paraId="14BC0668" w14:textId="3F0D5BD5">
            <w:r w:rsidR="6D30EBBA">
              <w:rPr/>
              <w:t xml:space="preserve"> </w:t>
            </w:r>
            <w:r w:rsidR="195C17F9">
              <w:rPr/>
              <w:t>Target</w:t>
            </w:r>
            <w:r w:rsidR="0479CE28">
              <w:rPr/>
              <w:t>ed</w:t>
            </w:r>
            <w:r w:rsidR="195C17F9">
              <w:rPr/>
              <w:t xml:space="preserve"> careers advice and support for all pupils but focusing on Holly high support pupils as a priority to ensure those pupils </w:t>
            </w:r>
            <w:r w:rsidR="406DF5CF">
              <w:rPr/>
              <w:t>are EET.</w:t>
            </w:r>
          </w:p>
        </w:tc>
        <w:tc>
          <w:tcPr>
            <w:tcW w:w="1185" w:type="dxa"/>
            <w:tcMar/>
          </w:tcPr>
          <w:p w:rsidR="26FFC5C4" w:rsidP="5593C388" w:rsidRDefault="26FFC5C4" w14:paraId="12443FDC" w14:textId="4B224A0A">
            <w:pPr>
              <w:spacing w:line="259" w:lineRule="auto"/>
              <w:rPr>
                <w:b w:val="1"/>
                <w:bCs w:val="1"/>
                <w:color w:val="FF0000"/>
              </w:rPr>
            </w:pPr>
            <w:r w:rsidRPr="5593C388" w:rsidR="54956FA5">
              <w:rPr>
                <w:b w:val="1"/>
                <w:bCs w:val="1"/>
                <w:color w:val="FF0000"/>
              </w:rPr>
              <w:t xml:space="preserve"> </w:t>
            </w:r>
            <w:r w:rsidRPr="5593C388" w:rsidR="54956FA5">
              <w:rPr>
                <w:b w:val="1"/>
                <w:bCs w:val="1"/>
                <w:color w:val="auto"/>
              </w:rPr>
              <w:t>£500</w:t>
            </w:r>
          </w:p>
        </w:tc>
        <w:tc>
          <w:tcPr>
            <w:tcW w:w="1194" w:type="dxa"/>
            <w:tcMar/>
          </w:tcPr>
          <w:p w:rsidR="6626DFD1" w:rsidP="6626DFD1" w:rsidRDefault="6626DFD1" w14:paraId="73736662" w14:textId="21818CA4">
            <w:r w:rsidR="45CC6B49">
              <w:rPr/>
              <w:t>5</w:t>
            </w:r>
          </w:p>
        </w:tc>
      </w:tr>
      <w:tr w:rsidR="00BD2894" w:rsidTr="5593C388" w14:paraId="49E398E2" w14:textId="77777777">
        <w:trPr>
          <w:trHeight w:val="300"/>
        </w:trPr>
        <w:tc>
          <w:tcPr>
            <w:tcW w:w="1905" w:type="dxa"/>
            <w:tcMar/>
          </w:tcPr>
          <w:p w:rsidR="00BD2894" w:rsidRDefault="1B3DD3F9" w14:paraId="16287F21" w14:textId="2FA3AF2D">
            <w:r>
              <w:t>Total</w:t>
            </w:r>
          </w:p>
        </w:tc>
        <w:tc>
          <w:tcPr>
            <w:tcW w:w="4731" w:type="dxa"/>
            <w:tcMar/>
          </w:tcPr>
          <w:p w:rsidR="00BD2894" w:rsidRDefault="00BD2894" w14:paraId="5BE93A62" w14:textId="77777777"/>
        </w:tc>
        <w:tc>
          <w:tcPr>
            <w:tcW w:w="1185" w:type="dxa"/>
            <w:tcMar/>
          </w:tcPr>
          <w:p w:rsidR="51C5ED7B" w:rsidP="5593C388" w:rsidRDefault="51C5ED7B" w14:paraId="09D1B04B" w14:textId="5734C962">
            <w:pPr>
              <w:rPr>
                <w:b w:val="1"/>
                <w:bCs w:val="1"/>
              </w:rPr>
            </w:pPr>
            <w:r w:rsidRPr="5593C388" w:rsidR="2C62DC71">
              <w:rPr>
                <w:b w:val="1"/>
                <w:bCs w:val="1"/>
              </w:rPr>
              <w:t>£</w:t>
            </w:r>
            <w:r w:rsidRPr="5593C388" w:rsidR="3887BDA0">
              <w:rPr>
                <w:b w:val="1"/>
                <w:bCs w:val="1"/>
              </w:rPr>
              <w:t>171</w:t>
            </w:r>
            <w:r w:rsidRPr="5593C388" w:rsidR="02DC5E49">
              <w:rPr>
                <w:b w:val="1"/>
                <w:bCs w:val="1"/>
              </w:rPr>
              <w:t>,</w:t>
            </w:r>
            <w:r w:rsidRPr="5593C388" w:rsidR="3887BDA0">
              <w:rPr>
                <w:b w:val="1"/>
                <w:bCs w:val="1"/>
              </w:rPr>
              <w:t>630</w:t>
            </w:r>
          </w:p>
        </w:tc>
        <w:tc>
          <w:tcPr>
            <w:tcW w:w="1194" w:type="dxa"/>
            <w:tcMar/>
          </w:tcPr>
          <w:p w:rsidR="00BD2894" w:rsidRDefault="00BD2894" w14:paraId="384BA73E" w14:textId="5CE66BBA"/>
        </w:tc>
      </w:tr>
    </w:tbl>
    <w:p w:rsidR="5593C388" w:rsidP="5593C388" w:rsidRDefault="5593C388" w14:paraId="1CEAA356" w14:textId="74E92FC7">
      <w:pPr>
        <w:pStyle w:val="Normal"/>
      </w:pPr>
    </w:p>
    <w:p w:rsidR="00BD2894" w:rsidP="5593C388" w:rsidRDefault="7971F238" w14:paraId="23FDCE88" w14:textId="44C1E927">
      <w:pPr>
        <w:pStyle w:val="Normal"/>
      </w:pPr>
      <w:r w:rsidR="49805196">
        <w:rPr/>
        <w:t>Funding =</w:t>
      </w:r>
      <w:r w:rsidR="617E183B">
        <w:rPr/>
        <w:t xml:space="preserve"> </w:t>
      </w:r>
      <w:r w:rsidRPr="5593C388" w:rsidR="617E183B">
        <w:rPr>
          <w:b w:val="1"/>
          <w:bCs w:val="1"/>
        </w:rPr>
        <w:t>£46,410</w:t>
      </w:r>
    </w:p>
    <w:p w:rsidR="00BD2894" w:rsidP="5593C388" w:rsidRDefault="7971F238" w14:paraId="2B2D4AE1" w14:textId="59F24975">
      <w:pPr>
        <w:pStyle w:val="Normal"/>
        <w:spacing w:before="0" w:beforeAutospacing="off" w:after="0" w:afterAutospacing="off" w:line="259" w:lineRule="auto"/>
        <w:ind w:left="0" w:right="0"/>
        <w:jc w:val="left"/>
        <w:rPr>
          <w:b w:val="1"/>
          <w:bCs w:val="1"/>
        </w:rPr>
      </w:pPr>
      <w:r w:rsidR="49805196">
        <w:rPr/>
        <w:t xml:space="preserve">Budgeted Cost </w:t>
      </w:r>
      <w:r w:rsidR="2C50048F">
        <w:rPr/>
        <w:t xml:space="preserve">  </w:t>
      </w:r>
      <w:r w:rsidR="6CAFFDC4">
        <w:rPr/>
        <w:t>1</w:t>
      </w:r>
      <w:r w:rsidR="366E2D6E">
        <w:rPr/>
        <w:t xml:space="preserve"> </w:t>
      </w:r>
      <w:r w:rsidR="25E74E6A">
        <w:rPr/>
        <w:t>=</w:t>
      </w:r>
      <w:r w:rsidR="576769D4">
        <w:rPr/>
        <w:t>High</w:t>
      </w:r>
      <w:r w:rsidR="576769D4">
        <w:rPr/>
        <w:t xml:space="preserve"> Quality Teaching </w:t>
      </w:r>
      <w:r w:rsidRPr="5593C388" w:rsidR="3B86D92D">
        <w:rPr>
          <w:b w:val="1"/>
          <w:bCs w:val="1"/>
        </w:rPr>
        <w:t>£153,200</w:t>
      </w:r>
    </w:p>
    <w:p w:rsidR="795F0CA4" w:rsidP="5593C388" w:rsidRDefault="795F0CA4" w14:paraId="7E0A49F7" w14:textId="574882C8">
      <w:pPr>
        <w:pStyle w:val="Normal"/>
        <w:rPr>
          <w:b w:val="1"/>
          <w:bCs w:val="1"/>
        </w:rPr>
      </w:pPr>
      <w:r w:rsidR="795F0CA4">
        <w:rPr/>
        <w:t xml:space="preserve">                             2 = Targeted academic support </w:t>
      </w:r>
      <w:r w:rsidRPr="5593C388" w:rsidR="31B33B63">
        <w:rPr>
          <w:b w:val="1"/>
          <w:bCs w:val="1"/>
        </w:rPr>
        <w:t>£398,735</w:t>
      </w:r>
    </w:p>
    <w:p w:rsidR="795F0CA4" w:rsidP="5593C388" w:rsidRDefault="795F0CA4" w14:paraId="576A9BB6" w14:textId="025207B9">
      <w:pPr>
        <w:pStyle w:val="Normal"/>
      </w:pPr>
      <w:r w:rsidR="795F0CA4">
        <w:rPr/>
        <w:t xml:space="preserve">                             3 = Wider </w:t>
      </w:r>
      <w:r w:rsidR="795F0CA4">
        <w:rPr/>
        <w:t>strategies</w:t>
      </w:r>
      <w:r w:rsidR="795F0CA4">
        <w:rPr/>
        <w:t xml:space="preserve"> </w:t>
      </w:r>
      <w:r w:rsidRPr="5593C388" w:rsidR="795F0CA4">
        <w:rPr>
          <w:b w:val="1"/>
          <w:bCs w:val="1"/>
        </w:rPr>
        <w:t>£</w:t>
      </w:r>
      <w:r w:rsidRPr="5593C388" w:rsidR="2E2E37D3">
        <w:rPr>
          <w:b w:val="1"/>
          <w:bCs w:val="1"/>
        </w:rPr>
        <w:t>171,630</w:t>
      </w:r>
    </w:p>
    <w:p w:rsidR="795F0CA4" w:rsidP="5593C388" w:rsidRDefault="795F0CA4" w14:paraId="6F53169E" w14:textId="64C1B44D">
      <w:pPr>
        <w:pStyle w:val="Normal"/>
        <w:rPr>
          <w:b w:val="1"/>
          <w:bCs w:val="1"/>
        </w:rPr>
      </w:pPr>
      <w:r w:rsidR="795F0CA4">
        <w:rPr/>
        <w:t xml:space="preserve">                             </w:t>
      </w:r>
      <w:r w:rsidRPr="5593C388" w:rsidR="795F0CA4">
        <w:rPr>
          <w:b w:val="1"/>
          <w:bCs w:val="1"/>
        </w:rPr>
        <w:t xml:space="preserve"> 1,2,3 Total £</w:t>
      </w:r>
      <w:r w:rsidRPr="5593C388" w:rsidR="2AFF29E7">
        <w:rPr>
          <w:b w:val="1"/>
          <w:bCs w:val="1"/>
        </w:rPr>
        <w:t>723,565</w:t>
      </w:r>
    </w:p>
    <w:p w:rsidR="00BD2894" w:rsidP="5593C388" w:rsidRDefault="7971F238" w14:paraId="7D34F5C7" w14:textId="4FF827CA">
      <w:pPr>
        <w:rPr>
          <w:b w:val="1"/>
          <w:bCs w:val="1"/>
        </w:rPr>
      </w:pPr>
      <w:r w:rsidR="49805196">
        <w:rPr/>
        <w:t>Overspend =</w:t>
      </w:r>
      <w:r w:rsidR="03BE284A">
        <w:rPr/>
        <w:t xml:space="preserve"> </w:t>
      </w:r>
      <w:r w:rsidRPr="5593C388" w:rsidR="50AC52D9">
        <w:rPr>
          <w:b w:val="1"/>
          <w:bCs w:val="1"/>
        </w:rPr>
        <w:t>£</w:t>
      </w:r>
      <w:r w:rsidRPr="5593C388" w:rsidR="0942F4AD">
        <w:rPr>
          <w:b w:val="1"/>
          <w:bCs w:val="1"/>
        </w:rPr>
        <w:t>677,155</w:t>
      </w:r>
    </w:p>
    <w:p w:rsidR="5593C388" w:rsidP="5593C388" w:rsidRDefault="5593C388" w14:paraId="11E538E3" w14:textId="7C6CAEEC">
      <w:pPr>
        <w:pStyle w:val="Normal"/>
        <w:rPr>
          <w:b w:val="1"/>
          <w:bCs w:val="1"/>
        </w:rPr>
      </w:pPr>
    </w:p>
    <w:p w:rsidR="6626DFD1" w:rsidP="6626DFD1" w:rsidRDefault="6626DFD1" w14:paraId="1A6C934B" w14:textId="2B14FE16"/>
    <w:p w:rsidR="5593C388" w:rsidP="5593C388" w:rsidRDefault="5593C388" w14:paraId="46F3FCDA" w14:textId="69321084">
      <w:pPr>
        <w:pStyle w:val="Normal"/>
      </w:pPr>
    </w:p>
    <w:p w:rsidR="00BD2894" w:rsidRDefault="6626DFD1" w14:paraId="58683FCB" w14:textId="77777777">
      <w:r w:rsidRPr="6626DFD1">
        <w:rPr>
          <w:b/>
          <w:bCs/>
        </w:rPr>
        <w:t>Pupil premium strategy outcomes</w:t>
      </w:r>
    </w:p>
    <w:p w:rsidR="00BD2894" w:rsidRDefault="00BA2BF6" w14:paraId="5FD7B432" w14:textId="77777777">
      <w:r>
        <w:t>This details the impact that our pupil premium activity had on pupils in the 2021-2022 academic year.</w:t>
      </w:r>
    </w:p>
    <w:tbl>
      <w:tblPr>
        <w:tblStyle w:val="TableGrid"/>
        <w:tblW w:w="0" w:type="auto"/>
        <w:tblLook w:val="04A0" w:firstRow="1" w:lastRow="0" w:firstColumn="1" w:lastColumn="0" w:noHBand="0" w:noVBand="1"/>
      </w:tblPr>
      <w:tblGrid>
        <w:gridCol w:w="9016"/>
      </w:tblGrid>
      <w:tr w:rsidR="00BD2894" w:rsidTr="5593C388" w14:paraId="54E1FC8A" w14:textId="77777777">
        <w:tc>
          <w:tcPr>
            <w:tcW w:w="9016" w:type="dxa"/>
            <w:tcMar/>
          </w:tcPr>
          <w:p w:rsidR="00BD2894" w:rsidP="5593C388" w:rsidRDefault="31389030" w14:paraId="2FA07B8C" w14:textId="16FE3D3F">
            <w:pPr>
              <w:rPr>
                <w:b w:val="1"/>
                <w:bCs w:val="1"/>
              </w:rPr>
            </w:pPr>
            <w:r w:rsidRPr="5593C388" w:rsidR="427960D5">
              <w:rPr>
                <w:b w:val="1"/>
                <w:bCs w:val="1"/>
              </w:rPr>
              <w:t>Impact of 2021</w:t>
            </w:r>
            <w:r w:rsidRPr="5593C388" w:rsidR="70C0A0AD">
              <w:rPr>
                <w:b w:val="1"/>
                <w:bCs w:val="1"/>
              </w:rPr>
              <w:t xml:space="preserve"> - 20</w:t>
            </w:r>
            <w:r w:rsidRPr="5593C388" w:rsidR="427960D5">
              <w:rPr>
                <w:b w:val="1"/>
                <w:bCs w:val="1"/>
              </w:rPr>
              <w:t>22 Pupil Premium Strategy</w:t>
            </w:r>
          </w:p>
          <w:p w:rsidR="31389030" w:rsidP="31389030" w:rsidRDefault="31389030" w14:paraId="53D2FCCF" w14:textId="09C3BECF"/>
          <w:p w:rsidR="625A961C" w:rsidP="5593C388" w:rsidRDefault="7082C855" w14:paraId="4D47A289" w14:textId="2613DF2D">
            <w:pPr>
              <w:rPr>
                <w:highlight w:val="lightGray"/>
              </w:rPr>
            </w:pPr>
            <w:r w:rsidRPr="5593C388" w:rsidR="78F8D5FE">
              <w:rPr>
                <w:highlight w:val="lightGray"/>
              </w:rPr>
              <w:t>Actual Funding £35,910</w:t>
            </w:r>
            <w:r w:rsidR="78F8D5FE">
              <w:rPr/>
              <w:t xml:space="preserve"> </w:t>
            </w:r>
          </w:p>
          <w:p w:rsidR="625A961C" w:rsidP="5593C388" w:rsidRDefault="7082C855" w14:paraId="553A4AEC" w14:textId="20FF2F6A">
            <w:pPr>
              <w:rPr>
                <w:highlight w:val="lightGray"/>
              </w:rPr>
            </w:pPr>
            <w:r w:rsidRPr="5593C388" w:rsidR="78F8D5FE">
              <w:rPr>
                <w:highlight w:val="lightGray"/>
              </w:rPr>
              <w:t xml:space="preserve">Actual </w:t>
            </w:r>
            <w:r w:rsidRPr="5593C388" w:rsidR="0E2EE760">
              <w:rPr>
                <w:highlight w:val="lightGray"/>
              </w:rPr>
              <w:t xml:space="preserve">Cost </w:t>
            </w:r>
            <w:r w:rsidRPr="5593C388" w:rsidR="2203CBCE">
              <w:rPr>
                <w:highlight w:val="lightGray"/>
              </w:rPr>
              <w:t xml:space="preserve">     </w:t>
            </w:r>
            <w:r w:rsidRPr="5593C388" w:rsidR="0E2EE760">
              <w:rPr>
                <w:highlight w:val="lightGray"/>
              </w:rPr>
              <w:t>£138,425</w:t>
            </w:r>
          </w:p>
          <w:p w:rsidR="625A961C" w:rsidP="5593C388" w:rsidRDefault="1DC23D1A" w14:paraId="27EB81D8" w14:textId="0BEF413E">
            <w:pPr>
              <w:rPr>
                <w:highlight w:val="lightGray"/>
              </w:rPr>
            </w:pPr>
            <w:r w:rsidRPr="5593C388" w:rsidR="0E2EE760">
              <w:rPr>
                <w:highlight w:val="lightGray"/>
              </w:rPr>
              <w:t xml:space="preserve">Overspend </w:t>
            </w:r>
            <w:r w:rsidRPr="5593C388" w:rsidR="72894DEC">
              <w:rPr>
                <w:highlight w:val="lightGray"/>
              </w:rPr>
              <w:t xml:space="preserve">     </w:t>
            </w:r>
            <w:r w:rsidRPr="5593C388" w:rsidR="0E2EE760">
              <w:rPr>
                <w:highlight w:val="lightGray"/>
              </w:rPr>
              <w:t>£102,515</w:t>
            </w:r>
          </w:p>
          <w:p w:rsidR="31389030" w:rsidP="31389030" w:rsidRDefault="31389030" w14:paraId="10B4114D" w14:textId="2EE83913"/>
          <w:p w:rsidR="10F2D543" w:rsidP="5593C388" w:rsidRDefault="10F2D543" w14:paraId="441138A4" w14:textId="4F3DF853">
            <w:pPr>
              <w:pStyle w:val="ListParagraph"/>
              <w:numPr>
                <w:ilvl w:val="0"/>
                <w:numId w:val="6"/>
              </w:numPr>
              <w:rPr>
                <w:b w:val="1"/>
                <w:bCs w:val="1"/>
              </w:rPr>
            </w:pPr>
            <w:r w:rsidRPr="5593C388" w:rsidR="7DF15180">
              <w:rPr>
                <w:b w:val="1"/>
                <w:bCs w:val="1"/>
              </w:rPr>
              <w:t>Attendance</w:t>
            </w:r>
            <w:r w:rsidRPr="5593C388" w:rsidR="5308ABA4">
              <w:rPr>
                <w:b w:val="1"/>
                <w:bCs w:val="1"/>
              </w:rPr>
              <w:t>.</w:t>
            </w:r>
            <w:r w:rsidRPr="5593C388" w:rsidR="18726579">
              <w:rPr>
                <w:b w:val="1"/>
                <w:bCs w:val="1"/>
              </w:rPr>
              <w:t xml:space="preserve"> </w:t>
            </w:r>
          </w:p>
          <w:p w:rsidR="10F2D543" w:rsidP="5593C388" w:rsidRDefault="10F2D543" w14:paraId="30D085F2" w14:textId="59398E44">
            <w:pPr>
              <w:pStyle w:val="Normal"/>
              <w:ind w:left="0"/>
            </w:pPr>
            <w:r w:rsidR="099FE180">
              <w:rPr/>
              <w:t>T</w:t>
            </w:r>
            <w:r w:rsidR="420F48B6">
              <w:rPr/>
              <w:t>ransport provision</w:t>
            </w:r>
          </w:p>
          <w:p w:rsidR="650E7E6A" w:rsidP="31389030" w:rsidRDefault="42364FF5" w14:paraId="60C62D37" w14:textId="4813632C">
            <w:r>
              <w:t>Pupils who attend The Acorns</w:t>
            </w:r>
            <w:r w:rsidR="73C361D7">
              <w:t xml:space="preserve"> are given transport provision proving they are not under 3 miles away from school, this helps to improve attendance rates and encourages pupils to attend. Attendance is concern nationally, par</w:t>
            </w:r>
            <w:r w:rsidR="64DF3B2D">
              <w:t xml:space="preserve">ticularly in Alternative Provision and is often the main factor in disadvantaged and “hard to reach pupils” making </w:t>
            </w:r>
            <w:r w:rsidR="54998B37">
              <w:t>substantial progress</w:t>
            </w:r>
            <w:r w:rsidR="64DF3B2D">
              <w:t xml:space="preserve">. </w:t>
            </w:r>
            <w:r w:rsidR="6DB64C58">
              <w:t>The Acorns provides free breakfast for all pupils to enable pupils to start the school day in a positive frame of mind, be focused and ready to learn.</w:t>
            </w:r>
          </w:p>
          <w:p w:rsidR="11560E8E" w:rsidP="31389030" w:rsidRDefault="5A7155E9" w14:paraId="4C691999" w14:textId="415547E4">
            <w:r w:rsidR="4DAC47CA">
              <w:rPr/>
              <w:t xml:space="preserve">The impact of </w:t>
            </w:r>
            <w:r w:rsidR="4DAC47CA">
              <w:rPr/>
              <w:t>provi</w:t>
            </w:r>
            <w:r w:rsidR="5EFC76E7">
              <w:rPr/>
              <w:t>d</w:t>
            </w:r>
            <w:r w:rsidR="4DAC47CA">
              <w:rPr/>
              <w:t>ing</w:t>
            </w:r>
            <w:r w:rsidR="4DAC47CA">
              <w:rPr/>
              <w:t xml:space="preserve"> transport and breakfast has me</w:t>
            </w:r>
            <w:r w:rsidR="7217949A">
              <w:rPr/>
              <w:t xml:space="preserve">ant </w:t>
            </w:r>
            <w:r w:rsidR="3B8A7223">
              <w:rPr/>
              <w:t xml:space="preserve">that attendance </w:t>
            </w:r>
            <w:r w:rsidR="3B8A7223">
              <w:rPr/>
              <w:t>remains</w:t>
            </w:r>
            <w:r w:rsidR="3B8A7223">
              <w:rPr/>
              <w:t xml:space="preserve"> a priority</w:t>
            </w:r>
            <w:r w:rsidR="7A827A1F">
              <w:rPr/>
              <w:t xml:space="preserve"> </w:t>
            </w:r>
            <w:r w:rsidR="34111A6A">
              <w:rPr/>
              <w:t>for us as a School and</w:t>
            </w:r>
            <w:r w:rsidR="7A827A1F">
              <w:rPr/>
              <w:t xml:space="preserve"> both pupils and parents would understand that.</w:t>
            </w:r>
          </w:p>
          <w:p w:rsidR="5593C388" w:rsidP="5593C388" w:rsidRDefault="5593C388" w14:paraId="7B74E18F" w14:textId="01DAEE06">
            <w:pPr>
              <w:pStyle w:val="Normal"/>
            </w:pPr>
          </w:p>
          <w:p w:rsidR="5A240A4F" w:rsidP="5593C388" w:rsidRDefault="5A240A4F" w14:paraId="67C73455" w14:textId="0011EC18">
            <w:pPr>
              <w:pStyle w:val="Normal"/>
              <w:rPr>
                <w:u w:val="single"/>
              </w:rPr>
            </w:pPr>
            <w:r w:rsidRPr="5593C388" w:rsidR="5A240A4F">
              <w:rPr>
                <w:u w:val="single"/>
              </w:rPr>
              <w:t xml:space="preserve">Attendance </w:t>
            </w:r>
            <w:r w:rsidRPr="5593C388" w:rsidR="643D89E6">
              <w:rPr>
                <w:u w:val="single"/>
              </w:rPr>
              <w:t>Figures from 2021-2022</w:t>
            </w:r>
          </w:p>
          <w:p w:rsidR="48A089B8" w:rsidP="5593C388" w:rsidRDefault="48A089B8" w14:paraId="01A00CC0" w14:textId="7807F797">
            <w:pPr>
              <w:pStyle w:val="ListParagraph"/>
              <w:numPr>
                <w:ilvl w:val="0"/>
                <w:numId w:val="6"/>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Whole school pupil attendance 1</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st</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Sept 2021 - 19</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th</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July 2022- 37.2% </w:t>
            </w:r>
          </w:p>
          <w:p w:rsidR="48A089B8" w:rsidP="5593C388" w:rsidRDefault="48A089B8" w14:paraId="0093147D" w14:textId="548B0DAF">
            <w:pPr>
              <w:pStyle w:val="ListParagraph"/>
              <w:numPr>
                <w:ilvl w:val="0"/>
                <w:numId w:val="6"/>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Whole school non-PP attendance 1</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st</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Sept 2021 - 19</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th</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July 2022-37.01%</w:t>
            </w:r>
          </w:p>
          <w:p w:rsidR="48A089B8" w:rsidP="5593C388" w:rsidRDefault="48A089B8" w14:paraId="67566F23" w14:textId="0962A727">
            <w:pPr>
              <w:pStyle w:val="ListParagraph"/>
              <w:numPr>
                <w:ilvl w:val="0"/>
                <w:numId w:val="6"/>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Whole school Pupil Premium pupil attendance 1</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st</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Sept 2021 - 19</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th</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July 2022-26.46%</w:t>
            </w:r>
          </w:p>
          <w:p w:rsidR="48A089B8" w:rsidP="5593C388" w:rsidRDefault="48A089B8" w14:paraId="490AEFA1" w14:textId="59989403">
            <w:pPr>
              <w:pStyle w:val="ListParagraph"/>
              <w:numPr>
                <w:ilvl w:val="0"/>
                <w:numId w:val="6"/>
              </w:numPr>
              <w:rPr>
                <w:rFonts w:ascii="Calibri" w:hAnsi="Calibri" w:eastAsia="Calibri" w:cs="Calibri"/>
                <w:b w:val="0"/>
                <w:bCs w:val="0"/>
                <w:i w:val="0"/>
                <w:iCs w:val="0"/>
                <w:caps w:val="0"/>
                <w:smallCaps w:val="0"/>
                <w:noProof w:val="0"/>
                <w:color w:val="000000" w:themeColor="text1" w:themeTint="FF" w:themeShade="FF"/>
                <w:sz w:val="24"/>
                <w:szCs w:val="24"/>
                <w:lang w:val="en-GB"/>
              </w:rPr>
            </w:pP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Whole school LAC pupil attendance 1</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st</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Sept 2021 - 19</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vertAlign w:val="superscript"/>
                <w:lang w:val="en-GB"/>
              </w:rPr>
              <w:t>th</w:t>
            </w:r>
            <w:r w:rsidRPr="5593C388" w:rsidR="48A089B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July 2022-22.4%</w:t>
            </w:r>
          </w:p>
          <w:p w:rsidR="6CEAF0F2" w:rsidP="5593C388" w:rsidRDefault="6CEAF0F2" w14:paraId="165A1732" w14:textId="3782F910">
            <w:pPr>
              <w:pStyle w:val="Normal"/>
            </w:pPr>
            <w:r w:rsidR="6CEAF0F2">
              <w:rPr/>
              <w:t>As pupil premium pupil attendance remains significantly lower than that of their peers</w:t>
            </w:r>
            <w:r w:rsidR="42C7900B">
              <w:rPr/>
              <w:t>,</w:t>
            </w:r>
            <w:r w:rsidR="6CEAF0F2">
              <w:rPr/>
              <w:t xml:space="preserve"> attendance remains </w:t>
            </w:r>
            <w:r w:rsidR="6C88CEB0">
              <w:rPr/>
              <w:t>our</w:t>
            </w:r>
            <w:r w:rsidR="6CEAF0F2">
              <w:rPr/>
              <w:t xml:space="preserve"> </w:t>
            </w:r>
            <w:r w:rsidR="2E335634">
              <w:rPr/>
              <w:t>high</w:t>
            </w:r>
            <w:r w:rsidR="0674AFC8">
              <w:rPr/>
              <w:t>est</w:t>
            </w:r>
            <w:r w:rsidR="2E335634">
              <w:rPr/>
              <w:t xml:space="preserve"> </w:t>
            </w:r>
            <w:r w:rsidR="6CEAF0F2">
              <w:rPr/>
              <w:t>priority.</w:t>
            </w:r>
          </w:p>
          <w:p w:rsidR="5593C388" w:rsidP="5593C388" w:rsidRDefault="5593C388" w14:paraId="0ADE468C" w14:textId="6BE31A86">
            <w:pPr>
              <w:pStyle w:val="Normal"/>
            </w:pPr>
          </w:p>
          <w:p w:rsidR="39D15946" w:rsidP="5593C388" w:rsidRDefault="39D15946" w14:paraId="63F6791B" w14:textId="2DF13046">
            <w:pPr>
              <w:pStyle w:val="ListParagraph"/>
              <w:numPr>
                <w:ilvl w:val="0"/>
                <w:numId w:val="4"/>
              </w:numPr>
              <w:rPr>
                <w:b w:val="1"/>
                <w:bCs w:val="1"/>
              </w:rPr>
            </w:pPr>
            <w:r w:rsidRPr="5593C388" w:rsidR="39D15946">
              <w:rPr>
                <w:b w:val="1"/>
                <w:bCs w:val="1"/>
              </w:rPr>
              <w:t>Attainment/</w:t>
            </w:r>
            <w:r w:rsidRPr="5593C388" w:rsidR="0C401C18">
              <w:rPr>
                <w:b w:val="1"/>
                <w:bCs w:val="1"/>
              </w:rPr>
              <w:t>Literacy and Numeracy</w:t>
            </w:r>
            <w:r w:rsidRPr="5593C388" w:rsidR="68EEADB0">
              <w:rPr>
                <w:b w:val="1"/>
                <w:bCs w:val="1"/>
              </w:rPr>
              <w:t>.</w:t>
            </w:r>
          </w:p>
          <w:p w:rsidR="67B26AB0" w:rsidP="5593C388" w:rsidRDefault="67B26AB0" w14:paraId="6ABAD50C" w14:textId="202BA6F3">
            <w:pPr>
              <w:pStyle w:val="Normal"/>
              <w:ind w:left="0"/>
            </w:pPr>
            <w:r w:rsidR="67B26AB0">
              <w:rPr/>
              <w:t>Desired outcome was for PP pupils to achieve in line with non-PP pupils in English and Maths.</w:t>
            </w:r>
          </w:p>
          <w:p w:rsidR="0C401C18" w:rsidP="5593C388" w:rsidRDefault="0C401C18" w14:paraId="1BD3DEEB" w14:textId="10F8152A">
            <w:pPr>
              <w:pStyle w:val="Normal"/>
              <w:rPr>
                <w:b w:val="1"/>
                <w:bCs w:val="1"/>
                <w:u w:val="single"/>
              </w:rPr>
            </w:pPr>
            <w:r w:rsidRPr="5593C388" w:rsidR="0C401C18">
              <w:rPr>
                <w:b w:val="1"/>
                <w:bCs w:val="1"/>
                <w:u w:val="single"/>
              </w:rPr>
              <w:t>GCSE outcomes from 2021-2022</w:t>
            </w:r>
          </w:p>
          <w:p w:rsidR="495E56F8" w:rsidP="5593C388" w:rsidRDefault="495E56F8" w14:paraId="34F75742" w14:textId="03C9A66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30 pupil cohort % (pupil no’s) Analysis Evaluation</w:t>
            </w:r>
          </w:p>
          <w:p w:rsidR="495E56F8" w:rsidP="5593C388" w:rsidRDefault="495E56F8" w14:paraId="7E77E8F7" w14:textId="0D22F15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Whole school 5</w:t>
            </w:r>
            <w:r w:rsidRPr="5593C388" w:rsidR="17026C6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 </w:t>
            </w:r>
            <w:r w:rsidRPr="5593C388" w:rsidR="75C2E8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GCSEs</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 @ 9-1/Level 1 equivalent 33% (10)</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495E56F8" w:rsidP="5593C388" w:rsidRDefault="495E56F8" w14:paraId="2FA7C53F" w14:textId="1A395E11">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86/101 GCSE passes (85%) </w:t>
            </w:r>
          </w:p>
          <w:p w:rsidR="1D41AB4F" w:rsidP="5593C388" w:rsidRDefault="1D41AB4F" w14:paraId="7098223B" w14:textId="76E7408C">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1D41AB4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GCSEs</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@9-1/Level 1 equivalent: </w:t>
            </w:r>
          </w:p>
          <w:p w:rsidR="495E56F8" w:rsidP="5593C388" w:rsidRDefault="495E56F8" w14:paraId="1D93B6B6" w14:textId="00F9826D">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10/30 pupils gained 5+ GCSEs </w:t>
            </w:r>
          </w:p>
          <w:p w:rsidR="495E56F8" w:rsidP="5593C388" w:rsidRDefault="495E56F8" w14:paraId="7AEEBC17" w14:textId="70077FF1">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4/30 pupils gained 7+ GCSEs This reflects 11 exams where the pupil was entered but did not attend and 4 exams that were graded as U</w:t>
            </w:r>
          </w:p>
          <w:p w:rsidR="5593C388" w:rsidP="5593C388" w:rsidRDefault="5593C388" w14:paraId="31FCB160" w14:textId="4011AAC4">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495E56F8" w:rsidP="5593C388" w:rsidRDefault="495E56F8" w14:paraId="5CA51980" w14:textId="1E408DCF">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Whole school 5 </w:t>
            </w:r>
            <w:r w:rsidRPr="5593C388" w:rsidR="22DDC2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GCSEs</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 @ 9-4/Level 2 equivalent</w:t>
            </w:r>
            <w:r w:rsidRPr="5593C388" w:rsidR="2B66FF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w:t>
            </w:r>
          </w:p>
          <w:p w:rsidR="495E56F8" w:rsidP="5593C388" w:rsidRDefault="495E56F8" w14:paraId="51D811EF" w14:textId="28E72F5D">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10% (3) · 23/86 GCSE passes above grade 4 (27%) · </w:t>
            </w:r>
          </w:p>
          <w:p w:rsidR="495E56F8" w:rsidP="5593C388" w:rsidRDefault="495E56F8" w14:paraId="563472B2" w14:textId="28672CCA">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23% (7) pupils gained at least 1 pass at 4+ · </w:t>
            </w:r>
          </w:p>
          <w:p w:rsidR="495E56F8" w:rsidP="5593C388" w:rsidRDefault="495E56F8" w14:paraId="032A44EE" w14:textId="1AE4E251">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17% (5) pupils gained at least 1 pass at 5+</w:t>
            </w:r>
          </w:p>
          <w:p w:rsidR="5593C388" w:rsidP="5593C388" w:rsidRDefault="5593C388" w14:paraId="226526D0" w14:textId="024F14C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495E56F8" w:rsidP="5593C388" w:rsidRDefault="495E56F8" w14:paraId="3262722C" w14:textId="4583925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Level 1 Vocational</w:t>
            </w:r>
            <w:r w:rsidRPr="5593C388" w:rsidR="66DFB5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 </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(VRQ) Industry</w:t>
            </w:r>
            <w:r w:rsidRPr="5593C388" w:rsidR="5B9EFAF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 </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standard</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495E56F8" w:rsidP="5593C388" w:rsidRDefault="495E56F8" w14:paraId="37BF7AF0" w14:textId="56845350">
            <w:pPr>
              <w:pStyle w:val="ListParagraph"/>
              <w:numPr>
                <w:ilvl w:val="0"/>
                <w:numId w:val="11"/>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27% (8) · 8 awards from AP </w:t>
            </w:r>
          </w:p>
          <w:p w:rsidR="5593C388" w:rsidP="5593C388" w:rsidRDefault="5593C388" w14:paraId="0725E7E6" w14:textId="7B245F96">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495E56F8" w:rsidP="5593C388" w:rsidRDefault="495E56F8" w14:paraId="0AF5B742" w14:textId="12B684D9">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Disadvantaged group 37% (11)</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495E56F8" w:rsidP="5593C388" w:rsidRDefault="495E56F8" w14:paraId="576A5132" w14:textId="2F5C7EE7">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27% (3) gained 5 GCSE @ 9-1 /level 1 equivalent </w:t>
            </w:r>
          </w:p>
          <w:p w:rsidR="495E56F8" w:rsidP="5593C388" w:rsidRDefault="495E56F8" w14:paraId="4693EEA7" w14:textId="5336A8AC">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18% (2) gained 6+ GCSE @9-1/level 1 equivalent </w:t>
            </w:r>
          </w:p>
          <w:p w:rsidR="495E56F8" w:rsidP="5593C388" w:rsidRDefault="495E56F8" w14:paraId="0515CEFF" w14:textId="2F4E926F">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9% (1) gained at least 1 GCSE 9-4 </w:t>
            </w:r>
          </w:p>
          <w:p w:rsidR="495E56F8" w:rsidP="5593C388" w:rsidRDefault="495E56F8" w14:paraId="6ADBB084" w14:textId="78D034A9">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82% (9) at least 1 qualification including English (*inclusive of W pupils) </w:t>
            </w:r>
          </w:p>
          <w:p w:rsidR="495E56F8" w:rsidP="5593C388" w:rsidRDefault="495E56F8" w14:paraId="7E4668F8" w14:textId="384C07D5">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64% (7) gained a maths qualification (*inclusive of W pupils) </w:t>
            </w:r>
          </w:p>
          <w:p w:rsidR="495E56F8" w:rsidP="5593C388" w:rsidRDefault="495E56F8" w14:paraId="1DDAC316" w14:textId="2C88DE6B">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100% (2) of those enrolled on a vocational course gained at least 1 vocational qualification</w:t>
            </w:r>
          </w:p>
          <w:p w:rsidR="5593C388" w:rsidP="5593C388" w:rsidRDefault="5593C388" w14:paraId="4246A394" w14:textId="1AC2BBB2">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495E56F8" w:rsidP="5593C388" w:rsidRDefault="495E56F8" w14:paraId="54328B55" w14:textId="362471BC">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English and Maths </w:t>
            </w:r>
          </w:p>
          <w:p w:rsidR="495E56F8" w:rsidP="5593C388" w:rsidRDefault="495E56F8" w14:paraId="103DD63D" w14:textId="15A89BA8">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50% gained both GCSE in English and Maths at level 1 or </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abov</w:t>
            </w:r>
            <w:r w:rsidRPr="5593C388" w:rsidR="4403539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e</w:t>
            </w:r>
            <w:r w:rsidRPr="5593C388" w:rsidR="08A88E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495E56F8" w:rsidP="5593C388" w:rsidRDefault="495E56F8" w14:paraId="1CD779B8" w14:textId="0BAB6307">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63% gained a Maths qualification. </w:t>
            </w:r>
          </w:p>
          <w:p w:rsidR="495E56F8" w:rsidP="5593C388" w:rsidRDefault="495E56F8" w14:paraId="5B63B2B4" w14:textId="44728CE2">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77% gained an English qualification. </w:t>
            </w:r>
          </w:p>
          <w:p w:rsidR="495E56F8" w:rsidP="5593C388" w:rsidRDefault="495E56F8" w14:paraId="0BDE164B" w14:textId="6FCD5509">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43% gained English and Maths with 3+ subjects.</w:t>
            </w:r>
          </w:p>
          <w:p w:rsidR="5593C388" w:rsidP="5593C388" w:rsidRDefault="5593C388" w14:paraId="29C9AEC7" w14:textId="7C8E14A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495E56F8" w:rsidP="5593C388" w:rsidRDefault="495E56F8" w14:paraId="7224D258" w14:textId="5B53FCD1">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*English and Maths</w:t>
            </w:r>
            <w:r w:rsidRPr="5593C388" w:rsidR="73BFC9E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 </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‘working below’ (W)</w:t>
            </w:r>
            <w:r w:rsidRPr="5593C388" w:rsidR="65C1CD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 xml:space="preserve"> </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en-GB"/>
              </w:rPr>
              <w:t>GCSE/ level 1</w:t>
            </w: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w:t>
            </w:r>
          </w:p>
          <w:p w:rsidR="495E56F8" w:rsidP="5593C388" w:rsidRDefault="495E56F8" w14:paraId="2261D888" w14:textId="545A83CF">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95E56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24 Entry Level Certificates gained for very low ability/ SEN learners</w:t>
            </w:r>
            <w:r w:rsidRPr="5593C388" w:rsidR="495E56F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w:t>
            </w:r>
          </w:p>
          <w:p w:rsidR="3B705013" w:rsidP="5593C388" w:rsidRDefault="3B705013" w14:paraId="22C30183" w14:textId="17FA9019">
            <w:pPr>
              <w:pStyle w:val="Normal"/>
            </w:pPr>
            <w:r w:rsidR="3B705013">
              <w:rPr/>
              <w:t>This reflects 11 exams where the pupil was entered but did not attend and 4 exams that were graded as U.</w:t>
            </w:r>
          </w:p>
          <w:p w:rsidR="5593C388" w:rsidP="5593C388" w:rsidRDefault="5593C388" w14:paraId="3E1C206B" w14:textId="02D25381">
            <w:pPr>
              <w:pStyle w:val="Normal"/>
            </w:pPr>
          </w:p>
          <w:p w:rsidR="5593C388" w:rsidP="5593C388" w:rsidRDefault="5593C388" w14:paraId="3E0F23E7" w14:textId="7BB4F2C2">
            <w:pPr>
              <w:pStyle w:val="Normal"/>
            </w:pPr>
          </w:p>
          <w:p w:rsidR="0C401C18" w:rsidP="5593C388" w:rsidRDefault="0C401C18" w14:paraId="0754E2DC" w14:textId="10CAB20E">
            <w:pPr>
              <w:pStyle w:val="ListParagraph"/>
              <w:numPr>
                <w:ilvl w:val="0"/>
                <w:numId w:val="5"/>
              </w:numPr>
              <w:rPr>
                <w:b w:val="1"/>
                <w:bCs w:val="1"/>
              </w:rPr>
            </w:pPr>
            <w:r w:rsidRPr="5593C388" w:rsidR="0C401C18">
              <w:rPr>
                <w:b w:val="1"/>
                <w:bCs w:val="1"/>
              </w:rPr>
              <w:t>Social Emotional and behavioural concerns</w:t>
            </w:r>
            <w:r w:rsidRPr="5593C388" w:rsidR="7821395E">
              <w:rPr>
                <w:b w:val="1"/>
                <w:bCs w:val="1"/>
              </w:rPr>
              <w:t>.</w:t>
            </w:r>
          </w:p>
          <w:p w:rsidR="5593C388" w:rsidP="5593C388" w:rsidRDefault="5593C388" w14:paraId="4C6BA181" w14:textId="0A78C8E0">
            <w:pPr>
              <w:pStyle w:val="Normal"/>
            </w:pPr>
          </w:p>
          <w:p w:rsidR="66D7DCDB" w:rsidP="5593C388" w:rsidRDefault="66D7DCDB" w14:paraId="70F20A84" w14:textId="1DD684BD">
            <w:pPr>
              <w:pStyle w:val="Normal"/>
              <w:bidi w:val="0"/>
              <w:spacing w:before="0" w:beforeAutospacing="off" w:after="0" w:afterAutospacing="off" w:line="259" w:lineRule="auto"/>
              <w:ind w:left="0" w:right="0"/>
              <w:jc w:val="left"/>
            </w:pPr>
            <w:r w:rsidR="66D7DCDB">
              <w:rPr/>
              <w:t xml:space="preserve">Wellbeing lessons were incorporated into the curriculum to support pupils </w:t>
            </w:r>
            <w:r w:rsidR="66D7DCDB">
              <w:rPr/>
              <w:t>during</w:t>
            </w:r>
            <w:r w:rsidR="5654919A">
              <w:rPr/>
              <w:t>,</w:t>
            </w:r>
            <w:r w:rsidR="66D7DCDB">
              <w:rPr/>
              <w:t xml:space="preserve"> and post pandemic and mental health was a strong focus in personal development lessons. </w:t>
            </w:r>
          </w:p>
          <w:p w:rsidR="5593C388" w:rsidP="5593C388" w:rsidRDefault="5593C388" w14:paraId="2C4628D2" w14:textId="275A0259">
            <w:pPr>
              <w:pStyle w:val="Normal"/>
              <w:bidi w:val="0"/>
              <w:spacing w:before="0" w:beforeAutospacing="off" w:after="0" w:afterAutospacing="off" w:line="259" w:lineRule="auto"/>
              <w:ind w:left="0" w:right="0"/>
              <w:jc w:val="left"/>
            </w:pPr>
          </w:p>
          <w:p w:rsidR="5593C388" w:rsidP="5593C388" w:rsidRDefault="5593C388" w14:paraId="51A00623" w14:textId="297F2D8E">
            <w:pPr>
              <w:pStyle w:val="Normal"/>
            </w:pPr>
          </w:p>
          <w:p w:rsidR="0C401C18" w:rsidP="5593C388" w:rsidRDefault="0C401C18" w14:paraId="72728277" w14:textId="3849FFEA">
            <w:pPr>
              <w:pStyle w:val="ListParagraph"/>
              <w:numPr>
                <w:ilvl w:val="0"/>
                <w:numId w:val="5"/>
              </w:numPr>
              <w:rPr>
                <w:b w:val="1"/>
                <w:bCs w:val="1"/>
              </w:rPr>
            </w:pPr>
            <w:r w:rsidRPr="5593C388" w:rsidR="0C401C18">
              <w:rPr>
                <w:b w:val="1"/>
                <w:bCs w:val="1"/>
              </w:rPr>
              <w:t>Transition</w:t>
            </w:r>
            <w:r w:rsidRPr="5593C388" w:rsidR="24880F4A">
              <w:rPr>
                <w:b w:val="1"/>
                <w:bCs w:val="1"/>
              </w:rPr>
              <w:t>/Positive destinations</w:t>
            </w:r>
            <w:r w:rsidRPr="5593C388" w:rsidR="3F00DB6A">
              <w:rPr>
                <w:b w:val="1"/>
                <w:bCs w:val="1"/>
              </w:rPr>
              <w:t>.</w:t>
            </w:r>
          </w:p>
          <w:p w:rsidR="24880F4A" w:rsidP="5593C388" w:rsidRDefault="24880F4A" w14:paraId="2157CCD0" w14:textId="23DFBAB3">
            <w:pPr>
              <w:pStyle w:val="Normal"/>
              <w:ind w:left="0"/>
              <w:rPr>
                <w:b w:val="0"/>
                <w:bCs w:val="0"/>
              </w:rPr>
            </w:pPr>
            <w:r w:rsidR="24880F4A">
              <w:rPr>
                <w:b w:val="0"/>
                <w:bCs w:val="0"/>
              </w:rPr>
              <w:t xml:space="preserve">NEET figure for the academic year 2021-2022 was </w:t>
            </w:r>
            <w:r w:rsidR="2B1F98B5">
              <w:rPr>
                <w:b w:val="0"/>
                <w:bCs w:val="0"/>
              </w:rPr>
              <w:t>8</w:t>
            </w:r>
            <w:r w:rsidR="24880F4A">
              <w:rPr>
                <w:b w:val="0"/>
                <w:bCs w:val="0"/>
              </w:rPr>
              <w:t>%</w:t>
            </w:r>
            <w:r w:rsidR="13752E24">
              <w:rPr>
                <w:b w:val="0"/>
                <w:bCs w:val="0"/>
              </w:rPr>
              <w:t xml:space="preserve"> with a cohort </w:t>
            </w:r>
            <w:bookmarkStart w:name="_Int_0cUR27dU" w:id="1141839779"/>
            <w:r w:rsidR="13752E24">
              <w:rPr>
                <w:b w:val="0"/>
                <w:bCs w:val="0"/>
              </w:rPr>
              <w:t xml:space="preserve">of </w:t>
            </w:r>
            <w:r w:rsidR="2C747448">
              <w:rPr>
                <w:b w:val="0"/>
                <w:bCs w:val="0"/>
              </w:rPr>
              <w:t>29</w:t>
            </w:r>
            <w:r w:rsidR="13752E24">
              <w:rPr>
                <w:b w:val="0"/>
                <w:bCs w:val="0"/>
              </w:rPr>
              <w:t xml:space="preserve"> </w:t>
            </w:r>
            <w:r w:rsidR="13752E24">
              <w:rPr>
                <w:b w:val="0"/>
                <w:bCs w:val="0"/>
              </w:rPr>
              <w:t>Year eleven pupils.</w:t>
            </w:r>
            <w:bookmarkEnd w:id="1141839779"/>
          </w:p>
          <w:p w:rsidR="7AA85F8A" w:rsidP="5593C388" w:rsidRDefault="7AA85F8A" w14:paraId="09432CEE" w14:textId="2A9E4F9A">
            <w:pPr>
              <w:pStyle w:val="Normal"/>
            </w:pPr>
            <w:r w:rsidR="7AA85F8A">
              <w:rPr/>
              <w:t>3/29 NEET not in education or training 8%</w:t>
            </w:r>
          </w:p>
          <w:p w:rsidR="7AA85F8A" w:rsidP="5593C388" w:rsidRDefault="7AA85F8A" w14:paraId="6D37CA4C" w14:textId="07358C98">
            <w:pPr>
              <w:pStyle w:val="Normal"/>
            </w:pPr>
            <w:r w:rsidR="7AA85F8A">
              <w:rPr/>
              <w:t>2/29 NEET Pupil premium 6%</w:t>
            </w:r>
          </w:p>
          <w:p w:rsidR="7AA85F8A" w:rsidP="5593C388" w:rsidRDefault="7AA85F8A" w14:paraId="4B5A5AA4" w14:textId="1DC5F2E4">
            <w:pPr>
              <w:pStyle w:val="Normal"/>
            </w:pPr>
            <w:r w:rsidR="7AA85F8A">
              <w:rPr/>
              <w:t>1/29 NEET Non-Pupil premium 3%</w:t>
            </w:r>
          </w:p>
          <w:p w:rsidR="5593C388" w:rsidP="5593C388" w:rsidRDefault="5593C388" w14:paraId="34822FDB" w14:textId="7154E1F8">
            <w:pPr>
              <w:pStyle w:val="Normal"/>
            </w:pPr>
          </w:p>
          <w:p w:rsidR="1CB4A026" w:rsidP="5593C388" w:rsidRDefault="1CB4A026" w14:paraId="2A19DB73" w14:textId="6BABD891">
            <w:pPr>
              <w:pStyle w:val="ListParagraph"/>
              <w:numPr>
                <w:ilvl w:val="0"/>
                <w:numId w:val="5"/>
              </w:numPr>
              <w:rPr>
                <w:b w:val="1"/>
                <w:bCs w:val="1"/>
              </w:rPr>
            </w:pPr>
            <w:r w:rsidRPr="5593C388" w:rsidR="1CB4A026">
              <w:rPr>
                <w:b w:val="1"/>
                <w:bCs w:val="1"/>
              </w:rPr>
              <w:t xml:space="preserve">Access to technology </w:t>
            </w:r>
            <w:r w:rsidRPr="5593C388" w:rsidR="28D9D76B">
              <w:rPr>
                <w:b w:val="1"/>
                <w:bCs w:val="1"/>
              </w:rPr>
              <w:t>/</w:t>
            </w:r>
            <w:r w:rsidRPr="5593C388" w:rsidR="0C401C18">
              <w:rPr>
                <w:b w:val="1"/>
                <w:bCs w:val="1"/>
              </w:rPr>
              <w:t>Poor home learning environments</w:t>
            </w:r>
            <w:r w:rsidRPr="5593C388" w:rsidR="3F00DB6A">
              <w:rPr>
                <w:b w:val="1"/>
                <w:bCs w:val="1"/>
              </w:rPr>
              <w:t>.</w:t>
            </w:r>
          </w:p>
          <w:p w:rsidR="5593C388" w:rsidP="5593C388" w:rsidRDefault="5593C388" w14:paraId="55D193ED" w14:textId="001897A0">
            <w:pPr>
              <w:pStyle w:val="Normal"/>
            </w:pPr>
          </w:p>
          <w:p w:rsidR="2CC906AD" w:rsidP="5593C388" w:rsidRDefault="2CC906AD" w14:paraId="024F4D00" w14:textId="5D0EEE4D">
            <w:pPr>
              <w:pStyle w:val="Normal"/>
            </w:pPr>
            <w:r w:rsidR="2CC906AD">
              <w:rPr/>
              <w:t>Food poverty – breakfast supplied to all pupils</w:t>
            </w:r>
            <w:r w:rsidR="22235767">
              <w:rPr/>
              <w:t>, along with laptops on loan for pupils to complete work</w:t>
            </w:r>
            <w:r w:rsidR="237BCC70">
              <w:rPr/>
              <w:t>.</w:t>
            </w:r>
            <w:r w:rsidR="7DF0B456">
              <w:rPr/>
              <w:t xml:space="preserve"> </w:t>
            </w:r>
          </w:p>
          <w:p w:rsidR="5593C388" w:rsidP="5593C388" w:rsidRDefault="5593C388" w14:paraId="43F91F56" w14:textId="7A7EE596">
            <w:pPr>
              <w:pStyle w:val="Normal"/>
            </w:pPr>
          </w:p>
          <w:p w:rsidR="5593C388" w:rsidP="5593C388" w:rsidRDefault="5593C388" w14:paraId="3D8E7FA2" w14:textId="065600CD">
            <w:pPr>
              <w:pStyle w:val="Normal"/>
            </w:pPr>
          </w:p>
          <w:p w:rsidR="25546A63" w:rsidP="5593C388" w:rsidRDefault="25546A63" w14:paraId="23B46F45" w14:textId="32A040A7">
            <w:pPr>
              <w:pStyle w:val="ListParagraph"/>
              <w:numPr>
                <w:ilvl w:val="0"/>
                <w:numId w:val="5"/>
              </w:numPr>
              <w:rPr>
                <w:b w:val="1"/>
                <w:bCs w:val="1"/>
              </w:rPr>
            </w:pPr>
            <w:r w:rsidRPr="5593C388" w:rsidR="25546A63">
              <w:rPr>
                <w:b w:val="1"/>
                <w:bCs w:val="1"/>
              </w:rPr>
              <w:t>EHCP pupils.</w:t>
            </w:r>
          </w:p>
          <w:p w:rsidR="5593C388" w:rsidP="5593C388" w:rsidRDefault="5593C388" w14:paraId="3A4985AD" w14:textId="6A87F563">
            <w:pPr>
              <w:pStyle w:val="Normal"/>
            </w:pPr>
          </w:p>
          <w:p w:rsidR="5035E2B5" w:rsidP="5593C388" w:rsidRDefault="5035E2B5" w14:paraId="1E75281C" w14:textId="6EA342E9">
            <w:pPr>
              <w:pStyle w:val="Normal"/>
              <w:rPr>
                <w:color w:val="auto"/>
              </w:rPr>
            </w:pPr>
            <w:r w:rsidR="5035E2B5">
              <w:rPr>
                <w:b w:val="0"/>
                <w:bCs w:val="0"/>
              </w:rPr>
              <w:t>We invested in extra EP time to support pupils going through the EHCP process.</w:t>
            </w:r>
            <w:r w:rsidRPr="5593C388" w:rsidR="010B7191">
              <w:rPr>
                <w:color w:val="auto"/>
              </w:rPr>
              <w:t xml:space="preserve"> In 2021 five pupils with EHCP’s left year 11 from Acorns, of these 3 have moved on to further education. Two pupils with EHCP’s qualified for Pupil premium funding, 50% is currently NEET and 50% have progressed to sixth form college.</w:t>
            </w:r>
          </w:p>
          <w:p w:rsidR="5593C388" w:rsidP="5593C388" w:rsidRDefault="5593C388" w14:paraId="6BF2553F" w14:textId="4A7295B1">
            <w:pPr>
              <w:pStyle w:val="Normal"/>
              <w:rPr>
                <w:b w:val="0"/>
                <w:bCs w:val="0"/>
              </w:rPr>
            </w:pPr>
          </w:p>
          <w:p w:rsidR="5593C388" w:rsidP="5593C388" w:rsidRDefault="5593C388" w14:paraId="566FB86D" w14:textId="78AF9EEA">
            <w:pPr>
              <w:pStyle w:val="Normal"/>
              <w:rPr>
                <w:b w:val="0"/>
                <w:bCs w:val="0"/>
              </w:rPr>
            </w:pPr>
          </w:p>
          <w:p w:rsidR="5593C388" w:rsidP="5593C388" w:rsidRDefault="5593C388" w14:paraId="3C4CCBCC" w14:textId="08DBB365">
            <w:pPr>
              <w:pStyle w:val="Normal"/>
              <w:rPr>
                <w:b w:val="1"/>
                <w:bCs w:val="1"/>
              </w:rPr>
            </w:pPr>
          </w:p>
          <w:p w:rsidR="0C401C18" w:rsidP="5593C388" w:rsidRDefault="0C401C18" w14:paraId="6021C58A" w14:textId="713AD806">
            <w:pPr>
              <w:pStyle w:val="ListParagraph"/>
              <w:numPr>
                <w:ilvl w:val="0"/>
                <w:numId w:val="5"/>
              </w:numPr>
              <w:rPr>
                <w:b w:val="1"/>
                <w:bCs w:val="1"/>
              </w:rPr>
            </w:pPr>
            <w:r w:rsidRPr="5593C388" w:rsidR="0C401C18">
              <w:rPr>
                <w:b w:val="1"/>
                <w:bCs w:val="1"/>
              </w:rPr>
              <w:t>Alternative Provision</w:t>
            </w:r>
            <w:r w:rsidRPr="5593C388" w:rsidR="38D1DC50">
              <w:rPr>
                <w:b w:val="1"/>
                <w:bCs w:val="1"/>
              </w:rPr>
              <w:t>.</w:t>
            </w:r>
          </w:p>
          <w:p w:rsidR="5593C388" w:rsidP="5593C388" w:rsidRDefault="5593C388" w14:paraId="35744999" w14:textId="5D2FD355">
            <w:pPr>
              <w:pStyle w:val="Normal"/>
            </w:pPr>
          </w:p>
          <w:p w:rsidR="31389030" w:rsidP="31389030" w:rsidRDefault="31389030" w14:paraId="73E49A94" w14:textId="540BFCE4">
            <w:r w:rsidR="3A1DFD29">
              <w:rPr/>
              <w:t xml:space="preserve">Pupils are </w:t>
            </w:r>
            <w:r w:rsidR="460021C2">
              <w:rPr/>
              <w:t xml:space="preserve">often </w:t>
            </w:r>
            <w:r w:rsidR="3A1DFD29">
              <w:rPr/>
              <w:t xml:space="preserve">given bespoke timetables and if </w:t>
            </w:r>
            <w:r w:rsidR="3A1DFD29">
              <w:rPr/>
              <w:t>appropriate this includes Vocational Provision. We use the following providers</w:t>
            </w:r>
            <w:r w:rsidR="43856ED1">
              <w:rPr/>
              <w:t>;</w:t>
            </w:r>
            <w:r w:rsidR="44CB4C86">
              <w:rPr/>
              <w:t xml:space="preserve"> </w:t>
            </w:r>
            <w:r w:rsidR="3A1DFD29">
              <w:rPr/>
              <w:t xml:space="preserve">Apple Cast, BDS, CWP, Eqwise, Fix it, Pathways, and </w:t>
            </w:r>
            <w:r w:rsidR="195998CD">
              <w:rPr/>
              <w:t>PNE. This helps pupils to reengage in education and begin planning their next steps in terms of careers.</w:t>
            </w:r>
            <w:r w:rsidR="748488C2">
              <w:rPr/>
              <w:t xml:space="preserve"> It allows pupils who have struggled with learning to access more practical courses and qualifications. </w:t>
            </w:r>
          </w:p>
          <w:p w:rsidR="00BD2894" w:rsidP="5593C388" w:rsidRDefault="00BD2894" w14:paraId="4231EBB5" w14:textId="491BB19E">
            <w:pPr>
              <w:pStyle w:val="Normal"/>
              <w:rPr>
                <w:u w:val="single"/>
              </w:rPr>
            </w:pPr>
            <w:r w:rsidRPr="5593C388" w:rsidR="748488C2">
              <w:rPr>
                <w:u w:val="single"/>
              </w:rPr>
              <w:t>AP outcomes 2021-2022</w:t>
            </w:r>
          </w:p>
          <w:p w:rsidR="00BD2894" w:rsidP="5593C388" w:rsidRDefault="00BD2894" w14:paraId="7F67550D" w14:textId="1714ADA2">
            <w:pPr>
              <w:pStyle w:val="Normal"/>
              <w:rPr>
                <w:u w:val="single"/>
              </w:rPr>
            </w:pPr>
          </w:p>
          <w:p w:rsidR="00BD2894" w:rsidP="5593C388" w:rsidRDefault="00BD2894" w14:paraId="76A535B9" w14:textId="45839258">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B7AA4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Level 1 Vocational (VRQ) Industry standard </w:t>
            </w:r>
          </w:p>
          <w:p w:rsidR="00BD2894" w:rsidP="5593C388" w:rsidRDefault="00BD2894" w14:paraId="09DC3DF7" w14:textId="4E1D3ED4">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593C388" w:rsidR="4B7AA4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27% (8) · 8 awards from AP</w:t>
            </w:r>
          </w:p>
          <w:p w:rsidR="00BD2894" w:rsidP="5593C388" w:rsidRDefault="00BD2894" w14:paraId="1F908A65" w14:textId="077B745E">
            <w:pPr>
              <w:pStyle w:val="Normal"/>
              <w:rPr>
                <w:u w:val="single"/>
              </w:rPr>
            </w:pPr>
          </w:p>
          <w:p w:rsidR="00BD2894" w:rsidP="5593C388" w:rsidRDefault="00BD2894" w14:paraId="4F904CB7" w14:textId="7EA6658E">
            <w:pPr>
              <w:pStyle w:val="Normal"/>
              <w:rPr>
                <w:u w:val="single"/>
              </w:rPr>
            </w:pPr>
            <w:bookmarkStart w:name="_GoBack" w:id="10"/>
            <w:bookmarkEnd w:id="10"/>
          </w:p>
        </w:tc>
      </w:tr>
    </w:tbl>
    <w:p w:rsidR="00BD2894" w:rsidRDefault="00BD2894" w14:paraId="06971CD3" w14:textId="77777777"/>
    <w:sectPr w:rsidR="00BD2894">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894" w:rsidRDefault="00BA2BF6" w14:paraId="03EFCA41" w14:textId="77777777">
      <w:pPr>
        <w:spacing w:after="0" w:line="240" w:lineRule="auto"/>
      </w:pPr>
      <w:r>
        <w:separator/>
      </w:r>
    </w:p>
  </w:endnote>
  <w:endnote w:type="continuationSeparator" w:id="0">
    <w:p w:rsidR="00BD2894" w:rsidRDefault="00BA2BF6" w14:paraId="5F96A722" w14:textId="77777777">
      <w:pPr>
        <w:spacing w:after="0" w:line="240" w:lineRule="auto"/>
      </w:pPr>
      <w:r>
        <w:continuationSeparator/>
      </w:r>
    </w:p>
  </w:endnote>
  <w:endnote w:type="continuationNotice" w:id="1">
    <w:p w:rsidR="00BA2BF6" w:rsidRDefault="00BA2BF6" w14:paraId="07BF6E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049196"/>
      <w:docPartObj>
        <w:docPartGallery w:val="Page Numbers (Bottom of Page)"/>
        <w:docPartUnique/>
      </w:docPartObj>
    </w:sdtPr>
    <w:sdtEndPr>
      <w:rPr>
        <w:noProof/>
      </w:rPr>
    </w:sdtEndPr>
    <w:sdtContent>
      <w:p w:rsidR="00BD2894" w:rsidRDefault="00BA2BF6" w14:paraId="2903CBC8"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2894" w:rsidRDefault="00BD2894" w14:paraId="2A1F70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894" w:rsidRDefault="00BA2BF6" w14:paraId="5B95CD12" w14:textId="77777777">
      <w:pPr>
        <w:spacing w:after="0" w:line="240" w:lineRule="auto"/>
      </w:pPr>
      <w:r>
        <w:separator/>
      </w:r>
    </w:p>
  </w:footnote>
  <w:footnote w:type="continuationSeparator" w:id="0">
    <w:p w:rsidR="00BD2894" w:rsidRDefault="00BA2BF6" w14:paraId="5220BBB2" w14:textId="77777777">
      <w:pPr>
        <w:spacing w:after="0" w:line="240" w:lineRule="auto"/>
      </w:pPr>
      <w:r>
        <w:continuationSeparator/>
      </w:r>
    </w:p>
  </w:footnote>
  <w:footnote w:type="continuationNotice" w:id="1">
    <w:p w:rsidR="00BA2BF6" w:rsidRDefault="00BA2BF6" w14:paraId="5F40C095"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c+sZTmXBS7NPfD" int2:id="Sh9WqzYS">
      <int2:state int2:type="LegacyProofing" int2:value="Rejected"/>
    </int2:textHash>
    <int2:textHash int2:hashCode="r7fwEaMw5HExVj" int2:id="iZlbogSc">
      <int2:state int2:type="LegacyProofing" int2:value="Rejected"/>
    </int2:textHash>
    <int2:bookmark int2:bookmarkName="_Int_0cUR27dU" int2:invalidationBookmarkName="" int2:hashCode="7yingtYMqUppkL" int2:id="c0dxRwSx">
      <int2:state int2:type="LegacyProofing" int2:value="Rejected"/>
    </int2:bookmark>
    <int2:bookmark int2:bookmarkName="_Int_F2TXflkb" int2:invalidationBookmarkName="" int2:hashCode="0lXQ0GySJQ8tJA" int2:id="AOvjCYb2">
      <int2:state int2:type="AugLoop_Text_Critique" int2:value="Rejected"/>
    </int2:bookmark>
    <int2:bookmark int2:bookmarkName="_Int_2PL9SbGB" int2:invalidationBookmarkName="" int2:hashCode="VRd/LyDcPFdCnc" int2:id="fAEKzMnB">
      <int2:state int2:type="AugLoop_Text_Critique" int2:value="Rejected"/>
    </int2:bookmark>
    <int2:bookmark int2:bookmarkName="_Int_x3PfpXBl" int2:invalidationBookmarkName="" int2:hashCode="2k37mxvnKPwHq9" int2:id="HLAeJfgQ">
      <int2:state int2:type="AugLoop_Text_Critique" int2:value="Rejected"/>
    </int2:bookmark>
    <int2:bookmark int2:bookmarkName="_Int_5szK6cvC" int2:invalidationBookmarkName="" int2:hashCode="ISQDfKZqM8FMSE" int2:id="YkNjE6mf">
      <int2:state int2:type="AugLoop_Text_Critique" int2:value="Rejected"/>
    </int2:bookmark>
    <int2:bookmark int2:bookmarkName="_Int_bTZilXz3" int2:invalidationBookmarkName="" int2:hashCode="MNYRxBhP4kowtL" int2:id="X0djjhkY">
      <int2:state int2:type="LegacyProofing" int2:value="Rejected"/>
    </int2:bookmark>
    <int2:bookmark int2:bookmarkName="_Int_zxXx01Gh" int2:invalidationBookmarkName="" int2:hashCode="MNYRxBhP4kowtL" int2:id="WKYrHpDV">
      <int2:state int2:type="LegacyProofing" int2:value="Rejected"/>
    </int2:bookmark>
    <int2:bookmark int2:bookmarkName="_Int_pd3U99Hw" int2:invalidationBookmarkName="" int2:hashCode="4yf+NYmVZ7O5lX" int2:id="Lc7yBKCQ">
      <int2:state int2:type="LegacyProofing" int2:value="Rejected"/>
    </int2:bookmark>
    <int2:bookmark int2:bookmarkName="_Int_IxlnbJIE" int2:invalidationBookmarkName="" int2:hashCode="MNYRxBhP4kowtL" int2:id="bGihhMd0">
      <int2:state int2:type="LegacyProofing" int2:value="Rejected"/>
    </int2:bookmark>
    <int2:bookmark int2:bookmarkName="_Int_EuYmv30f" int2:invalidationBookmarkName="" int2:hashCode="4yf+NYmVZ7O5lX" int2:id="GAN8eW6X">
      <int2:state int2:type="LegacyProofing" int2:value="Rejected"/>
    </int2:bookmark>
    <int2:bookmark int2:bookmarkName="_Int_S7fm2qGJ" int2:invalidationBookmarkName="" int2:hashCode="MNYRxBhP4kowtL" int2:id="eDHWCzVD">
      <int2:state int2:type="LegacyProofing" int2:value="Rejected"/>
    </int2:bookmark>
    <int2:bookmark int2:bookmarkName="_Int_bWSgFHNx" int2:invalidationBookmarkName="" int2:hashCode="MNYRxBhP4kowtL" int2:id="tS1MPPyc">
      <int2:state int2:type="LegacyProofing" int2:value="Rejected"/>
    </int2:bookmark>
    <int2:bookmark int2:bookmarkName="_Int_l2eOUZYm" int2:invalidationBookmarkName="" int2:hashCode="+cl1itLlTbiGZm" int2:id="ug8uhGI5">
      <int2:state int2:type="LegacyProofing" int2:value="Rejected"/>
    </int2:bookmark>
    <int2:bookmark int2:bookmarkName="_Int_G85hAEFT" int2:invalidationBookmarkName="" int2:hashCode="2NsFG74bPWqEVb" int2:id="yK2ozitB">
      <int2:state int2:type="LegacyProofing" int2:value="Rejected"/>
    </int2:bookmark>
    <int2:bookmark int2:bookmarkName="_Int_ByZZaC8T" int2:invalidationBookmarkName="" int2:hashCode="PQBXeNTSjpOWji" int2:id="BxIbgpXP">
      <int2:state int2:type="LegacyProofing" int2:value="Rejected"/>
    </int2:bookmark>
    <int2:bookmark int2:bookmarkName="_Int_Gq1wTYlr" int2:invalidationBookmarkName="" int2:hashCode="ZD4DPyxyvbq3AT" int2:id="KsXuxTu9">
      <int2:state int2:type="AugLoop_Text_Critique" int2:value="Rejected"/>
    </int2:bookmark>
    <int2:bookmark int2:bookmarkName="_Int_xroTN20o" int2:invalidationBookmarkName="" int2:hashCode="6X/4wpXdfDElP/" int2:id="NmuJC6rw">
      <int2:state int2:type="AugLoop_Text_Critique" int2:value="Rejected"/>
    </int2:bookmark>
    <int2:bookmark int2:bookmarkName="_Int_NvRAQbET" int2:invalidationBookmarkName="" int2:hashCode="6X/4wpXdfDElP/" int2:id="PrU9jfMM">
      <int2:state int2:type="AugLoop_Text_Critique" int2:value="Rejected"/>
    </int2:bookmark>
    <int2:bookmark int2:bookmarkName="_Int_6OYvvZEK" int2:invalidationBookmarkName="" int2:hashCode="MNYRxBhP4kowtL" int2:id="QgViU9hm">
      <int2:state int2:type="LegacyProofing" int2:value="Rejected"/>
    </int2:bookmark>
    <int2:bookmark int2:bookmarkName="_Int_Xd4sZzFY" int2:invalidationBookmarkName="" int2:hashCode="6X/4wpXdfDElP/" int2:id="Z2L8GAvR">
      <int2:state int2:type="AugLoop_Text_Critique" int2:value="Rejected"/>
    </int2:bookmark>
    <int2:bookmark int2:bookmarkName="_Int_xO2GObOP" int2:invalidationBookmarkName="" int2:hashCode="vYt7Ap1XMvkJdk" int2:id="ZJLyt6Wa">
      <int2:state int2:type="AugLoop_Text_Critique" int2:value="Rejected"/>
    </int2:bookmark>
    <int2:bookmark int2:bookmarkName="_Int_cg2DJ6cP" int2:invalidationBookmarkName="" int2:hashCode="6X/4wpXdfDElP/" int2:id="cOxVlqnW">
      <int2:state int2:type="AugLoop_Text_Critique" int2:value="Rejected"/>
    </int2:bookmark>
    <int2:bookmark int2:bookmarkName="_Int_2YkxQhXS" int2:invalidationBookmarkName="" int2:hashCode="5cEnj+BQkBZE21" int2:id="niVzcRLL">
      <int2:state int2:type="AugLoop_Text_Critique" int2:value="Rejected"/>
    </int2:bookmark>
    <int2:bookmark int2:bookmarkName="_Int_UUQt5Kpf" int2:invalidationBookmarkName="" int2:hashCode="6X/4wpXdfDElP/" int2:id="vstiqnnC">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66cc5b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77fbb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97793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9c416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73284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ed0fa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8033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1cbaf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56EC1FF"/>
    <w:multiLevelType w:val="hybridMultilevel"/>
    <w:tmpl w:val="FFFFFFFF"/>
    <w:lvl w:ilvl="0" w:tplc="50E0240E">
      <w:start w:val="1"/>
      <w:numFmt w:val="bullet"/>
      <w:lvlText w:val="·"/>
      <w:lvlJc w:val="left"/>
      <w:pPr>
        <w:ind w:left="720" w:hanging="360"/>
      </w:pPr>
      <w:rPr>
        <w:rFonts w:hint="default" w:ascii="Symbol" w:hAnsi="Symbol"/>
      </w:rPr>
    </w:lvl>
    <w:lvl w:ilvl="1" w:tplc="95BCB4DA">
      <w:start w:val="1"/>
      <w:numFmt w:val="bullet"/>
      <w:lvlText w:val="o"/>
      <w:lvlJc w:val="left"/>
      <w:pPr>
        <w:ind w:left="1440" w:hanging="360"/>
      </w:pPr>
      <w:rPr>
        <w:rFonts w:hint="default" w:ascii="Courier New" w:hAnsi="Courier New"/>
      </w:rPr>
    </w:lvl>
    <w:lvl w:ilvl="2" w:tplc="837C9EA2">
      <w:start w:val="1"/>
      <w:numFmt w:val="bullet"/>
      <w:lvlText w:val=""/>
      <w:lvlJc w:val="left"/>
      <w:pPr>
        <w:ind w:left="2160" w:hanging="360"/>
      </w:pPr>
      <w:rPr>
        <w:rFonts w:hint="default" w:ascii="Wingdings" w:hAnsi="Wingdings"/>
      </w:rPr>
    </w:lvl>
    <w:lvl w:ilvl="3" w:tplc="5C1E75E0">
      <w:start w:val="1"/>
      <w:numFmt w:val="bullet"/>
      <w:lvlText w:val=""/>
      <w:lvlJc w:val="left"/>
      <w:pPr>
        <w:ind w:left="2880" w:hanging="360"/>
      </w:pPr>
      <w:rPr>
        <w:rFonts w:hint="default" w:ascii="Symbol" w:hAnsi="Symbol"/>
      </w:rPr>
    </w:lvl>
    <w:lvl w:ilvl="4" w:tplc="A7C483E6">
      <w:start w:val="1"/>
      <w:numFmt w:val="bullet"/>
      <w:lvlText w:val="o"/>
      <w:lvlJc w:val="left"/>
      <w:pPr>
        <w:ind w:left="3600" w:hanging="360"/>
      </w:pPr>
      <w:rPr>
        <w:rFonts w:hint="default" w:ascii="Courier New" w:hAnsi="Courier New"/>
      </w:rPr>
    </w:lvl>
    <w:lvl w:ilvl="5" w:tplc="87F677A2">
      <w:start w:val="1"/>
      <w:numFmt w:val="bullet"/>
      <w:lvlText w:val=""/>
      <w:lvlJc w:val="left"/>
      <w:pPr>
        <w:ind w:left="4320" w:hanging="360"/>
      </w:pPr>
      <w:rPr>
        <w:rFonts w:hint="default" w:ascii="Wingdings" w:hAnsi="Wingdings"/>
      </w:rPr>
    </w:lvl>
    <w:lvl w:ilvl="6" w:tplc="EA602684">
      <w:start w:val="1"/>
      <w:numFmt w:val="bullet"/>
      <w:lvlText w:val=""/>
      <w:lvlJc w:val="left"/>
      <w:pPr>
        <w:ind w:left="5040" w:hanging="360"/>
      </w:pPr>
      <w:rPr>
        <w:rFonts w:hint="default" w:ascii="Symbol" w:hAnsi="Symbol"/>
      </w:rPr>
    </w:lvl>
    <w:lvl w:ilvl="7" w:tplc="24483AAC">
      <w:start w:val="1"/>
      <w:numFmt w:val="bullet"/>
      <w:lvlText w:val="o"/>
      <w:lvlJc w:val="left"/>
      <w:pPr>
        <w:ind w:left="5760" w:hanging="360"/>
      </w:pPr>
      <w:rPr>
        <w:rFonts w:hint="default" w:ascii="Courier New" w:hAnsi="Courier New"/>
      </w:rPr>
    </w:lvl>
    <w:lvl w:ilvl="8" w:tplc="61B6EAFE">
      <w:start w:val="1"/>
      <w:numFmt w:val="bullet"/>
      <w:lvlText w:val=""/>
      <w:lvlJc w:val="left"/>
      <w:pPr>
        <w:ind w:left="6480" w:hanging="360"/>
      </w:pPr>
      <w:rPr>
        <w:rFonts w:hint="default" w:ascii="Wingdings" w:hAnsi="Wingdings"/>
      </w:rPr>
    </w:lvl>
  </w:abstractNum>
  <w:abstractNum w:abstractNumId="1" w15:restartNumberingAfterBreak="0">
    <w:nsid w:val="582EF19F"/>
    <w:multiLevelType w:val="hybridMultilevel"/>
    <w:tmpl w:val="FFFFFFFF"/>
    <w:lvl w:ilvl="0" w:tplc="895857C8">
      <w:start w:val="1"/>
      <w:numFmt w:val="bullet"/>
      <w:lvlText w:val="·"/>
      <w:lvlJc w:val="left"/>
      <w:pPr>
        <w:ind w:left="720" w:hanging="360"/>
      </w:pPr>
      <w:rPr>
        <w:rFonts w:hint="default" w:ascii="Symbol" w:hAnsi="Symbol"/>
      </w:rPr>
    </w:lvl>
    <w:lvl w:ilvl="1" w:tplc="11BA5F42">
      <w:start w:val="1"/>
      <w:numFmt w:val="bullet"/>
      <w:lvlText w:val="o"/>
      <w:lvlJc w:val="left"/>
      <w:pPr>
        <w:ind w:left="1440" w:hanging="360"/>
      </w:pPr>
      <w:rPr>
        <w:rFonts w:hint="default" w:ascii="Courier New" w:hAnsi="Courier New"/>
      </w:rPr>
    </w:lvl>
    <w:lvl w:ilvl="2" w:tplc="E7F08C46">
      <w:start w:val="1"/>
      <w:numFmt w:val="bullet"/>
      <w:lvlText w:val=""/>
      <w:lvlJc w:val="left"/>
      <w:pPr>
        <w:ind w:left="2160" w:hanging="360"/>
      </w:pPr>
      <w:rPr>
        <w:rFonts w:hint="default" w:ascii="Wingdings" w:hAnsi="Wingdings"/>
      </w:rPr>
    </w:lvl>
    <w:lvl w:ilvl="3" w:tplc="E71A67B8">
      <w:start w:val="1"/>
      <w:numFmt w:val="bullet"/>
      <w:lvlText w:val=""/>
      <w:lvlJc w:val="left"/>
      <w:pPr>
        <w:ind w:left="2880" w:hanging="360"/>
      </w:pPr>
      <w:rPr>
        <w:rFonts w:hint="default" w:ascii="Symbol" w:hAnsi="Symbol"/>
      </w:rPr>
    </w:lvl>
    <w:lvl w:ilvl="4" w:tplc="804EA6E6">
      <w:start w:val="1"/>
      <w:numFmt w:val="bullet"/>
      <w:lvlText w:val="o"/>
      <w:lvlJc w:val="left"/>
      <w:pPr>
        <w:ind w:left="3600" w:hanging="360"/>
      </w:pPr>
      <w:rPr>
        <w:rFonts w:hint="default" w:ascii="Courier New" w:hAnsi="Courier New"/>
      </w:rPr>
    </w:lvl>
    <w:lvl w:ilvl="5" w:tplc="5E321A3A">
      <w:start w:val="1"/>
      <w:numFmt w:val="bullet"/>
      <w:lvlText w:val=""/>
      <w:lvlJc w:val="left"/>
      <w:pPr>
        <w:ind w:left="4320" w:hanging="360"/>
      </w:pPr>
      <w:rPr>
        <w:rFonts w:hint="default" w:ascii="Wingdings" w:hAnsi="Wingdings"/>
      </w:rPr>
    </w:lvl>
    <w:lvl w:ilvl="6" w:tplc="A1ACAA2A">
      <w:start w:val="1"/>
      <w:numFmt w:val="bullet"/>
      <w:lvlText w:val=""/>
      <w:lvlJc w:val="left"/>
      <w:pPr>
        <w:ind w:left="5040" w:hanging="360"/>
      </w:pPr>
      <w:rPr>
        <w:rFonts w:hint="default" w:ascii="Symbol" w:hAnsi="Symbol"/>
      </w:rPr>
    </w:lvl>
    <w:lvl w:ilvl="7" w:tplc="7F765FF4">
      <w:start w:val="1"/>
      <w:numFmt w:val="bullet"/>
      <w:lvlText w:val="o"/>
      <w:lvlJc w:val="left"/>
      <w:pPr>
        <w:ind w:left="5760" w:hanging="360"/>
      </w:pPr>
      <w:rPr>
        <w:rFonts w:hint="default" w:ascii="Courier New" w:hAnsi="Courier New"/>
      </w:rPr>
    </w:lvl>
    <w:lvl w:ilvl="8" w:tplc="873C876A">
      <w:start w:val="1"/>
      <w:numFmt w:val="bullet"/>
      <w:lvlText w:val=""/>
      <w:lvlJc w:val="left"/>
      <w:pPr>
        <w:ind w:left="6480" w:hanging="360"/>
      </w:pPr>
      <w:rPr>
        <w:rFonts w:hint="default" w:ascii="Wingdings" w:hAnsi="Wingdings"/>
      </w:rPr>
    </w:lvl>
  </w:abstractNum>
  <w:abstractNum w:abstractNumId="2" w15:restartNumberingAfterBreak="0">
    <w:nsid w:val="7A21B751"/>
    <w:multiLevelType w:val="hybridMultilevel"/>
    <w:tmpl w:val="FFFFFFFF"/>
    <w:lvl w:ilvl="0" w:tplc="FC749DF8">
      <w:start w:val="1"/>
      <w:numFmt w:val="bullet"/>
      <w:lvlText w:val="·"/>
      <w:lvlJc w:val="left"/>
      <w:pPr>
        <w:ind w:left="720" w:hanging="360"/>
      </w:pPr>
      <w:rPr>
        <w:rFonts w:hint="default" w:ascii="Symbol" w:hAnsi="Symbol"/>
      </w:rPr>
    </w:lvl>
    <w:lvl w:ilvl="1" w:tplc="BD52AE30">
      <w:start w:val="1"/>
      <w:numFmt w:val="bullet"/>
      <w:lvlText w:val="o"/>
      <w:lvlJc w:val="left"/>
      <w:pPr>
        <w:ind w:left="1440" w:hanging="360"/>
      </w:pPr>
      <w:rPr>
        <w:rFonts w:hint="default" w:ascii="Courier New" w:hAnsi="Courier New"/>
      </w:rPr>
    </w:lvl>
    <w:lvl w:ilvl="2" w:tplc="04DA6712">
      <w:start w:val="1"/>
      <w:numFmt w:val="bullet"/>
      <w:lvlText w:val=""/>
      <w:lvlJc w:val="left"/>
      <w:pPr>
        <w:ind w:left="2160" w:hanging="360"/>
      </w:pPr>
      <w:rPr>
        <w:rFonts w:hint="default" w:ascii="Wingdings" w:hAnsi="Wingdings"/>
      </w:rPr>
    </w:lvl>
    <w:lvl w:ilvl="3" w:tplc="8592D950">
      <w:start w:val="1"/>
      <w:numFmt w:val="bullet"/>
      <w:lvlText w:val=""/>
      <w:lvlJc w:val="left"/>
      <w:pPr>
        <w:ind w:left="2880" w:hanging="360"/>
      </w:pPr>
      <w:rPr>
        <w:rFonts w:hint="default" w:ascii="Symbol" w:hAnsi="Symbol"/>
      </w:rPr>
    </w:lvl>
    <w:lvl w:ilvl="4" w:tplc="5A4EE4E8">
      <w:start w:val="1"/>
      <w:numFmt w:val="bullet"/>
      <w:lvlText w:val="o"/>
      <w:lvlJc w:val="left"/>
      <w:pPr>
        <w:ind w:left="3600" w:hanging="360"/>
      </w:pPr>
      <w:rPr>
        <w:rFonts w:hint="default" w:ascii="Courier New" w:hAnsi="Courier New"/>
      </w:rPr>
    </w:lvl>
    <w:lvl w:ilvl="5" w:tplc="3A008D20">
      <w:start w:val="1"/>
      <w:numFmt w:val="bullet"/>
      <w:lvlText w:val=""/>
      <w:lvlJc w:val="left"/>
      <w:pPr>
        <w:ind w:left="4320" w:hanging="360"/>
      </w:pPr>
      <w:rPr>
        <w:rFonts w:hint="default" w:ascii="Wingdings" w:hAnsi="Wingdings"/>
      </w:rPr>
    </w:lvl>
    <w:lvl w:ilvl="6" w:tplc="7BE6CE0C">
      <w:start w:val="1"/>
      <w:numFmt w:val="bullet"/>
      <w:lvlText w:val=""/>
      <w:lvlJc w:val="left"/>
      <w:pPr>
        <w:ind w:left="5040" w:hanging="360"/>
      </w:pPr>
      <w:rPr>
        <w:rFonts w:hint="default" w:ascii="Symbol" w:hAnsi="Symbol"/>
      </w:rPr>
    </w:lvl>
    <w:lvl w:ilvl="7" w:tplc="2020AD96">
      <w:start w:val="1"/>
      <w:numFmt w:val="bullet"/>
      <w:lvlText w:val="o"/>
      <w:lvlJc w:val="left"/>
      <w:pPr>
        <w:ind w:left="5760" w:hanging="360"/>
      </w:pPr>
      <w:rPr>
        <w:rFonts w:hint="default" w:ascii="Courier New" w:hAnsi="Courier New"/>
      </w:rPr>
    </w:lvl>
    <w:lvl w:ilvl="8" w:tplc="0966F814">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16cid:durableId="1478842448">
    <w:abstractNumId w:val="0"/>
  </w:num>
  <w:num w:numId="2" w16cid:durableId="491263317">
    <w:abstractNumId w:val="2"/>
  </w:num>
  <w:num w:numId="3" w16cid:durableId="39886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DE62"/>
    <w:rsid w:val="001D26FD"/>
    <w:rsid w:val="002A5448"/>
    <w:rsid w:val="0045DE62"/>
    <w:rsid w:val="00490442"/>
    <w:rsid w:val="004E728B"/>
    <w:rsid w:val="00576CBB"/>
    <w:rsid w:val="00968E53"/>
    <w:rsid w:val="00B1712E"/>
    <w:rsid w:val="00B33BFD"/>
    <w:rsid w:val="00B7072C"/>
    <w:rsid w:val="00BA2BF6"/>
    <w:rsid w:val="00BD2894"/>
    <w:rsid w:val="00F3EC12"/>
    <w:rsid w:val="00F72216"/>
    <w:rsid w:val="0103F27C"/>
    <w:rsid w:val="010B7191"/>
    <w:rsid w:val="01298047"/>
    <w:rsid w:val="0164D95B"/>
    <w:rsid w:val="0196E5DF"/>
    <w:rsid w:val="01F60887"/>
    <w:rsid w:val="021F1A38"/>
    <w:rsid w:val="023BBCD9"/>
    <w:rsid w:val="025298C6"/>
    <w:rsid w:val="025BE361"/>
    <w:rsid w:val="026F08B7"/>
    <w:rsid w:val="027C6DE5"/>
    <w:rsid w:val="029DE37F"/>
    <w:rsid w:val="02CDC2A5"/>
    <w:rsid w:val="02DC5E49"/>
    <w:rsid w:val="02E6346D"/>
    <w:rsid w:val="0300AE90"/>
    <w:rsid w:val="0396DC6B"/>
    <w:rsid w:val="03B72852"/>
    <w:rsid w:val="03BDD9AB"/>
    <w:rsid w:val="03BE284A"/>
    <w:rsid w:val="03D78D3A"/>
    <w:rsid w:val="03E588F9"/>
    <w:rsid w:val="04150798"/>
    <w:rsid w:val="0421319C"/>
    <w:rsid w:val="0434C9CB"/>
    <w:rsid w:val="04362984"/>
    <w:rsid w:val="046C6C4F"/>
    <w:rsid w:val="0479CE28"/>
    <w:rsid w:val="049D8849"/>
    <w:rsid w:val="04D295F1"/>
    <w:rsid w:val="04D37C3C"/>
    <w:rsid w:val="0532398A"/>
    <w:rsid w:val="05388BB3"/>
    <w:rsid w:val="053DE075"/>
    <w:rsid w:val="053FC381"/>
    <w:rsid w:val="05488EF9"/>
    <w:rsid w:val="061D157B"/>
    <w:rsid w:val="062B6884"/>
    <w:rsid w:val="06384F52"/>
    <w:rsid w:val="0674AFC8"/>
    <w:rsid w:val="067F893A"/>
    <w:rsid w:val="069C605D"/>
    <w:rsid w:val="06A24DC0"/>
    <w:rsid w:val="071980AF"/>
    <w:rsid w:val="07A92625"/>
    <w:rsid w:val="07ACF516"/>
    <w:rsid w:val="07C3FAF1"/>
    <w:rsid w:val="082DFC02"/>
    <w:rsid w:val="0830D97D"/>
    <w:rsid w:val="083E1E21"/>
    <w:rsid w:val="08A88EC5"/>
    <w:rsid w:val="08B5389C"/>
    <w:rsid w:val="08CE604E"/>
    <w:rsid w:val="09375B42"/>
    <w:rsid w:val="0942F4AD"/>
    <w:rsid w:val="094E1843"/>
    <w:rsid w:val="096FF014"/>
    <w:rsid w:val="099FE180"/>
    <w:rsid w:val="09B80E31"/>
    <w:rsid w:val="09C97BD9"/>
    <w:rsid w:val="09D4A7EA"/>
    <w:rsid w:val="09F1D82E"/>
    <w:rsid w:val="0A46CEBE"/>
    <w:rsid w:val="0A642CC5"/>
    <w:rsid w:val="0A9DEE31"/>
    <w:rsid w:val="0AA414DA"/>
    <w:rsid w:val="0AB4FA33"/>
    <w:rsid w:val="0AB55146"/>
    <w:rsid w:val="0AC1C8DF"/>
    <w:rsid w:val="0B04A736"/>
    <w:rsid w:val="0B096001"/>
    <w:rsid w:val="0BBD3641"/>
    <w:rsid w:val="0BBD6DD5"/>
    <w:rsid w:val="0C271BD6"/>
    <w:rsid w:val="0C32F4C4"/>
    <w:rsid w:val="0C401C18"/>
    <w:rsid w:val="0C405117"/>
    <w:rsid w:val="0C71FD43"/>
    <w:rsid w:val="0CA790D6"/>
    <w:rsid w:val="0CC27582"/>
    <w:rsid w:val="0CD2B93B"/>
    <w:rsid w:val="0D036B06"/>
    <w:rsid w:val="0D0F5771"/>
    <w:rsid w:val="0D2978F0"/>
    <w:rsid w:val="0D48C6F4"/>
    <w:rsid w:val="0D55510B"/>
    <w:rsid w:val="0D7E6F80"/>
    <w:rsid w:val="0DC6828C"/>
    <w:rsid w:val="0DCC7DCB"/>
    <w:rsid w:val="0E2EE760"/>
    <w:rsid w:val="0E38AA56"/>
    <w:rsid w:val="0E504B08"/>
    <w:rsid w:val="0E69339E"/>
    <w:rsid w:val="0E6E899C"/>
    <w:rsid w:val="0E894B6C"/>
    <w:rsid w:val="0EBB3FC6"/>
    <w:rsid w:val="0EEE05AE"/>
    <w:rsid w:val="0F165EA8"/>
    <w:rsid w:val="0F181178"/>
    <w:rsid w:val="0FBA2DF3"/>
    <w:rsid w:val="0FDEA0F2"/>
    <w:rsid w:val="0FE90BB8"/>
    <w:rsid w:val="1002590B"/>
    <w:rsid w:val="1002DAD7"/>
    <w:rsid w:val="1016AC13"/>
    <w:rsid w:val="10251BCD"/>
    <w:rsid w:val="1044294A"/>
    <w:rsid w:val="105A27E6"/>
    <w:rsid w:val="1063F731"/>
    <w:rsid w:val="10B2663B"/>
    <w:rsid w:val="10F2D543"/>
    <w:rsid w:val="1122EDDD"/>
    <w:rsid w:val="114407EE"/>
    <w:rsid w:val="11560E8E"/>
    <w:rsid w:val="1172AF32"/>
    <w:rsid w:val="11BAD47F"/>
    <w:rsid w:val="11BBD809"/>
    <w:rsid w:val="1205F097"/>
    <w:rsid w:val="122172C2"/>
    <w:rsid w:val="122AACDC"/>
    <w:rsid w:val="12512408"/>
    <w:rsid w:val="125884F1"/>
    <w:rsid w:val="1271E920"/>
    <w:rsid w:val="12BEBE3E"/>
    <w:rsid w:val="12C99AC6"/>
    <w:rsid w:val="130199DF"/>
    <w:rsid w:val="1308E8A9"/>
    <w:rsid w:val="132B9236"/>
    <w:rsid w:val="1333FA0E"/>
    <w:rsid w:val="13375CEE"/>
    <w:rsid w:val="135EF077"/>
    <w:rsid w:val="1366C372"/>
    <w:rsid w:val="13752E24"/>
    <w:rsid w:val="13806CC0"/>
    <w:rsid w:val="13BAF10B"/>
    <w:rsid w:val="13D0CEAC"/>
    <w:rsid w:val="13EBA9DF"/>
    <w:rsid w:val="13EE80FC"/>
    <w:rsid w:val="141A2B7A"/>
    <w:rsid w:val="141B8367"/>
    <w:rsid w:val="144D78C2"/>
    <w:rsid w:val="14642112"/>
    <w:rsid w:val="147B582D"/>
    <w:rsid w:val="14B680A8"/>
    <w:rsid w:val="14E9B8D2"/>
    <w:rsid w:val="14FF679C"/>
    <w:rsid w:val="15426FE7"/>
    <w:rsid w:val="157D6E90"/>
    <w:rsid w:val="15BD6931"/>
    <w:rsid w:val="15C244EE"/>
    <w:rsid w:val="15DD5ECA"/>
    <w:rsid w:val="15FFF173"/>
    <w:rsid w:val="16171096"/>
    <w:rsid w:val="167932E2"/>
    <w:rsid w:val="16976485"/>
    <w:rsid w:val="16C1786C"/>
    <w:rsid w:val="16C2DCB8"/>
    <w:rsid w:val="16C821FF"/>
    <w:rsid w:val="16DE3E82"/>
    <w:rsid w:val="16FB78E0"/>
    <w:rsid w:val="17026C6D"/>
    <w:rsid w:val="173820A8"/>
    <w:rsid w:val="1762E9BF"/>
    <w:rsid w:val="17928ECB"/>
    <w:rsid w:val="1796BEF6"/>
    <w:rsid w:val="17B78D7C"/>
    <w:rsid w:val="17DC59CC"/>
    <w:rsid w:val="180B3E79"/>
    <w:rsid w:val="182012E4"/>
    <w:rsid w:val="18313FB4"/>
    <w:rsid w:val="184A89CF"/>
    <w:rsid w:val="18726579"/>
    <w:rsid w:val="1896CB39"/>
    <w:rsid w:val="18B31DC4"/>
    <w:rsid w:val="18CF4283"/>
    <w:rsid w:val="18FC5B8B"/>
    <w:rsid w:val="19379235"/>
    <w:rsid w:val="193E5D22"/>
    <w:rsid w:val="195998CD"/>
    <w:rsid w:val="195C17F9"/>
    <w:rsid w:val="195D67AE"/>
    <w:rsid w:val="1974EB15"/>
    <w:rsid w:val="19D604F6"/>
    <w:rsid w:val="19E0E063"/>
    <w:rsid w:val="19F5FA6A"/>
    <w:rsid w:val="1A29AA5D"/>
    <w:rsid w:val="1A3DB120"/>
    <w:rsid w:val="1A430255"/>
    <w:rsid w:val="1A6C4F69"/>
    <w:rsid w:val="1A8A7BF9"/>
    <w:rsid w:val="1AAFE228"/>
    <w:rsid w:val="1B00F31E"/>
    <w:rsid w:val="1B3DD3F9"/>
    <w:rsid w:val="1B571FDB"/>
    <w:rsid w:val="1B6D4F22"/>
    <w:rsid w:val="1B6EE62C"/>
    <w:rsid w:val="1B996439"/>
    <w:rsid w:val="1BA866E7"/>
    <w:rsid w:val="1BACDB8E"/>
    <w:rsid w:val="1BC32560"/>
    <w:rsid w:val="1BE80C21"/>
    <w:rsid w:val="1C39521A"/>
    <w:rsid w:val="1C604173"/>
    <w:rsid w:val="1C8C7FB1"/>
    <w:rsid w:val="1C959CB9"/>
    <w:rsid w:val="1CA089C4"/>
    <w:rsid w:val="1CB4A026"/>
    <w:rsid w:val="1CE10C1C"/>
    <w:rsid w:val="1CEC853F"/>
    <w:rsid w:val="1D169FD0"/>
    <w:rsid w:val="1D41AB4F"/>
    <w:rsid w:val="1D5CA26D"/>
    <w:rsid w:val="1D5DD82D"/>
    <w:rsid w:val="1D7789B4"/>
    <w:rsid w:val="1D93BAF3"/>
    <w:rsid w:val="1DC23D1A"/>
    <w:rsid w:val="1DE6EE80"/>
    <w:rsid w:val="1E0048A5"/>
    <w:rsid w:val="1E06D072"/>
    <w:rsid w:val="1E09B3FB"/>
    <w:rsid w:val="1E131EAB"/>
    <w:rsid w:val="1E2AB67F"/>
    <w:rsid w:val="1E5E9519"/>
    <w:rsid w:val="1E651D10"/>
    <w:rsid w:val="1E65A682"/>
    <w:rsid w:val="1E6F2DE0"/>
    <w:rsid w:val="1EACB7D2"/>
    <w:rsid w:val="1EC3B2F8"/>
    <w:rsid w:val="1EDE8003"/>
    <w:rsid w:val="1EE0886B"/>
    <w:rsid w:val="1EF8F69B"/>
    <w:rsid w:val="1F004E0C"/>
    <w:rsid w:val="1F1084A1"/>
    <w:rsid w:val="1F52715E"/>
    <w:rsid w:val="1F5274B2"/>
    <w:rsid w:val="1F7F82B6"/>
    <w:rsid w:val="1F997A68"/>
    <w:rsid w:val="1F9C1906"/>
    <w:rsid w:val="1FC686E0"/>
    <w:rsid w:val="1FC91B54"/>
    <w:rsid w:val="1FD845E9"/>
    <w:rsid w:val="201A27E8"/>
    <w:rsid w:val="20286B4D"/>
    <w:rsid w:val="2041E1A0"/>
    <w:rsid w:val="205FAEC7"/>
    <w:rsid w:val="207FA9AF"/>
    <w:rsid w:val="20AEA5C0"/>
    <w:rsid w:val="20D1D960"/>
    <w:rsid w:val="20D64EEF"/>
    <w:rsid w:val="20D96BB3"/>
    <w:rsid w:val="20FF1872"/>
    <w:rsid w:val="21472550"/>
    <w:rsid w:val="21520952"/>
    <w:rsid w:val="217B04CC"/>
    <w:rsid w:val="2203CBCE"/>
    <w:rsid w:val="22235767"/>
    <w:rsid w:val="22777588"/>
    <w:rsid w:val="22ABE0DB"/>
    <w:rsid w:val="22BACF9A"/>
    <w:rsid w:val="22C4D14C"/>
    <w:rsid w:val="22DDC201"/>
    <w:rsid w:val="2310CD3D"/>
    <w:rsid w:val="2356F70F"/>
    <w:rsid w:val="2369E7BC"/>
    <w:rsid w:val="237BCC70"/>
    <w:rsid w:val="239CAA45"/>
    <w:rsid w:val="23A474A2"/>
    <w:rsid w:val="23D3BF2F"/>
    <w:rsid w:val="23E2A3DF"/>
    <w:rsid w:val="23FD45B5"/>
    <w:rsid w:val="2400F933"/>
    <w:rsid w:val="2407016A"/>
    <w:rsid w:val="240E520A"/>
    <w:rsid w:val="2412CF66"/>
    <w:rsid w:val="2445933B"/>
    <w:rsid w:val="2474A995"/>
    <w:rsid w:val="24807871"/>
    <w:rsid w:val="24837C77"/>
    <w:rsid w:val="24880F4A"/>
    <w:rsid w:val="24D0B40B"/>
    <w:rsid w:val="24EB84EC"/>
    <w:rsid w:val="24FBDC70"/>
    <w:rsid w:val="252CC3B0"/>
    <w:rsid w:val="25333645"/>
    <w:rsid w:val="253B78E0"/>
    <w:rsid w:val="254439EB"/>
    <w:rsid w:val="25546A63"/>
    <w:rsid w:val="2574D2BC"/>
    <w:rsid w:val="257E7440"/>
    <w:rsid w:val="25B589D9"/>
    <w:rsid w:val="25B9ADA1"/>
    <w:rsid w:val="25C68263"/>
    <w:rsid w:val="25E2AF2B"/>
    <w:rsid w:val="25E60C87"/>
    <w:rsid w:val="25E74E6A"/>
    <w:rsid w:val="25FDA26A"/>
    <w:rsid w:val="262176D8"/>
    <w:rsid w:val="2625EE53"/>
    <w:rsid w:val="264A13A7"/>
    <w:rsid w:val="267AFE9A"/>
    <w:rsid w:val="26C6D4DC"/>
    <w:rsid w:val="26CF23AF"/>
    <w:rsid w:val="26FAFBFD"/>
    <w:rsid w:val="26FE3539"/>
    <w:rsid w:val="26FFC5C4"/>
    <w:rsid w:val="27134620"/>
    <w:rsid w:val="2736DEB5"/>
    <w:rsid w:val="273A38B4"/>
    <w:rsid w:val="273A6C1F"/>
    <w:rsid w:val="27415BF1"/>
    <w:rsid w:val="276B36F7"/>
    <w:rsid w:val="27873969"/>
    <w:rsid w:val="27CBA927"/>
    <w:rsid w:val="27D739F3"/>
    <w:rsid w:val="27E1DB04"/>
    <w:rsid w:val="27E35128"/>
    <w:rsid w:val="2825293E"/>
    <w:rsid w:val="282B6E06"/>
    <w:rsid w:val="283D3025"/>
    <w:rsid w:val="284E0C67"/>
    <w:rsid w:val="286A01AD"/>
    <w:rsid w:val="289775A1"/>
    <w:rsid w:val="28AC51FD"/>
    <w:rsid w:val="28D2C42F"/>
    <w:rsid w:val="28D9D76B"/>
    <w:rsid w:val="28DB6854"/>
    <w:rsid w:val="28DF811A"/>
    <w:rsid w:val="290C63D4"/>
    <w:rsid w:val="2919ECAE"/>
    <w:rsid w:val="292DC1D3"/>
    <w:rsid w:val="2A05D20E"/>
    <w:rsid w:val="2A360960"/>
    <w:rsid w:val="2A533AF2"/>
    <w:rsid w:val="2A74CF0B"/>
    <w:rsid w:val="2A7BBB84"/>
    <w:rsid w:val="2A91D84E"/>
    <w:rsid w:val="2A939916"/>
    <w:rsid w:val="2A94FDD6"/>
    <w:rsid w:val="2AA11EE9"/>
    <w:rsid w:val="2AFB97D7"/>
    <w:rsid w:val="2AFF29E7"/>
    <w:rsid w:val="2B1F98B5"/>
    <w:rsid w:val="2B377EE4"/>
    <w:rsid w:val="2B3AA8F8"/>
    <w:rsid w:val="2B418442"/>
    <w:rsid w:val="2B66FF2E"/>
    <w:rsid w:val="2BC420F6"/>
    <w:rsid w:val="2BF9F1E1"/>
    <w:rsid w:val="2C119226"/>
    <w:rsid w:val="2C1F9506"/>
    <w:rsid w:val="2C207E4A"/>
    <w:rsid w:val="2C50048F"/>
    <w:rsid w:val="2C51A541"/>
    <w:rsid w:val="2C5B9408"/>
    <w:rsid w:val="2C62DC71"/>
    <w:rsid w:val="2C747448"/>
    <w:rsid w:val="2C9D99EE"/>
    <w:rsid w:val="2CA1C13B"/>
    <w:rsid w:val="2CC906AD"/>
    <w:rsid w:val="2CD93B67"/>
    <w:rsid w:val="2CDBE68B"/>
    <w:rsid w:val="2D5ADF38"/>
    <w:rsid w:val="2D8D1660"/>
    <w:rsid w:val="2DA65EDB"/>
    <w:rsid w:val="2DAD8F39"/>
    <w:rsid w:val="2DB7440E"/>
    <w:rsid w:val="2DDC40CA"/>
    <w:rsid w:val="2E113660"/>
    <w:rsid w:val="2E14F929"/>
    <w:rsid w:val="2E176E01"/>
    <w:rsid w:val="2E2821E3"/>
    <w:rsid w:val="2E2E37D3"/>
    <w:rsid w:val="2E335634"/>
    <w:rsid w:val="2E3E3E66"/>
    <w:rsid w:val="2E48D14C"/>
    <w:rsid w:val="2E684814"/>
    <w:rsid w:val="2E688B91"/>
    <w:rsid w:val="2E6EB7FC"/>
    <w:rsid w:val="2E8D3F30"/>
    <w:rsid w:val="2EAF2499"/>
    <w:rsid w:val="2EC01AD4"/>
    <w:rsid w:val="2F0CC779"/>
    <w:rsid w:val="2F0F4ECE"/>
    <w:rsid w:val="2F22500A"/>
    <w:rsid w:val="2F3C19EA"/>
    <w:rsid w:val="2F654971"/>
    <w:rsid w:val="2F76EE39"/>
    <w:rsid w:val="2F892E32"/>
    <w:rsid w:val="2FDE3AD6"/>
    <w:rsid w:val="2FFE75CD"/>
    <w:rsid w:val="30082501"/>
    <w:rsid w:val="30B06ABC"/>
    <w:rsid w:val="30B3EDFB"/>
    <w:rsid w:val="30B59E84"/>
    <w:rsid w:val="30C0CEA9"/>
    <w:rsid w:val="30EA5A33"/>
    <w:rsid w:val="3124FE93"/>
    <w:rsid w:val="31389030"/>
    <w:rsid w:val="31468DEB"/>
    <w:rsid w:val="31806891"/>
    <w:rsid w:val="318AC7E9"/>
    <w:rsid w:val="31B33B63"/>
    <w:rsid w:val="31E4A699"/>
    <w:rsid w:val="31F7BB96"/>
    <w:rsid w:val="32061BEB"/>
    <w:rsid w:val="32270698"/>
    <w:rsid w:val="3273FA72"/>
    <w:rsid w:val="3289D1A9"/>
    <w:rsid w:val="328C0342"/>
    <w:rsid w:val="329E51E2"/>
    <w:rsid w:val="32B62102"/>
    <w:rsid w:val="32C0E6C5"/>
    <w:rsid w:val="32D5D39D"/>
    <w:rsid w:val="32EA735C"/>
    <w:rsid w:val="32FE2A04"/>
    <w:rsid w:val="331E3F78"/>
    <w:rsid w:val="336EAC12"/>
    <w:rsid w:val="3372F68C"/>
    <w:rsid w:val="3385DFF9"/>
    <w:rsid w:val="33AD3E6C"/>
    <w:rsid w:val="33CF32DB"/>
    <w:rsid w:val="33D5CC6B"/>
    <w:rsid w:val="33F9D243"/>
    <w:rsid w:val="34111A6A"/>
    <w:rsid w:val="34BCF132"/>
    <w:rsid w:val="34E16229"/>
    <w:rsid w:val="34E6A0EA"/>
    <w:rsid w:val="353848D4"/>
    <w:rsid w:val="3548E154"/>
    <w:rsid w:val="3549EE54"/>
    <w:rsid w:val="35558A3C"/>
    <w:rsid w:val="35640E0F"/>
    <w:rsid w:val="35A474EB"/>
    <w:rsid w:val="35D7F2A0"/>
    <w:rsid w:val="35DF4759"/>
    <w:rsid w:val="35F09AFC"/>
    <w:rsid w:val="360E2B2A"/>
    <w:rsid w:val="362F0324"/>
    <w:rsid w:val="363B346B"/>
    <w:rsid w:val="3642830A"/>
    <w:rsid w:val="3658C193"/>
    <w:rsid w:val="366E2D6E"/>
    <w:rsid w:val="36715278"/>
    <w:rsid w:val="3678B048"/>
    <w:rsid w:val="36816DA5"/>
    <w:rsid w:val="36A76E9C"/>
    <w:rsid w:val="36B00D4E"/>
    <w:rsid w:val="36C919BE"/>
    <w:rsid w:val="36CE1A9D"/>
    <w:rsid w:val="37357FC7"/>
    <w:rsid w:val="37562F9B"/>
    <w:rsid w:val="377B17BA"/>
    <w:rsid w:val="37886B31"/>
    <w:rsid w:val="37A1E184"/>
    <w:rsid w:val="37CDC71D"/>
    <w:rsid w:val="38122AD0"/>
    <w:rsid w:val="386EEAA0"/>
    <w:rsid w:val="387EFF1D"/>
    <w:rsid w:val="3887BDA0"/>
    <w:rsid w:val="38D1DC50"/>
    <w:rsid w:val="38F9132D"/>
    <w:rsid w:val="39070C9E"/>
    <w:rsid w:val="3911CD0F"/>
    <w:rsid w:val="3913EE8B"/>
    <w:rsid w:val="3927EE62"/>
    <w:rsid w:val="394D5CCF"/>
    <w:rsid w:val="3960D9C8"/>
    <w:rsid w:val="399A94F9"/>
    <w:rsid w:val="39D15946"/>
    <w:rsid w:val="3A0ABB01"/>
    <w:rsid w:val="3A16FB7B"/>
    <w:rsid w:val="3A1DFD29"/>
    <w:rsid w:val="3A2029EC"/>
    <w:rsid w:val="3A4DA857"/>
    <w:rsid w:val="3A50AE0F"/>
    <w:rsid w:val="3AC64A19"/>
    <w:rsid w:val="3AF6906E"/>
    <w:rsid w:val="3B0E227A"/>
    <w:rsid w:val="3B1C9086"/>
    <w:rsid w:val="3B53A240"/>
    <w:rsid w:val="3B657409"/>
    <w:rsid w:val="3B705013"/>
    <w:rsid w:val="3B745022"/>
    <w:rsid w:val="3B86D92D"/>
    <w:rsid w:val="3B8A7223"/>
    <w:rsid w:val="3BD1D715"/>
    <w:rsid w:val="3BD4A979"/>
    <w:rsid w:val="3C0D2BA9"/>
    <w:rsid w:val="3C24D7AC"/>
    <w:rsid w:val="3C3E8904"/>
    <w:rsid w:val="3C78D20C"/>
    <w:rsid w:val="3C817BB8"/>
    <w:rsid w:val="3C880D13"/>
    <w:rsid w:val="3C8D0114"/>
    <w:rsid w:val="3CB55F74"/>
    <w:rsid w:val="3CD7D74C"/>
    <w:rsid w:val="3CE1BA80"/>
    <w:rsid w:val="3D24C3C9"/>
    <w:rsid w:val="3D2C6D59"/>
    <w:rsid w:val="3D3A6AE9"/>
    <w:rsid w:val="3D4A9F09"/>
    <w:rsid w:val="3D516A15"/>
    <w:rsid w:val="3D739EEC"/>
    <w:rsid w:val="3D837B16"/>
    <w:rsid w:val="3D854919"/>
    <w:rsid w:val="3D9FE053"/>
    <w:rsid w:val="3DA0B429"/>
    <w:rsid w:val="3DB74BD5"/>
    <w:rsid w:val="3DD8397F"/>
    <w:rsid w:val="3E08B48B"/>
    <w:rsid w:val="3E14A26D"/>
    <w:rsid w:val="3E3BD75D"/>
    <w:rsid w:val="3EC57A7C"/>
    <w:rsid w:val="3EC8B8AF"/>
    <w:rsid w:val="3ECDA6B9"/>
    <w:rsid w:val="3F00DB6A"/>
    <w:rsid w:val="3F17FACF"/>
    <w:rsid w:val="3F1B1D1D"/>
    <w:rsid w:val="3F20B2EA"/>
    <w:rsid w:val="3F657AF1"/>
    <w:rsid w:val="3F6DA302"/>
    <w:rsid w:val="3F7309F3"/>
    <w:rsid w:val="3FB0D934"/>
    <w:rsid w:val="3FB91C7A"/>
    <w:rsid w:val="3FE733A5"/>
    <w:rsid w:val="40042C29"/>
    <w:rsid w:val="402115F7"/>
    <w:rsid w:val="406DF5CF"/>
    <w:rsid w:val="4085110B"/>
    <w:rsid w:val="409B62B5"/>
    <w:rsid w:val="40C60FDA"/>
    <w:rsid w:val="4109FC96"/>
    <w:rsid w:val="410C03B4"/>
    <w:rsid w:val="411F2B22"/>
    <w:rsid w:val="41273B47"/>
    <w:rsid w:val="417D63FE"/>
    <w:rsid w:val="418FDF66"/>
    <w:rsid w:val="41A19B3C"/>
    <w:rsid w:val="41F1A921"/>
    <w:rsid w:val="420F48B6"/>
    <w:rsid w:val="42364FF5"/>
    <w:rsid w:val="423BC207"/>
    <w:rsid w:val="42513F94"/>
    <w:rsid w:val="426FDB89"/>
    <w:rsid w:val="42782F90"/>
    <w:rsid w:val="427960D5"/>
    <w:rsid w:val="427DF57F"/>
    <w:rsid w:val="429D4CAD"/>
    <w:rsid w:val="42BAFB83"/>
    <w:rsid w:val="42BB2A2B"/>
    <w:rsid w:val="42C7900B"/>
    <w:rsid w:val="42E8E6DC"/>
    <w:rsid w:val="42F5AE00"/>
    <w:rsid w:val="4319345F"/>
    <w:rsid w:val="431EB564"/>
    <w:rsid w:val="434BC22D"/>
    <w:rsid w:val="43856ED1"/>
    <w:rsid w:val="4403539D"/>
    <w:rsid w:val="4468695B"/>
    <w:rsid w:val="446887AC"/>
    <w:rsid w:val="446A0BD4"/>
    <w:rsid w:val="448F3626"/>
    <w:rsid w:val="449E78EF"/>
    <w:rsid w:val="44BA85C5"/>
    <w:rsid w:val="44CB4C86"/>
    <w:rsid w:val="44F10D2B"/>
    <w:rsid w:val="44F97C21"/>
    <w:rsid w:val="455A830E"/>
    <w:rsid w:val="45609179"/>
    <w:rsid w:val="4579CCDB"/>
    <w:rsid w:val="458FE499"/>
    <w:rsid w:val="45A04BA7"/>
    <w:rsid w:val="45CC6B49"/>
    <w:rsid w:val="45DA78DF"/>
    <w:rsid w:val="460021C2"/>
    <w:rsid w:val="461698D7"/>
    <w:rsid w:val="46628D84"/>
    <w:rsid w:val="466BED92"/>
    <w:rsid w:val="466E3C2E"/>
    <w:rsid w:val="4679193B"/>
    <w:rsid w:val="468C51AA"/>
    <w:rsid w:val="469C5994"/>
    <w:rsid w:val="46AC6DBA"/>
    <w:rsid w:val="46BDD1C0"/>
    <w:rsid w:val="46D0CE9E"/>
    <w:rsid w:val="46D9E239"/>
    <w:rsid w:val="47333600"/>
    <w:rsid w:val="47353A94"/>
    <w:rsid w:val="475F9B1B"/>
    <w:rsid w:val="47807626"/>
    <w:rsid w:val="4782D239"/>
    <w:rsid w:val="47C3D89F"/>
    <w:rsid w:val="47F8F57D"/>
    <w:rsid w:val="483AE78B"/>
    <w:rsid w:val="4843131C"/>
    <w:rsid w:val="4873D811"/>
    <w:rsid w:val="48A089B8"/>
    <w:rsid w:val="48B42407"/>
    <w:rsid w:val="48F382FE"/>
    <w:rsid w:val="49404560"/>
    <w:rsid w:val="494373D6"/>
    <w:rsid w:val="4957BB7A"/>
    <w:rsid w:val="495E56F8"/>
    <w:rsid w:val="49805196"/>
    <w:rsid w:val="49C90C0B"/>
    <w:rsid w:val="49F2A981"/>
    <w:rsid w:val="4A1B4190"/>
    <w:rsid w:val="4A2D4EEA"/>
    <w:rsid w:val="4A920734"/>
    <w:rsid w:val="4A955764"/>
    <w:rsid w:val="4AA55AAE"/>
    <w:rsid w:val="4AD7C930"/>
    <w:rsid w:val="4AE1D013"/>
    <w:rsid w:val="4AE396C7"/>
    <w:rsid w:val="4AEF1F09"/>
    <w:rsid w:val="4AFB7961"/>
    <w:rsid w:val="4B4B8EA1"/>
    <w:rsid w:val="4B7AA48F"/>
    <w:rsid w:val="4B7AB3DE"/>
    <w:rsid w:val="4B9265E4"/>
    <w:rsid w:val="4BC91F4B"/>
    <w:rsid w:val="4C22C277"/>
    <w:rsid w:val="4C5DC980"/>
    <w:rsid w:val="4C7CA720"/>
    <w:rsid w:val="4CA5C8A6"/>
    <w:rsid w:val="4CA624FA"/>
    <w:rsid w:val="4CB13870"/>
    <w:rsid w:val="4CD4D2B9"/>
    <w:rsid w:val="4CE08E93"/>
    <w:rsid w:val="4D0142C1"/>
    <w:rsid w:val="4D330526"/>
    <w:rsid w:val="4D8F92A7"/>
    <w:rsid w:val="4D99CC64"/>
    <w:rsid w:val="4DAC47CA"/>
    <w:rsid w:val="4E02D945"/>
    <w:rsid w:val="4E064CB8"/>
    <w:rsid w:val="4E17742E"/>
    <w:rsid w:val="4E48B1A3"/>
    <w:rsid w:val="4E53EC42"/>
    <w:rsid w:val="4E9D1322"/>
    <w:rsid w:val="4F0560CD"/>
    <w:rsid w:val="4F2B85CD"/>
    <w:rsid w:val="4F41FD2C"/>
    <w:rsid w:val="4F5CDDC5"/>
    <w:rsid w:val="4F697F84"/>
    <w:rsid w:val="4FE38A72"/>
    <w:rsid w:val="5000FB1F"/>
    <w:rsid w:val="5035E2B5"/>
    <w:rsid w:val="503A27A3"/>
    <w:rsid w:val="50593FE5"/>
    <w:rsid w:val="50AC52D9"/>
    <w:rsid w:val="51170175"/>
    <w:rsid w:val="515CAE77"/>
    <w:rsid w:val="516CBDBB"/>
    <w:rsid w:val="51C23ED8"/>
    <w:rsid w:val="51C5ED7B"/>
    <w:rsid w:val="51E557D4"/>
    <w:rsid w:val="520098A1"/>
    <w:rsid w:val="520DC2C5"/>
    <w:rsid w:val="5212B860"/>
    <w:rsid w:val="526713F3"/>
    <w:rsid w:val="5298B529"/>
    <w:rsid w:val="52A5DB1B"/>
    <w:rsid w:val="52BF7349"/>
    <w:rsid w:val="52D2C047"/>
    <w:rsid w:val="52DBA04B"/>
    <w:rsid w:val="52E5E249"/>
    <w:rsid w:val="52F30AD5"/>
    <w:rsid w:val="52FF45D3"/>
    <w:rsid w:val="5308ABA4"/>
    <w:rsid w:val="530ECE8C"/>
    <w:rsid w:val="53188D69"/>
    <w:rsid w:val="532CBC46"/>
    <w:rsid w:val="53428939"/>
    <w:rsid w:val="53A96DB5"/>
    <w:rsid w:val="53AFBEBC"/>
    <w:rsid w:val="53B90890"/>
    <w:rsid w:val="53D8D1F0"/>
    <w:rsid w:val="5404A9B7"/>
    <w:rsid w:val="543D80E2"/>
    <w:rsid w:val="546A2233"/>
    <w:rsid w:val="547AA28E"/>
    <w:rsid w:val="54956FA5"/>
    <w:rsid w:val="54998B37"/>
    <w:rsid w:val="54D57BF8"/>
    <w:rsid w:val="54F2BD93"/>
    <w:rsid w:val="55383963"/>
    <w:rsid w:val="5540E00C"/>
    <w:rsid w:val="55415004"/>
    <w:rsid w:val="55478A44"/>
    <w:rsid w:val="555636BF"/>
    <w:rsid w:val="5559B1A1"/>
    <w:rsid w:val="55853D5F"/>
    <w:rsid w:val="55860FF9"/>
    <w:rsid w:val="5593C388"/>
    <w:rsid w:val="55A89390"/>
    <w:rsid w:val="55BA3DDF"/>
    <w:rsid w:val="55DC7F28"/>
    <w:rsid w:val="560A6109"/>
    <w:rsid w:val="563E2C08"/>
    <w:rsid w:val="5654919A"/>
    <w:rsid w:val="56B35DD2"/>
    <w:rsid w:val="56C033A4"/>
    <w:rsid w:val="56E1CA6D"/>
    <w:rsid w:val="56EFEF39"/>
    <w:rsid w:val="572318B7"/>
    <w:rsid w:val="5724085C"/>
    <w:rsid w:val="57295B75"/>
    <w:rsid w:val="5740C7D5"/>
    <w:rsid w:val="5764B219"/>
    <w:rsid w:val="576769D4"/>
    <w:rsid w:val="576B5718"/>
    <w:rsid w:val="578402F4"/>
    <w:rsid w:val="57BAD028"/>
    <w:rsid w:val="57C61E0F"/>
    <w:rsid w:val="5865E741"/>
    <w:rsid w:val="586FDA25"/>
    <w:rsid w:val="5875A72C"/>
    <w:rsid w:val="58AC4313"/>
    <w:rsid w:val="58B580AB"/>
    <w:rsid w:val="58C9260D"/>
    <w:rsid w:val="58E07D6A"/>
    <w:rsid w:val="590B4853"/>
    <w:rsid w:val="591378C2"/>
    <w:rsid w:val="5932459D"/>
    <w:rsid w:val="59480D10"/>
    <w:rsid w:val="594FA1FA"/>
    <w:rsid w:val="5975CCCA"/>
    <w:rsid w:val="59A7735F"/>
    <w:rsid w:val="59B1AEAC"/>
    <w:rsid w:val="59CCC0DF"/>
    <w:rsid w:val="5A240A4F"/>
    <w:rsid w:val="5A59811C"/>
    <w:rsid w:val="5A6D3A51"/>
    <w:rsid w:val="5A7155E9"/>
    <w:rsid w:val="5A78A97C"/>
    <w:rsid w:val="5A7EB548"/>
    <w:rsid w:val="5AAF4923"/>
    <w:rsid w:val="5AB1334D"/>
    <w:rsid w:val="5AC5F07F"/>
    <w:rsid w:val="5ADFE3F3"/>
    <w:rsid w:val="5AF5DA80"/>
    <w:rsid w:val="5B083C88"/>
    <w:rsid w:val="5B66F805"/>
    <w:rsid w:val="5B785256"/>
    <w:rsid w:val="5B7B841C"/>
    <w:rsid w:val="5B9EFAFD"/>
    <w:rsid w:val="5BDD7FED"/>
    <w:rsid w:val="5BE3E3D5"/>
    <w:rsid w:val="5C0762F4"/>
    <w:rsid w:val="5C344700"/>
    <w:rsid w:val="5C38A024"/>
    <w:rsid w:val="5C5DB6DE"/>
    <w:rsid w:val="5C79366A"/>
    <w:rsid w:val="5C86B446"/>
    <w:rsid w:val="5C913FAC"/>
    <w:rsid w:val="5CA1A522"/>
    <w:rsid w:val="5CD0B996"/>
    <w:rsid w:val="5CE8EDA0"/>
    <w:rsid w:val="5D0EF5AF"/>
    <w:rsid w:val="5D7268DA"/>
    <w:rsid w:val="5D7698BB"/>
    <w:rsid w:val="5D863DE0"/>
    <w:rsid w:val="5D9E6205"/>
    <w:rsid w:val="5DA4D821"/>
    <w:rsid w:val="5DB3EE8D"/>
    <w:rsid w:val="5DC7A867"/>
    <w:rsid w:val="5DD979EB"/>
    <w:rsid w:val="5DD9FAC0"/>
    <w:rsid w:val="5DE7EF64"/>
    <w:rsid w:val="5DFBDAF5"/>
    <w:rsid w:val="5E175126"/>
    <w:rsid w:val="5E2BC4C8"/>
    <w:rsid w:val="5E869B9D"/>
    <w:rsid w:val="5E94D789"/>
    <w:rsid w:val="5EB26824"/>
    <w:rsid w:val="5ED5442D"/>
    <w:rsid w:val="5EFC76E7"/>
    <w:rsid w:val="5EFF74DB"/>
    <w:rsid w:val="5F706A84"/>
    <w:rsid w:val="5F7534F2"/>
    <w:rsid w:val="5F9A53B3"/>
    <w:rsid w:val="5F9E324F"/>
    <w:rsid w:val="5FA92401"/>
    <w:rsid w:val="5FAB43BB"/>
    <w:rsid w:val="5FB80797"/>
    <w:rsid w:val="6015FE94"/>
    <w:rsid w:val="604117BB"/>
    <w:rsid w:val="6056D078"/>
    <w:rsid w:val="60AE6C50"/>
    <w:rsid w:val="60DAD417"/>
    <w:rsid w:val="611856EB"/>
    <w:rsid w:val="61302F2F"/>
    <w:rsid w:val="614CFC42"/>
    <w:rsid w:val="61540406"/>
    <w:rsid w:val="6177A7AB"/>
    <w:rsid w:val="617E183B"/>
    <w:rsid w:val="61B260D1"/>
    <w:rsid w:val="61D8E175"/>
    <w:rsid w:val="620B3F8C"/>
    <w:rsid w:val="620CE4EF"/>
    <w:rsid w:val="6241CFF7"/>
    <w:rsid w:val="624E93ED"/>
    <w:rsid w:val="625A961C"/>
    <w:rsid w:val="62A5C9B5"/>
    <w:rsid w:val="62C2A450"/>
    <w:rsid w:val="62CE7AAD"/>
    <w:rsid w:val="62EC0C04"/>
    <w:rsid w:val="630386B3"/>
    <w:rsid w:val="6314CA63"/>
    <w:rsid w:val="634B83C2"/>
    <w:rsid w:val="6361DF19"/>
    <w:rsid w:val="638E648F"/>
    <w:rsid w:val="63BFA1CB"/>
    <w:rsid w:val="643D89E6"/>
    <w:rsid w:val="6456EEF4"/>
    <w:rsid w:val="6460D3EF"/>
    <w:rsid w:val="646D4BDC"/>
    <w:rsid w:val="649FC74E"/>
    <w:rsid w:val="64DF3B2D"/>
    <w:rsid w:val="64E2B398"/>
    <w:rsid w:val="650E7E6A"/>
    <w:rsid w:val="652A8A0D"/>
    <w:rsid w:val="653107F7"/>
    <w:rsid w:val="654548FB"/>
    <w:rsid w:val="654A52B7"/>
    <w:rsid w:val="65688266"/>
    <w:rsid w:val="65A499C0"/>
    <w:rsid w:val="65C1CD84"/>
    <w:rsid w:val="65D68A71"/>
    <w:rsid w:val="65DAEF07"/>
    <w:rsid w:val="65F862D6"/>
    <w:rsid w:val="66042587"/>
    <w:rsid w:val="6626DFD1"/>
    <w:rsid w:val="664C6B25"/>
    <w:rsid w:val="667C94F8"/>
    <w:rsid w:val="669AFD33"/>
    <w:rsid w:val="66CD5384"/>
    <w:rsid w:val="66D7DCDB"/>
    <w:rsid w:val="66DA493E"/>
    <w:rsid w:val="66DFB5BA"/>
    <w:rsid w:val="672014E4"/>
    <w:rsid w:val="672A74EC"/>
    <w:rsid w:val="67372DAE"/>
    <w:rsid w:val="673A1F40"/>
    <w:rsid w:val="67486E37"/>
    <w:rsid w:val="675FA4D1"/>
    <w:rsid w:val="676C735F"/>
    <w:rsid w:val="67754AF6"/>
    <w:rsid w:val="67806E9A"/>
    <w:rsid w:val="67827A6A"/>
    <w:rsid w:val="67869DAF"/>
    <w:rsid w:val="67B26AB0"/>
    <w:rsid w:val="67D76810"/>
    <w:rsid w:val="67DBD91A"/>
    <w:rsid w:val="681A8AAB"/>
    <w:rsid w:val="683C9F06"/>
    <w:rsid w:val="685BFB97"/>
    <w:rsid w:val="685DD7D8"/>
    <w:rsid w:val="68B1117B"/>
    <w:rsid w:val="68CABAC9"/>
    <w:rsid w:val="68D2FE0F"/>
    <w:rsid w:val="68EEADB0"/>
    <w:rsid w:val="68FE2196"/>
    <w:rsid w:val="692140AB"/>
    <w:rsid w:val="69760C27"/>
    <w:rsid w:val="69764620"/>
    <w:rsid w:val="69A8F597"/>
    <w:rsid w:val="69BEC577"/>
    <w:rsid w:val="69F40AD5"/>
    <w:rsid w:val="69F5E780"/>
    <w:rsid w:val="6A08CE2C"/>
    <w:rsid w:val="6A299B9C"/>
    <w:rsid w:val="6A3C74A5"/>
    <w:rsid w:val="6A4CE1DC"/>
    <w:rsid w:val="6A5CAEBF"/>
    <w:rsid w:val="6A8CBC2A"/>
    <w:rsid w:val="6AE860F0"/>
    <w:rsid w:val="6AED362C"/>
    <w:rsid w:val="6B0297D1"/>
    <w:rsid w:val="6B03B2BE"/>
    <w:rsid w:val="6B0CF20C"/>
    <w:rsid w:val="6B4D8E9E"/>
    <w:rsid w:val="6B834713"/>
    <w:rsid w:val="6B8F58EA"/>
    <w:rsid w:val="6BB4F38B"/>
    <w:rsid w:val="6BB7C8F9"/>
    <w:rsid w:val="6BBC7C8D"/>
    <w:rsid w:val="6BD860C2"/>
    <w:rsid w:val="6C728994"/>
    <w:rsid w:val="6C843151"/>
    <w:rsid w:val="6C88CEB0"/>
    <w:rsid w:val="6C983947"/>
    <w:rsid w:val="6CAAD933"/>
    <w:rsid w:val="6CAFFDC4"/>
    <w:rsid w:val="6CB938F2"/>
    <w:rsid w:val="6CC8A95C"/>
    <w:rsid w:val="6CEAF0F2"/>
    <w:rsid w:val="6CED4381"/>
    <w:rsid w:val="6D1E14EB"/>
    <w:rsid w:val="6D30EBBA"/>
    <w:rsid w:val="6D406EEE"/>
    <w:rsid w:val="6D5B6B9E"/>
    <w:rsid w:val="6D65EAD2"/>
    <w:rsid w:val="6D67EA21"/>
    <w:rsid w:val="6D8C2AEA"/>
    <w:rsid w:val="6DB64C58"/>
    <w:rsid w:val="6DCC658D"/>
    <w:rsid w:val="6E4133CC"/>
    <w:rsid w:val="6E832007"/>
    <w:rsid w:val="6EE51844"/>
    <w:rsid w:val="6EEB0227"/>
    <w:rsid w:val="6EFB7928"/>
    <w:rsid w:val="6F07E4C3"/>
    <w:rsid w:val="6F26A9AE"/>
    <w:rsid w:val="6F439517"/>
    <w:rsid w:val="6F5D1506"/>
    <w:rsid w:val="6FA62ED9"/>
    <w:rsid w:val="6FD03709"/>
    <w:rsid w:val="6FD6AF47"/>
    <w:rsid w:val="6FDD042D"/>
    <w:rsid w:val="6FEF8A93"/>
    <w:rsid w:val="7004D8D3"/>
    <w:rsid w:val="7008CEC1"/>
    <w:rsid w:val="70105114"/>
    <w:rsid w:val="70128AD8"/>
    <w:rsid w:val="701DB09F"/>
    <w:rsid w:val="7021F9E4"/>
    <w:rsid w:val="7026EC48"/>
    <w:rsid w:val="70404E43"/>
    <w:rsid w:val="7053C563"/>
    <w:rsid w:val="707E212C"/>
    <w:rsid w:val="7082C855"/>
    <w:rsid w:val="7089DF00"/>
    <w:rsid w:val="708E618C"/>
    <w:rsid w:val="70C0A0AD"/>
    <w:rsid w:val="70D3F8F1"/>
    <w:rsid w:val="7106B4C7"/>
    <w:rsid w:val="712A07DF"/>
    <w:rsid w:val="714738B8"/>
    <w:rsid w:val="718A48DB"/>
    <w:rsid w:val="71BADD79"/>
    <w:rsid w:val="71BB8451"/>
    <w:rsid w:val="71EAEC8A"/>
    <w:rsid w:val="7217949A"/>
    <w:rsid w:val="7219F18D"/>
    <w:rsid w:val="722F5BFC"/>
    <w:rsid w:val="724156BA"/>
    <w:rsid w:val="72451EE5"/>
    <w:rsid w:val="725E78B9"/>
    <w:rsid w:val="7274715C"/>
    <w:rsid w:val="72894DEC"/>
    <w:rsid w:val="7294B5C8"/>
    <w:rsid w:val="72D2E641"/>
    <w:rsid w:val="72D7B7B8"/>
    <w:rsid w:val="734A96AE"/>
    <w:rsid w:val="7350BD97"/>
    <w:rsid w:val="73536882"/>
    <w:rsid w:val="73628A86"/>
    <w:rsid w:val="739BD36E"/>
    <w:rsid w:val="73AE0389"/>
    <w:rsid w:val="73BFC9E1"/>
    <w:rsid w:val="73C361D7"/>
    <w:rsid w:val="73D90C20"/>
    <w:rsid w:val="745A182A"/>
    <w:rsid w:val="748488C2"/>
    <w:rsid w:val="74CB4FE1"/>
    <w:rsid w:val="74D0F386"/>
    <w:rsid w:val="74EF7CD5"/>
    <w:rsid w:val="74F325EF"/>
    <w:rsid w:val="74FE87B7"/>
    <w:rsid w:val="7514AE56"/>
    <w:rsid w:val="7514B7B2"/>
    <w:rsid w:val="7551924F"/>
    <w:rsid w:val="75A3A096"/>
    <w:rsid w:val="75C2E85B"/>
    <w:rsid w:val="75CBFDFA"/>
    <w:rsid w:val="75D47F0F"/>
    <w:rsid w:val="75D921C4"/>
    <w:rsid w:val="75FDBD58"/>
    <w:rsid w:val="7603F5AC"/>
    <w:rsid w:val="761679F6"/>
    <w:rsid w:val="762DDCEC"/>
    <w:rsid w:val="766ECE9B"/>
    <w:rsid w:val="76970A0B"/>
    <w:rsid w:val="76F27E87"/>
    <w:rsid w:val="76F386D1"/>
    <w:rsid w:val="7774EB13"/>
    <w:rsid w:val="77E3E83B"/>
    <w:rsid w:val="77FD4C6C"/>
    <w:rsid w:val="7805192A"/>
    <w:rsid w:val="7821395E"/>
    <w:rsid w:val="78729DD9"/>
    <w:rsid w:val="78890BD3"/>
    <w:rsid w:val="78C50F1D"/>
    <w:rsid w:val="78C8231C"/>
    <w:rsid w:val="78CA730A"/>
    <w:rsid w:val="78F8D5FE"/>
    <w:rsid w:val="78FC5362"/>
    <w:rsid w:val="790247C2"/>
    <w:rsid w:val="795AF83E"/>
    <w:rsid w:val="795F0CA4"/>
    <w:rsid w:val="795F0EFA"/>
    <w:rsid w:val="7971F238"/>
    <w:rsid w:val="79A21D37"/>
    <w:rsid w:val="79A3C7E4"/>
    <w:rsid w:val="79A407EC"/>
    <w:rsid w:val="79CE082C"/>
    <w:rsid w:val="79E40809"/>
    <w:rsid w:val="7A529A6C"/>
    <w:rsid w:val="7A5A284A"/>
    <w:rsid w:val="7A5EE584"/>
    <w:rsid w:val="7A7711B9"/>
    <w:rsid w:val="7A827A1F"/>
    <w:rsid w:val="7A959B08"/>
    <w:rsid w:val="7AA85F8A"/>
    <w:rsid w:val="7AE55C5D"/>
    <w:rsid w:val="7AECE974"/>
    <w:rsid w:val="7AF8EDD0"/>
    <w:rsid w:val="7B0D6620"/>
    <w:rsid w:val="7B280718"/>
    <w:rsid w:val="7B506331"/>
    <w:rsid w:val="7B721649"/>
    <w:rsid w:val="7B7B44BA"/>
    <w:rsid w:val="7B9D5A07"/>
    <w:rsid w:val="7BAEB184"/>
    <w:rsid w:val="7BB5C9EF"/>
    <w:rsid w:val="7BEA8AB2"/>
    <w:rsid w:val="7BEDC0B3"/>
    <w:rsid w:val="7C891300"/>
    <w:rsid w:val="7C8BA9FA"/>
    <w:rsid w:val="7C9DD1EC"/>
    <w:rsid w:val="7CBB9A90"/>
    <w:rsid w:val="7CEF8070"/>
    <w:rsid w:val="7D1B5848"/>
    <w:rsid w:val="7D207D0F"/>
    <w:rsid w:val="7D4A81E5"/>
    <w:rsid w:val="7D5C2693"/>
    <w:rsid w:val="7DBC8316"/>
    <w:rsid w:val="7DF0B456"/>
    <w:rsid w:val="7DF15180"/>
    <w:rsid w:val="7DFB6BEC"/>
    <w:rsid w:val="7E24E361"/>
    <w:rsid w:val="7E9EFE4C"/>
    <w:rsid w:val="7EA1794F"/>
    <w:rsid w:val="7EFD005A"/>
    <w:rsid w:val="7F5F46B4"/>
    <w:rsid w:val="7F66CA9A"/>
    <w:rsid w:val="7FA6F800"/>
    <w:rsid w:val="7FC83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1B71"/>
  <w15:chartTrackingRefBased/>
  <w15:docId w15:val="{34EDA075-36EA-4F15-ABF2-0D013394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education-evidence/guidance-reports/teachingassistants" TargetMode="External" Id="rId8" /><Relationship Type="http://schemas.openxmlformats.org/officeDocument/2006/relationships/settings" Target="settings.xml" Id="rId3" /><Relationship Type="http://schemas.openxmlformats.org/officeDocument/2006/relationships/image" Target="media/image1.png" Id="rId7" /><Relationship Type="http://schemas.microsoft.com/office/2020/10/relationships/intelligence" Target="intelligence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7fb4c792110540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42e838-7536-4c7d-b3f8-f5d4907a45ac}"/>
      </w:docPartPr>
      <w:docPartBody>
        <w:p w14:paraId="228B23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Cutts</dc:creator>
  <keywords/>
  <dc:description/>
  <lastModifiedBy>Miss Cutts</lastModifiedBy>
  <revision>7</revision>
  <dcterms:created xsi:type="dcterms:W3CDTF">2022-11-24T21:20:00.0000000Z</dcterms:created>
  <dcterms:modified xsi:type="dcterms:W3CDTF">2023-01-23T11:26:45.9592535Z</dcterms:modified>
</coreProperties>
</file>