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5195"/>
        <w:gridCol w:w="3821"/>
      </w:tblGrid>
      <w:tr w:rsidR="00EC7F0F" w:rsidRPr="00D13848" w14:paraId="37774896" w14:textId="77777777" w:rsidTr="00406888">
        <w:trPr>
          <w:trHeight w:val="27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hideMark/>
          </w:tcPr>
          <w:p w14:paraId="45B47848" w14:textId="77777777" w:rsidR="00EC7F0F" w:rsidRPr="00D13848" w:rsidRDefault="00EC7F0F" w:rsidP="00406888">
            <w:pPr>
              <w:jc w:val="center"/>
              <w:rPr>
                <w:color w:val="FFFFFF" w:themeColor="background1"/>
                <w:sz w:val="22"/>
                <w:szCs w:val="22"/>
              </w:rPr>
            </w:pPr>
            <w:r w:rsidRPr="00D13848">
              <w:rPr>
                <w:rFonts w:ascii="Century Gothic" w:hAnsi="Century Gothic"/>
                <w:b/>
                <w:bCs/>
                <w:color w:val="FFFFFF" w:themeColor="background1"/>
                <w:sz w:val="22"/>
                <w:szCs w:val="22"/>
              </w:rPr>
              <w:t>A Level English Literature </w:t>
            </w:r>
          </w:p>
        </w:tc>
      </w:tr>
      <w:tr w:rsidR="00EC7F0F" w:rsidRPr="00D13848" w14:paraId="23A241B9" w14:textId="77777777" w:rsidTr="00406888">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6286194" w14:textId="77777777" w:rsidR="00EC7F0F" w:rsidRPr="00D13848" w:rsidRDefault="00EC7F0F" w:rsidP="00406888">
            <w:pPr>
              <w:rPr>
                <w:sz w:val="22"/>
                <w:szCs w:val="22"/>
              </w:rPr>
            </w:pPr>
            <w:r w:rsidRPr="00D13848">
              <w:rPr>
                <w:rFonts w:ascii="Calibri" w:hAnsi="Calibri" w:cs="Calibri"/>
                <w:b/>
                <w:bCs/>
                <w:color w:val="000000"/>
                <w:sz w:val="22"/>
                <w:szCs w:val="22"/>
              </w:rPr>
              <w:t>Exam Board: AQA</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63468B9" w14:textId="77777777" w:rsidR="00EC7F0F" w:rsidRPr="00D13848" w:rsidRDefault="00EC7F0F" w:rsidP="00406888">
            <w:pPr>
              <w:rPr>
                <w:sz w:val="22"/>
                <w:szCs w:val="22"/>
              </w:rPr>
            </w:pPr>
            <w:r w:rsidRPr="00D13848">
              <w:rPr>
                <w:rFonts w:ascii="Calibri" w:hAnsi="Calibri" w:cs="Calibri"/>
                <w:b/>
                <w:bCs/>
                <w:color w:val="000000"/>
                <w:sz w:val="22"/>
                <w:szCs w:val="22"/>
              </w:rPr>
              <w:t>Qualification Code: AQA 7717</w:t>
            </w:r>
          </w:p>
        </w:tc>
      </w:tr>
      <w:tr w:rsidR="00EC7F0F" w:rsidRPr="00D13848" w14:paraId="3E821641"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018BF" w14:textId="77777777" w:rsidR="00EC7F0F" w:rsidRPr="00D13848" w:rsidRDefault="00EC7F0F" w:rsidP="00406888">
            <w:pPr>
              <w:rPr>
                <w:sz w:val="22"/>
                <w:szCs w:val="22"/>
              </w:rPr>
            </w:pPr>
            <w:r w:rsidRPr="00D13848">
              <w:rPr>
                <w:rFonts w:ascii="Calibri" w:hAnsi="Calibri" w:cs="Calibri"/>
                <w:b/>
                <w:bCs/>
                <w:color w:val="000000"/>
                <w:sz w:val="22"/>
                <w:szCs w:val="22"/>
              </w:rPr>
              <w:t>Subject overview:</w:t>
            </w:r>
          </w:p>
        </w:tc>
      </w:tr>
      <w:tr w:rsidR="00EC7F0F" w:rsidRPr="00D13848" w14:paraId="51A61CC6"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C7E4D" w14:textId="77777777" w:rsidR="00EC7F0F" w:rsidRPr="00D13848" w:rsidRDefault="00EC7F0F" w:rsidP="00406888">
            <w:pPr>
              <w:rPr>
                <w:rFonts w:ascii="Calibri" w:hAnsi="Calibri" w:cs="Calibri"/>
                <w:b/>
                <w:bCs/>
                <w:color w:val="000000"/>
                <w:sz w:val="22"/>
                <w:szCs w:val="22"/>
              </w:rPr>
            </w:pPr>
            <w:r w:rsidRPr="00D13848">
              <w:rPr>
                <w:rFonts w:ascii="Calibri" w:hAnsi="Calibri" w:cs="Calibri"/>
                <w:b/>
                <w:bCs/>
                <w:color w:val="000000"/>
                <w:sz w:val="22"/>
                <w:szCs w:val="22"/>
              </w:rPr>
              <w:t xml:space="preserve">Combines well with: </w:t>
            </w:r>
            <w:r w:rsidRPr="00D13848">
              <w:rPr>
                <w:rFonts w:ascii="Calibri" w:hAnsi="Calibri" w:cs="Calibri"/>
                <w:color w:val="000000"/>
                <w:sz w:val="22"/>
                <w:szCs w:val="22"/>
              </w:rPr>
              <w:t>History, Sociology</w:t>
            </w:r>
          </w:p>
        </w:tc>
      </w:tr>
      <w:tr w:rsidR="00EC7F0F" w:rsidRPr="00D13848" w14:paraId="37A80975"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AB8BC" w14:textId="77777777" w:rsidR="00EC7F0F" w:rsidRPr="00D13848" w:rsidRDefault="00EC7F0F" w:rsidP="00406888">
            <w:pPr>
              <w:shd w:val="clear" w:color="auto" w:fill="FFFFFF"/>
              <w:rPr>
                <w:sz w:val="22"/>
                <w:szCs w:val="22"/>
              </w:rPr>
            </w:pPr>
            <w:r w:rsidRPr="00D13848">
              <w:rPr>
                <w:rFonts w:ascii="Calibri" w:hAnsi="Calibri" w:cs="Calibri"/>
                <w:color w:val="000000"/>
                <w:sz w:val="22"/>
                <w:szCs w:val="22"/>
              </w:rPr>
              <w:t xml:space="preserve">The A Level Literature course introduces pupils to relevant, </w:t>
            </w:r>
            <w:proofErr w:type="gramStart"/>
            <w:r w:rsidRPr="00D13848">
              <w:rPr>
                <w:rFonts w:ascii="Calibri" w:hAnsi="Calibri" w:cs="Calibri"/>
                <w:color w:val="000000"/>
                <w:sz w:val="22"/>
                <w:szCs w:val="22"/>
              </w:rPr>
              <w:t>engaging</w:t>
            </w:r>
            <w:proofErr w:type="gramEnd"/>
            <w:r w:rsidRPr="00D13848">
              <w:rPr>
                <w:rFonts w:ascii="Calibri" w:hAnsi="Calibri" w:cs="Calibri"/>
                <w:color w:val="000000"/>
                <w:sz w:val="22"/>
                <w:szCs w:val="22"/>
              </w:rPr>
              <w:t xml:space="preserve"> and up-to-date approaches to the reading and study of literature, examining texts through the lens of genre and theory. At present we study Aspects of Tragedy, including the study of Shakespeare’s haunting play </w:t>
            </w:r>
            <w:r w:rsidRPr="00D13848">
              <w:rPr>
                <w:rFonts w:ascii="Calibri" w:hAnsi="Calibri" w:cs="Calibri"/>
                <w:i/>
                <w:iCs/>
                <w:color w:val="000000"/>
                <w:sz w:val="22"/>
                <w:szCs w:val="22"/>
              </w:rPr>
              <w:t>Othello</w:t>
            </w:r>
            <w:r w:rsidRPr="00D13848">
              <w:rPr>
                <w:rFonts w:ascii="Calibri" w:hAnsi="Calibri" w:cs="Calibri"/>
                <w:color w:val="000000"/>
                <w:sz w:val="22"/>
                <w:szCs w:val="22"/>
              </w:rPr>
              <w:t xml:space="preserve">; and Elements of Crime, including the study of Ian McEwan’s fascinating novel </w:t>
            </w:r>
            <w:r w:rsidRPr="00D13848">
              <w:rPr>
                <w:rFonts w:ascii="Calibri" w:hAnsi="Calibri" w:cs="Calibri"/>
                <w:i/>
                <w:iCs/>
                <w:color w:val="000000"/>
                <w:sz w:val="22"/>
                <w:szCs w:val="22"/>
              </w:rPr>
              <w:t>Atonement</w:t>
            </w:r>
            <w:r w:rsidRPr="00D13848">
              <w:rPr>
                <w:rFonts w:ascii="Calibri" w:hAnsi="Calibri" w:cs="Calibri"/>
                <w:color w:val="000000"/>
                <w:sz w:val="22"/>
                <w:szCs w:val="22"/>
              </w:rPr>
              <w:t>. We aim to encourage the independent study of a range of texts within a shared context, giving logic and meaning to the way texts are grouped.</w:t>
            </w:r>
          </w:p>
          <w:p w14:paraId="6C7DF835" w14:textId="77777777" w:rsidR="00EC7F0F" w:rsidRPr="00D13848" w:rsidRDefault="00EC7F0F" w:rsidP="00406888">
            <w:pPr>
              <w:shd w:val="clear" w:color="auto" w:fill="FFFFFF"/>
              <w:spacing w:after="200"/>
              <w:rPr>
                <w:sz w:val="22"/>
                <w:szCs w:val="22"/>
              </w:rPr>
            </w:pPr>
            <w:r w:rsidRPr="00D13848">
              <w:rPr>
                <w:rFonts w:ascii="Calibri" w:hAnsi="Calibri" w:cs="Calibri"/>
                <w:color w:val="000000"/>
                <w:sz w:val="22"/>
                <w:szCs w:val="22"/>
              </w:rPr>
              <w:t xml:space="preserve">A clear progression from GCSE is offered, where students are allowed to build on the skills and knowledge already gained and to prepare for their next steps. The skills developed during the course are essential for further study in a variety of subjects; for instance, Literature particularly lends itself to accompanying the study of Law or Psychology. A Level Literature is highly respected by universities as a well-established, traditionally </w:t>
            </w:r>
            <w:proofErr w:type="gramStart"/>
            <w:r w:rsidRPr="00D13848">
              <w:rPr>
                <w:rFonts w:ascii="Calibri" w:hAnsi="Calibri" w:cs="Calibri"/>
                <w:color w:val="000000"/>
                <w:sz w:val="22"/>
                <w:szCs w:val="22"/>
              </w:rPr>
              <w:t>challenging</w:t>
            </w:r>
            <w:proofErr w:type="gramEnd"/>
            <w:r w:rsidRPr="00D13848">
              <w:rPr>
                <w:rFonts w:ascii="Calibri" w:hAnsi="Calibri" w:cs="Calibri"/>
                <w:color w:val="000000"/>
                <w:sz w:val="22"/>
                <w:szCs w:val="22"/>
              </w:rPr>
              <w:t xml:space="preserve"> and valuable qualification, and it provides pupils with many skills desirable for future employment.</w:t>
            </w:r>
          </w:p>
        </w:tc>
      </w:tr>
      <w:tr w:rsidR="00EC7F0F" w:rsidRPr="00D13848" w14:paraId="6F0D3A9B"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47F9F40" w14:textId="77777777" w:rsidR="00EC7F0F" w:rsidRPr="00D13848" w:rsidRDefault="00EC7F0F" w:rsidP="00406888">
            <w:pPr>
              <w:rPr>
                <w:sz w:val="22"/>
                <w:szCs w:val="22"/>
              </w:rPr>
            </w:pPr>
            <w:r w:rsidRPr="00D13848">
              <w:rPr>
                <w:rFonts w:ascii="Calibri" w:hAnsi="Calibri" w:cs="Calibri"/>
                <w:b/>
                <w:bCs/>
                <w:color w:val="000000"/>
                <w:sz w:val="22"/>
                <w:szCs w:val="22"/>
              </w:rPr>
              <w:t>Course outline including assessment method:</w:t>
            </w:r>
          </w:p>
        </w:tc>
      </w:tr>
      <w:tr w:rsidR="00EC7F0F" w:rsidRPr="00D13848" w14:paraId="7F60B177"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E3CC6" w14:textId="77777777" w:rsidR="00EC7F0F" w:rsidRPr="00D13848" w:rsidRDefault="00EC7F0F" w:rsidP="00406888">
            <w:pPr>
              <w:rPr>
                <w:sz w:val="22"/>
                <w:szCs w:val="22"/>
              </w:rPr>
            </w:pPr>
            <w:r w:rsidRPr="00D13848">
              <w:rPr>
                <w:rFonts w:ascii="Calibri" w:hAnsi="Calibri" w:cs="Calibri"/>
                <w:color w:val="000000"/>
                <w:sz w:val="22"/>
                <w:szCs w:val="22"/>
              </w:rPr>
              <w:t xml:space="preserve">Through a variety of assessment styles, such as passage-based questions, unseen material, single and multiple text questions and open and closed book approaches, students develop a wide range of skills such as the ability to read critically, analyse, </w:t>
            </w:r>
            <w:proofErr w:type="gramStart"/>
            <w:r w:rsidRPr="00D13848">
              <w:rPr>
                <w:rFonts w:ascii="Calibri" w:hAnsi="Calibri" w:cs="Calibri"/>
                <w:color w:val="000000"/>
                <w:sz w:val="22"/>
                <w:szCs w:val="22"/>
              </w:rPr>
              <w:t>evaluate</w:t>
            </w:r>
            <w:proofErr w:type="gramEnd"/>
            <w:r w:rsidRPr="00D13848">
              <w:rPr>
                <w:rFonts w:ascii="Calibri" w:hAnsi="Calibri" w:cs="Calibri"/>
                <w:color w:val="000000"/>
                <w:sz w:val="22"/>
                <w:szCs w:val="22"/>
              </w:rPr>
              <w:t xml:space="preserve"> and undertake independent research. </w:t>
            </w:r>
          </w:p>
          <w:p w14:paraId="10BE6A80" w14:textId="77777777" w:rsidR="00EC7F0F" w:rsidRPr="00D13848" w:rsidRDefault="00EC7F0F" w:rsidP="00406888">
            <w:pPr>
              <w:rPr>
                <w:sz w:val="22"/>
                <w:szCs w:val="22"/>
              </w:rPr>
            </w:pPr>
            <w:r w:rsidRPr="00D13848">
              <w:rPr>
                <w:rFonts w:ascii="Calibri" w:hAnsi="Calibri" w:cs="Calibri"/>
                <w:color w:val="000000"/>
                <w:sz w:val="22"/>
                <w:szCs w:val="22"/>
              </w:rPr>
              <w:t xml:space="preserve">Students will sit 2 examinations at the end of the </w:t>
            </w:r>
            <w:proofErr w:type="gramStart"/>
            <w:r w:rsidRPr="00D13848">
              <w:rPr>
                <w:rFonts w:ascii="Calibri" w:hAnsi="Calibri" w:cs="Calibri"/>
                <w:color w:val="000000"/>
                <w:sz w:val="22"/>
                <w:szCs w:val="22"/>
              </w:rPr>
              <w:t>two year</w:t>
            </w:r>
            <w:proofErr w:type="gramEnd"/>
            <w:r w:rsidRPr="00D13848">
              <w:rPr>
                <w:rFonts w:ascii="Calibri" w:hAnsi="Calibri" w:cs="Calibri"/>
                <w:color w:val="000000"/>
                <w:sz w:val="22"/>
                <w:szCs w:val="22"/>
              </w:rPr>
              <w:t xml:space="preserve"> course (2h30 for Tragedy and 3h for Crime) which comprise 80% of the final grade. </w:t>
            </w:r>
          </w:p>
          <w:p w14:paraId="7408598F" w14:textId="77777777" w:rsidR="00EC7F0F" w:rsidRPr="00D13848" w:rsidRDefault="00EC7F0F" w:rsidP="00406888">
            <w:pPr>
              <w:rPr>
                <w:sz w:val="22"/>
                <w:szCs w:val="22"/>
              </w:rPr>
            </w:pPr>
            <w:r w:rsidRPr="00D13848">
              <w:rPr>
                <w:rFonts w:ascii="Calibri" w:hAnsi="Calibri" w:cs="Calibri"/>
                <w:color w:val="000000"/>
                <w:sz w:val="22"/>
                <w:szCs w:val="22"/>
              </w:rPr>
              <w:t>There is an NEA coursework element for A-level Literature, comprising 20% of the final grade, and consisting of 2 extended essays on topics and texts of the pupil’s choice, enabling passions to be pursued and critical theories to be applied at a high level.</w:t>
            </w:r>
          </w:p>
        </w:tc>
      </w:tr>
      <w:tr w:rsidR="00EC7F0F" w:rsidRPr="00D13848" w14:paraId="7C9BDD44" w14:textId="77777777" w:rsidTr="00406888">
        <w:trPr>
          <w:trHeight w:val="243"/>
        </w:trPr>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3B851F70" w14:textId="77777777" w:rsidR="00EC7F0F" w:rsidRPr="00D13848" w:rsidRDefault="00EC7F0F" w:rsidP="00406888">
            <w:pPr>
              <w:jc w:val="center"/>
              <w:rPr>
                <w:sz w:val="22"/>
                <w:szCs w:val="22"/>
              </w:rPr>
            </w:pPr>
            <w:r w:rsidRPr="00D13848">
              <w:rPr>
                <w:rFonts w:ascii="Calibri" w:hAnsi="Calibri" w:cs="Calibri"/>
                <w:b/>
                <w:bCs/>
                <w:color w:val="000000"/>
                <w:sz w:val="22"/>
                <w:szCs w:val="22"/>
              </w:rPr>
              <w:t>Year 1 Contents:</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7D13D33E" w14:textId="77777777" w:rsidR="00EC7F0F" w:rsidRPr="00D13848" w:rsidRDefault="00EC7F0F" w:rsidP="00406888">
            <w:pPr>
              <w:jc w:val="center"/>
              <w:rPr>
                <w:sz w:val="22"/>
                <w:szCs w:val="22"/>
              </w:rPr>
            </w:pPr>
            <w:r w:rsidRPr="00D13848">
              <w:rPr>
                <w:rFonts w:ascii="Calibri" w:hAnsi="Calibri" w:cs="Calibri"/>
                <w:b/>
                <w:bCs/>
                <w:color w:val="000000"/>
                <w:sz w:val="22"/>
                <w:szCs w:val="22"/>
              </w:rPr>
              <w:t>Year 2 Contents:</w:t>
            </w:r>
          </w:p>
        </w:tc>
      </w:tr>
      <w:tr w:rsidR="00EC7F0F" w:rsidRPr="00D13848" w14:paraId="7755BD56" w14:textId="77777777" w:rsidTr="004068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4818D" w14:textId="77777777" w:rsidR="00EC7F0F" w:rsidRPr="00D13848" w:rsidRDefault="00EC7F0F" w:rsidP="00406888">
            <w:pPr>
              <w:rPr>
                <w:sz w:val="22"/>
                <w:szCs w:val="22"/>
              </w:rPr>
            </w:pPr>
            <w:r w:rsidRPr="00D13848">
              <w:rPr>
                <w:rFonts w:ascii="Calibri" w:hAnsi="Calibri" w:cs="Calibri"/>
                <w:color w:val="000000"/>
                <w:sz w:val="22"/>
                <w:szCs w:val="22"/>
              </w:rPr>
              <w:t>1. Conventions and history of tragedy writing.</w:t>
            </w:r>
            <w:r w:rsidRPr="00D13848">
              <w:rPr>
                <w:rFonts w:ascii="Calibri" w:hAnsi="Calibri" w:cs="Calibri"/>
                <w:color w:val="000000"/>
                <w:sz w:val="22"/>
                <w:szCs w:val="22"/>
              </w:rPr>
              <w:tab/>
              <w:t> </w:t>
            </w:r>
          </w:p>
          <w:p w14:paraId="306ABDD7" w14:textId="77777777" w:rsidR="00EC7F0F" w:rsidRPr="00D13848" w:rsidRDefault="00EC7F0F" w:rsidP="00406888">
            <w:pPr>
              <w:rPr>
                <w:sz w:val="22"/>
                <w:szCs w:val="22"/>
              </w:rPr>
            </w:pPr>
            <w:r w:rsidRPr="00D13848">
              <w:rPr>
                <w:rFonts w:ascii="Calibri" w:hAnsi="Calibri" w:cs="Calibri"/>
                <w:color w:val="000000"/>
                <w:sz w:val="22"/>
                <w:szCs w:val="22"/>
              </w:rPr>
              <w:t>2. Conventions and history of crime writing.</w:t>
            </w:r>
          </w:p>
          <w:p w14:paraId="0A019CC1" w14:textId="77777777" w:rsidR="00EC7F0F" w:rsidRPr="00D13848" w:rsidRDefault="00EC7F0F" w:rsidP="00406888">
            <w:pPr>
              <w:rPr>
                <w:sz w:val="22"/>
                <w:szCs w:val="22"/>
              </w:rPr>
            </w:pPr>
            <w:r w:rsidRPr="00D13848">
              <w:rPr>
                <w:rFonts w:ascii="Calibri" w:hAnsi="Calibri" w:cs="Calibri"/>
                <w:color w:val="000000"/>
                <w:sz w:val="22"/>
                <w:szCs w:val="22"/>
              </w:rPr>
              <w:t>3. Critical approaches to the study of Literature.</w:t>
            </w:r>
          </w:p>
          <w:p w14:paraId="7AE752B4" w14:textId="77777777" w:rsidR="00EC7F0F" w:rsidRPr="00D13848" w:rsidRDefault="00EC7F0F" w:rsidP="00406888">
            <w:pPr>
              <w:rPr>
                <w:sz w:val="22"/>
                <w:szCs w:val="22"/>
              </w:rPr>
            </w:pPr>
            <w:r w:rsidRPr="00D13848">
              <w:rPr>
                <w:rFonts w:ascii="Calibri" w:hAnsi="Calibri" w:cs="Calibri"/>
                <w:color w:val="000000"/>
                <w:sz w:val="22"/>
                <w:szCs w:val="22"/>
              </w:rPr>
              <w:t>4. Death of a Salesman</w:t>
            </w:r>
          </w:p>
          <w:p w14:paraId="175CC53F" w14:textId="77777777" w:rsidR="00EC7F0F" w:rsidRPr="00D13848" w:rsidRDefault="00EC7F0F" w:rsidP="00406888">
            <w:pPr>
              <w:rPr>
                <w:sz w:val="22"/>
                <w:szCs w:val="22"/>
              </w:rPr>
            </w:pPr>
            <w:r w:rsidRPr="00D13848">
              <w:rPr>
                <w:rFonts w:ascii="Calibri" w:hAnsi="Calibri" w:cs="Calibri"/>
                <w:color w:val="000000"/>
                <w:sz w:val="22"/>
                <w:szCs w:val="22"/>
              </w:rPr>
              <w:t>5. Othello</w:t>
            </w:r>
          </w:p>
          <w:p w14:paraId="5D07AD1E" w14:textId="77777777" w:rsidR="00EC7F0F" w:rsidRPr="00D13848" w:rsidRDefault="00EC7F0F" w:rsidP="00406888">
            <w:pPr>
              <w:rPr>
                <w:sz w:val="22"/>
                <w:szCs w:val="22"/>
              </w:rPr>
            </w:pPr>
            <w:r w:rsidRPr="00D13848">
              <w:rPr>
                <w:rFonts w:ascii="Calibri" w:hAnsi="Calibri" w:cs="Calibri"/>
                <w:color w:val="000000"/>
                <w:sz w:val="22"/>
                <w:szCs w:val="22"/>
              </w:rPr>
              <w:t xml:space="preserve">6. Poems of Browning, </w:t>
            </w:r>
            <w:proofErr w:type="gramStart"/>
            <w:r w:rsidRPr="00D13848">
              <w:rPr>
                <w:rFonts w:ascii="Calibri" w:hAnsi="Calibri" w:cs="Calibri"/>
                <w:color w:val="000000"/>
                <w:sz w:val="22"/>
                <w:szCs w:val="22"/>
              </w:rPr>
              <w:t>Wilde</w:t>
            </w:r>
            <w:proofErr w:type="gramEnd"/>
            <w:r w:rsidRPr="00D13848">
              <w:rPr>
                <w:rFonts w:ascii="Calibri" w:hAnsi="Calibri" w:cs="Calibri"/>
                <w:color w:val="000000"/>
                <w:sz w:val="22"/>
                <w:szCs w:val="22"/>
              </w:rPr>
              <w:t xml:space="preserve"> and Crabbe</w:t>
            </w:r>
          </w:p>
          <w:p w14:paraId="0A8950B0" w14:textId="77777777" w:rsidR="00EC7F0F" w:rsidRPr="00D13848" w:rsidRDefault="00EC7F0F" w:rsidP="00406888">
            <w:pPr>
              <w:rPr>
                <w:sz w:val="22"/>
                <w:szCs w:val="22"/>
              </w:rPr>
            </w:pPr>
            <w:r w:rsidRPr="00D13848">
              <w:rPr>
                <w:rFonts w:ascii="Calibri" w:hAnsi="Calibri" w:cs="Calibri"/>
                <w:color w:val="000000"/>
                <w:sz w:val="22"/>
                <w:szCs w:val="22"/>
              </w:rPr>
              <w:t>7. The Rime of the Ancient Mariner</w:t>
            </w:r>
          </w:p>
          <w:p w14:paraId="50E91BEB" w14:textId="77777777" w:rsidR="00EC7F0F" w:rsidRPr="00D13848" w:rsidRDefault="00EC7F0F" w:rsidP="00406888">
            <w:pPr>
              <w:rPr>
                <w:sz w:val="22"/>
                <w:szCs w:val="22"/>
              </w:rPr>
            </w:pPr>
            <w:r w:rsidRPr="00D13848">
              <w:rPr>
                <w:rFonts w:ascii="Calibri" w:hAnsi="Calibri" w:cs="Calibri"/>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0F81D" w14:textId="77777777" w:rsidR="00EC7F0F" w:rsidRPr="00D13848" w:rsidRDefault="00EC7F0F" w:rsidP="00406888">
            <w:pPr>
              <w:rPr>
                <w:sz w:val="22"/>
                <w:szCs w:val="22"/>
              </w:rPr>
            </w:pPr>
            <w:r w:rsidRPr="00D13848">
              <w:rPr>
                <w:rFonts w:ascii="Calibri" w:hAnsi="Calibri" w:cs="Calibri"/>
                <w:color w:val="000000"/>
                <w:sz w:val="22"/>
                <w:szCs w:val="22"/>
              </w:rPr>
              <w:t>8. Poems of Keats</w:t>
            </w:r>
          </w:p>
          <w:p w14:paraId="669B4008" w14:textId="77777777" w:rsidR="00EC7F0F" w:rsidRPr="00D13848" w:rsidRDefault="00EC7F0F" w:rsidP="00406888">
            <w:pPr>
              <w:rPr>
                <w:sz w:val="22"/>
                <w:szCs w:val="22"/>
              </w:rPr>
            </w:pPr>
            <w:r w:rsidRPr="00D13848">
              <w:rPr>
                <w:rFonts w:ascii="Calibri" w:hAnsi="Calibri" w:cs="Calibri"/>
                <w:color w:val="000000"/>
                <w:sz w:val="22"/>
                <w:szCs w:val="22"/>
              </w:rPr>
              <w:t>9. Atonement</w:t>
            </w:r>
          </w:p>
          <w:p w14:paraId="6CF46864" w14:textId="77777777" w:rsidR="00EC7F0F" w:rsidRPr="00D13848" w:rsidRDefault="00EC7F0F" w:rsidP="00406888">
            <w:pPr>
              <w:rPr>
                <w:sz w:val="22"/>
                <w:szCs w:val="22"/>
              </w:rPr>
            </w:pPr>
            <w:r w:rsidRPr="00D13848">
              <w:rPr>
                <w:rFonts w:ascii="Calibri" w:hAnsi="Calibri" w:cs="Calibri"/>
                <w:color w:val="000000"/>
                <w:sz w:val="22"/>
                <w:szCs w:val="22"/>
              </w:rPr>
              <w:t>10. NEA</w:t>
            </w:r>
          </w:p>
        </w:tc>
      </w:tr>
      <w:tr w:rsidR="00EC7F0F" w:rsidRPr="00D13848" w14:paraId="3A27888E" w14:textId="77777777" w:rsidTr="00406888">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F4D7392" w14:textId="77777777" w:rsidR="00EC7F0F" w:rsidRPr="00D13848" w:rsidRDefault="00EC7F0F" w:rsidP="00406888">
            <w:pPr>
              <w:rPr>
                <w:sz w:val="22"/>
                <w:szCs w:val="22"/>
              </w:rPr>
            </w:pPr>
            <w:r w:rsidRPr="00D13848">
              <w:rPr>
                <w:rFonts w:ascii="Calibri" w:hAnsi="Calibri" w:cs="Calibri"/>
                <w:b/>
                <w:bCs/>
                <w:color w:val="000000"/>
                <w:sz w:val="22"/>
                <w:szCs w:val="22"/>
              </w:rPr>
              <w:t>Resources and Facilities at TKAW:</w:t>
            </w:r>
          </w:p>
        </w:tc>
        <w:tc>
          <w:tcPr>
            <w:tcW w:w="0" w:type="auto"/>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9576E19" w14:textId="77777777" w:rsidR="00EC7F0F" w:rsidRPr="00D13848" w:rsidRDefault="00EC7F0F" w:rsidP="00406888">
            <w:pPr>
              <w:jc w:val="center"/>
              <w:rPr>
                <w:sz w:val="22"/>
                <w:szCs w:val="22"/>
              </w:rPr>
            </w:pPr>
            <w:r w:rsidRPr="00D13848">
              <w:rPr>
                <w:rFonts w:ascii="Calibri" w:hAnsi="Calibri" w:cs="Calibri"/>
                <w:b/>
                <w:bCs/>
                <w:color w:val="000000"/>
                <w:sz w:val="22"/>
                <w:szCs w:val="22"/>
              </w:rPr>
              <w:t>Careers and Progression:</w:t>
            </w:r>
          </w:p>
        </w:tc>
      </w:tr>
      <w:tr w:rsidR="00EC7F0F" w:rsidRPr="00D13848" w14:paraId="45396F01" w14:textId="77777777" w:rsidTr="004068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E7067" w14:textId="77777777" w:rsidR="00EC7F0F" w:rsidRPr="00D13848" w:rsidRDefault="00EC7F0F" w:rsidP="00406888">
            <w:pPr>
              <w:rPr>
                <w:sz w:val="22"/>
                <w:szCs w:val="22"/>
              </w:rPr>
            </w:pPr>
            <w:r w:rsidRPr="00D13848">
              <w:rPr>
                <w:rFonts w:ascii="Calibri" w:hAnsi="Calibri" w:cs="Calibri"/>
                <w:color w:val="000000"/>
                <w:sz w:val="22"/>
                <w:szCs w:val="22"/>
              </w:rPr>
              <w:t xml:space="preserve">The English Department at The Khalsa Academy Wolverhampton is well resourced with staff experienced at teaching to A Level, as well as providing pupils with set texts, </w:t>
            </w:r>
            <w:proofErr w:type="gramStart"/>
            <w:r w:rsidRPr="00D13848">
              <w:rPr>
                <w:rFonts w:ascii="Calibri" w:hAnsi="Calibri" w:cs="Calibri"/>
                <w:color w:val="000000"/>
                <w:sz w:val="22"/>
                <w:szCs w:val="22"/>
              </w:rPr>
              <w:t>Anthologies</w:t>
            </w:r>
            <w:proofErr w:type="gramEnd"/>
            <w:r w:rsidRPr="00D13848">
              <w:rPr>
                <w:rFonts w:ascii="Calibri" w:hAnsi="Calibri" w:cs="Calibri"/>
                <w:color w:val="000000"/>
                <w:sz w:val="22"/>
                <w:szCs w:val="22"/>
              </w:rPr>
              <w:t xml:space="preserve"> and supplementary reading to aid pupils’ studies.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AD777" w14:textId="77777777" w:rsidR="00EC7F0F" w:rsidRPr="00D13848" w:rsidRDefault="00EC7F0F" w:rsidP="00406888">
            <w:pPr>
              <w:rPr>
                <w:sz w:val="22"/>
                <w:szCs w:val="22"/>
              </w:rPr>
            </w:pPr>
            <w:r w:rsidRPr="00D13848">
              <w:rPr>
                <w:rFonts w:ascii="Calibri" w:hAnsi="Calibri" w:cs="Calibri"/>
                <w:color w:val="000000"/>
                <w:sz w:val="22"/>
                <w:szCs w:val="22"/>
              </w:rPr>
              <w:t>Many students who study the A Level route consider a career in the law, in the media, in marketing, in publishing, as journalists, as psychologists or in education.</w:t>
            </w:r>
          </w:p>
          <w:p w14:paraId="24C8C4FA" w14:textId="77777777" w:rsidR="00EC7F0F" w:rsidRPr="00D13848" w:rsidRDefault="00EC7F0F" w:rsidP="00406888">
            <w:pPr>
              <w:rPr>
                <w:sz w:val="22"/>
                <w:szCs w:val="22"/>
              </w:rPr>
            </w:pPr>
          </w:p>
        </w:tc>
      </w:tr>
      <w:tr w:rsidR="00EC7F0F" w:rsidRPr="00D13848" w14:paraId="7087F029"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47645E71" w14:textId="77777777" w:rsidR="00EC7F0F" w:rsidRPr="00D13848" w:rsidRDefault="00EC7F0F" w:rsidP="00406888">
            <w:pPr>
              <w:rPr>
                <w:sz w:val="22"/>
                <w:szCs w:val="22"/>
              </w:rPr>
            </w:pPr>
            <w:r w:rsidRPr="00D13848">
              <w:rPr>
                <w:rFonts w:ascii="Calibri" w:hAnsi="Calibri" w:cs="Calibri"/>
                <w:b/>
                <w:bCs/>
                <w:color w:val="000000"/>
                <w:sz w:val="22"/>
                <w:szCs w:val="22"/>
              </w:rPr>
              <w:t>Entry Requirements:</w:t>
            </w:r>
          </w:p>
        </w:tc>
      </w:tr>
      <w:tr w:rsidR="00EC7F0F" w:rsidRPr="00D13848" w14:paraId="09773960"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5504E" w14:textId="77777777" w:rsidR="00EC7F0F" w:rsidRPr="00D13848" w:rsidRDefault="00EC7F0F" w:rsidP="00406888">
            <w:pPr>
              <w:rPr>
                <w:sz w:val="22"/>
                <w:szCs w:val="22"/>
              </w:rPr>
            </w:pPr>
            <w:r w:rsidRPr="00D13848">
              <w:rPr>
                <w:rFonts w:ascii="Calibri" w:hAnsi="Calibri" w:cs="Calibri"/>
                <w:color w:val="000000"/>
                <w:sz w:val="22"/>
                <w:szCs w:val="22"/>
              </w:rPr>
              <w:t>All students must have at least a grade 6 in GCSE English Language or GCSE English Literature.</w:t>
            </w:r>
          </w:p>
          <w:p w14:paraId="0EB67A1C" w14:textId="77777777" w:rsidR="00EC7F0F" w:rsidRPr="00D13848" w:rsidRDefault="00EC7F0F" w:rsidP="00406888">
            <w:pPr>
              <w:rPr>
                <w:sz w:val="22"/>
                <w:szCs w:val="22"/>
              </w:rPr>
            </w:pPr>
          </w:p>
        </w:tc>
      </w:tr>
      <w:tr w:rsidR="00EC7F0F" w:rsidRPr="00D13848" w14:paraId="73B24FB1"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3DE0CA01" w14:textId="77777777" w:rsidR="00EC7F0F" w:rsidRPr="00D13848" w:rsidRDefault="00EC7F0F" w:rsidP="00406888">
            <w:pPr>
              <w:rPr>
                <w:rFonts w:ascii="Calibri" w:hAnsi="Calibri" w:cs="Calibri"/>
                <w:color w:val="000000"/>
                <w:sz w:val="22"/>
                <w:szCs w:val="22"/>
              </w:rPr>
            </w:pPr>
            <w:r w:rsidRPr="00D13848">
              <w:rPr>
                <w:rFonts w:ascii="Calibri" w:hAnsi="Calibri" w:cs="Calibri"/>
                <w:color w:val="000000"/>
                <w:sz w:val="22"/>
                <w:szCs w:val="22"/>
              </w:rPr>
              <w:t>Who to contact:</w:t>
            </w:r>
          </w:p>
        </w:tc>
      </w:tr>
      <w:tr w:rsidR="00EC7F0F" w:rsidRPr="00D13848" w14:paraId="423FE0C9"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83682" w14:textId="77777777" w:rsidR="00EC7F0F" w:rsidRPr="00D13848" w:rsidRDefault="00EC7F0F" w:rsidP="00406888">
            <w:pPr>
              <w:rPr>
                <w:rFonts w:ascii="Calibri" w:hAnsi="Calibri" w:cs="Calibri"/>
                <w:color w:val="000000"/>
                <w:sz w:val="22"/>
                <w:szCs w:val="22"/>
              </w:rPr>
            </w:pPr>
            <w:r w:rsidRPr="00D13848">
              <w:rPr>
                <w:rFonts w:ascii="Calibri" w:hAnsi="Calibri" w:cs="Calibri"/>
                <w:color w:val="000000"/>
                <w:sz w:val="22"/>
                <w:szCs w:val="22"/>
              </w:rPr>
              <w:t xml:space="preserve">Mrs S Kaur – </w:t>
            </w:r>
            <w:hyperlink r:id="rId4" w:history="1">
              <w:r w:rsidRPr="00D13848">
                <w:rPr>
                  <w:rStyle w:val="Hyperlink"/>
                  <w:rFonts w:ascii="Calibri" w:eastAsiaTheme="majorEastAsia" w:hAnsi="Calibri" w:cs="Calibri"/>
                  <w:sz w:val="22"/>
                  <w:szCs w:val="22"/>
                </w:rPr>
                <w:t>s</w:t>
              </w:r>
              <w:r w:rsidRPr="00D13848">
                <w:rPr>
                  <w:rStyle w:val="Hyperlink"/>
                  <w:rFonts w:eastAsiaTheme="majorEastAsia"/>
                  <w:sz w:val="22"/>
                  <w:szCs w:val="22"/>
                </w:rPr>
                <w:t>.kaur</w:t>
              </w:r>
              <w:r w:rsidRPr="00D13848">
                <w:rPr>
                  <w:rStyle w:val="Hyperlink"/>
                  <w:rFonts w:ascii="Calibri" w:eastAsiaTheme="majorEastAsia" w:hAnsi="Calibri" w:cs="Calibri"/>
                  <w:sz w:val="22"/>
                  <w:szCs w:val="22"/>
                </w:rPr>
                <w:t>@tkaw.org</w:t>
              </w:r>
            </w:hyperlink>
            <w:r w:rsidRPr="00D13848">
              <w:rPr>
                <w:rFonts w:ascii="Calibri" w:hAnsi="Calibri" w:cs="Calibri"/>
                <w:color w:val="000000"/>
                <w:sz w:val="22"/>
                <w:szCs w:val="22"/>
              </w:rPr>
              <w:t xml:space="preserve">  </w:t>
            </w:r>
          </w:p>
        </w:tc>
      </w:tr>
    </w:tbl>
    <w:p w14:paraId="7890020B" w14:textId="77777777" w:rsidR="00EC7F0F" w:rsidRDefault="00EC7F0F"/>
    <w:sectPr w:rsidR="00EC7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0F"/>
    <w:rsid w:val="00EC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81E3FF"/>
  <w15:chartTrackingRefBased/>
  <w15:docId w15:val="{385879A3-A5CC-CE45-AC6C-E2479DA7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0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C7F0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C7F0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C7F0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C7F0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EC7F0F"/>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EC7F0F"/>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EC7F0F"/>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EC7F0F"/>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EC7F0F"/>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F0F"/>
    <w:rPr>
      <w:rFonts w:eastAsiaTheme="majorEastAsia" w:cstheme="majorBidi"/>
      <w:color w:val="272727" w:themeColor="text1" w:themeTint="D8"/>
    </w:rPr>
  </w:style>
  <w:style w:type="paragraph" w:styleId="Title">
    <w:name w:val="Title"/>
    <w:basedOn w:val="Normal"/>
    <w:next w:val="Normal"/>
    <w:link w:val="TitleChar"/>
    <w:uiPriority w:val="10"/>
    <w:qFormat/>
    <w:rsid w:val="00EC7F0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C7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F0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C7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F0F"/>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EC7F0F"/>
    <w:rPr>
      <w:i/>
      <w:iCs/>
      <w:color w:val="404040" w:themeColor="text1" w:themeTint="BF"/>
    </w:rPr>
  </w:style>
  <w:style w:type="paragraph" w:styleId="ListParagraph">
    <w:name w:val="List Paragraph"/>
    <w:basedOn w:val="Normal"/>
    <w:uiPriority w:val="34"/>
    <w:qFormat/>
    <w:rsid w:val="00EC7F0F"/>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EC7F0F"/>
    <w:rPr>
      <w:i/>
      <w:iCs/>
      <w:color w:val="0F4761" w:themeColor="accent1" w:themeShade="BF"/>
    </w:rPr>
  </w:style>
  <w:style w:type="paragraph" w:styleId="IntenseQuote">
    <w:name w:val="Intense Quote"/>
    <w:basedOn w:val="Normal"/>
    <w:next w:val="Normal"/>
    <w:link w:val="IntenseQuoteChar"/>
    <w:uiPriority w:val="30"/>
    <w:qFormat/>
    <w:rsid w:val="00EC7F0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EC7F0F"/>
    <w:rPr>
      <w:i/>
      <w:iCs/>
      <w:color w:val="0F4761" w:themeColor="accent1" w:themeShade="BF"/>
    </w:rPr>
  </w:style>
  <w:style w:type="character" w:styleId="IntenseReference">
    <w:name w:val="Intense Reference"/>
    <w:basedOn w:val="DefaultParagraphFont"/>
    <w:uiPriority w:val="32"/>
    <w:qFormat/>
    <w:rsid w:val="00EC7F0F"/>
    <w:rPr>
      <w:b/>
      <w:bCs/>
      <w:smallCaps/>
      <w:color w:val="0F4761" w:themeColor="accent1" w:themeShade="BF"/>
      <w:spacing w:val="5"/>
    </w:rPr>
  </w:style>
  <w:style w:type="character" w:styleId="Hyperlink">
    <w:name w:val="Hyperlink"/>
    <w:basedOn w:val="DefaultParagraphFont"/>
    <w:uiPriority w:val="99"/>
    <w:unhideWhenUsed/>
    <w:rsid w:val="00EC7F0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kaur@tk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Aslam</dc:creator>
  <cp:keywords/>
  <dc:description/>
  <cp:lastModifiedBy>Irfan Aslam</cp:lastModifiedBy>
  <cp:revision>1</cp:revision>
  <dcterms:created xsi:type="dcterms:W3CDTF">2024-10-14T13:41:00Z</dcterms:created>
  <dcterms:modified xsi:type="dcterms:W3CDTF">2024-10-14T13:42:00Z</dcterms:modified>
</cp:coreProperties>
</file>