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480"/>
        <w:gridCol w:w="3536"/>
      </w:tblGrid>
      <w:tr w:rsidR="00B659A5" w:rsidRPr="00D13848" w14:paraId="55712E03"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37911F79" w14:textId="77777777" w:rsidR="00B659A5" w:rsidRPr="00D13848" w:rsidRDefault="00B659A5" w:rsidP="00406888">
            <w:pPr>
              <w:jc w:val="center"/>
              <w:rPr>
                <w:color w:val="FFFFFF" w:themeColor="background1"/>
                <w:sz w:val="21"/>
                <w:szCs w:val="21"/>
              </w:rPr>
            </w:pPr>
            <w:r w:rsidRPr="00D13848">
              <w:rPr>
                <w:rFonts w:ascii="Century Gothic" w:hAnsi="Century Gothic"/>
                <w:b/>
                <w:bCs/>
                <w:color w:val="FFFFFF" w:themeColor="background1"/>
                <w:sz w:val="21"/>
                <w:szCs w:val="21"/>
              </w:rPr>
              <w:t>A Level Geography</w:t>
            </w:r>
          </w:p>
        </w:tc>
      </w:tr>
      <w:tr w:rsidR="00B659A5" w:rsidRPr="00D13848" w14:paraId="69D0A83D"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1FF06BF" w14:textId="77777777" w:rsidR="00B659A5" w:rsidRPr="00D13848" w:rsidRDefault="00B659A5" w:rsidP="00406888">
            <w:pPr>
              <w:rPr>
                <w:sz w:val="21"/>
                <w:szCs w:val="21"/>
              </w:rPr>
            </w:pPr>
            <w:r w:rsidRPr="00D13848">
              <w:rPr>
                <w:rFonts w:ascii="Calibri" w:hAnsi="Calibri" w:cs="Calibri"/>
                <w:b/>
                <w:bCs/>
                <w:color w:val="000000"/>
                <w:sz w:val="21"/>
                <w:szCs w:val="21"/>
              </w:rPr>
              <w:t>Exam Board: Edexcel</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FB2CF89" w14:textId="77777777" w:rsidR="00B659A5" w:rsidRPr="00D13848" w:rsidRDefault="00B659A5" w:rsidP="00406888">
            <w:pPr>
              <w:rPr>
                <w:sz w:val="21"/>
                <w:szCs w:val="21"/>
              </w:rPr>
            </w:pPr>
            <w:r w:rsidRPr="00D13848">
              <w:rPr>
                <w:rFonts w:ascii="Calibri" w:hAnsi="Calibri" w:cs="Calibri"/>
                <w:b/>
                <w:bCs/>
                <w:color w:val="000000"/>
                <w:sz w:val="21"/>
                <w:szCs w:val="21"/>
              </w:rPr>
              <w:t>Qualification Code: A level 9 GEO.</w:t>
            </w:r>
          </w:p>
        </w:tc>
      </w:tr>
      <w:tr w:rsidR="00B659A5" w:rsidRPr="00D13848" w14:paraId="30C4C6B7"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31477" w14:textId="77777777" w:rsidR="00B659A5" w:rsidRPr="00D13848" w:rsidRDefault="00B659A5" w:rsidP="00406888">
            <w:pPr>
              <w:rPr>
                <w:sz w:val="21"/>
                <w:szCs w:val="21"/>
              </w:rPr>
            </w:pPr>
            <w:r w:rsidRPr="00D13848">
              <w:rPr>
                <w:rFonts w:ascii="Calibri" w:hAnsi="Calibri" w:cs="Calibri"/>
                <w:b/>
                <w:bCs/>
                <w:color w:val="000000"/>
                <w:sz w:val="21"/>
                <w:szCs w:val="21"/>
              </w:rPr>
              <w:t>Subject overview:</w:t>
            </w:r>
          </w:p>
        </w:tc>
      </w:tr>
      <w:tr w:rsidR="00B659A5" w:rsidRPr="00D13848" w14:paraId="374892EA"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817C7" w14:textId="77777777" w:rsidR="00B659A5" w:rsidRPr="00D13848" w:rsidRDefault="00B659A5" w:rsidP="00406888">
            <w:pPr>
              <w:rPr>
                <w:rFonts w:ascii="Calibri" w:hAnsi="Calibri" w:cs="Calibri"/>
                <w:b/>
                <w:bCs/>
                <w:color w:val="000000"/>
                <w:sz w:val="21"/>
                <w:szCs w:val="21"/>
              </w:rPr>
            </w:pPr>
            <w:r w:rsidRPr="00D13848">
              <w:rPr>
                <w:rFonts w:ascii="Calibri" w:hAnsi="Calibri" w:cs="Calibri"/>
                <w:b/>
                <w:bCs/>
                <w:color w:val="000000"/>
                <w:sz w:val="21"/>
                <w:szCs w:val="21"/>
              </w:rPr>
              <w:t xml:space="preserve">Combines well with: </w:t>
            </w:r>
            <w:r w:rsidRPr="00D13848">
              <w:rPr>
                <w:rFonts w:ascii="Calibri" w:hAnsi="Calibri" w:cs="Calibri"/>
                <w:color w:val="000000"/>
                <w:sz w:val="21"/>
                <w:szCs w:val="21"/>
              </w:rPr>
              <w:t>Biology, Chemistry, Mathematics, Physics, English Literature, Psychology, Sociology, Criminology, History</w:t>
            </w:r>
          </w:p>
          <w:p w14:paraId="3984D0BC" w14:textId="77777777" w:rsidR="00B659A5" w:rsidRPr="00D13848" w:rsidRDefault="00B659A5" w:rsidP="00406888">
            <w:pPr>
              <w:rPr>
                <w:rFonts w:ascii="Calibri" w:hAnsi="Calibri" w:cs="Calibri"/>
                <w:b/>
                <w:bCs/>
                <w:color w:val="000000"/>
                <w:sz w:val="21"/>
                <w:szCs w:val="21"/>
              </w:rPr>
            </w:pPr>
          </w:p>
        </w:tc>
      </w:tr>
      <w:tr w:rsidR="00B659A5" w:rsidRPr="00D13848" w14:paraId="01F37C0F"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8F3F2" w14:textId="77777777" w:rsidR="00B659A5" w:rsidRPr="00D13848" w:rsidRDefault="00B659A5" w:rsidP="00406888">
            <w:pPr>
              <w:rPr>
                <w:sz w:val="21"/>
                <w:szCs w:val="21"/>
              </w:rPr>
            </w:pPr>
            <w:r w:rsidRPr="00D13848">
              <w:rPr>
                <w:rFonts w:ascii="Calibri" w:hAnsi="Calibri" w:cs="Calibri"/>
                <w:color w:val="000000"/>
                <w:sz w:val="21"/>
                <w:szCs w:val="21"/>
              </w:rPr>
              <w:t xml:space="preserve">This A Level course will enable students to be inspired by their geographical understanding, to engage critically with real world issues and places, and to apply their geographical knowledge, </w:t>
            </w:r>
            <w:proofErr w:type="gramStart"/>
            <w:r w:rsidRPr="00D13848">
              <w:rPr>
                <w:rFonts w:ascii="Calibri" w:hAnsi="Calibri" w:cs="Calibri"/>
                <w:color w:val="000000"/>
                <w:sz w:val="21"/>
                <w:szCs w:val="21"/>
              </w:rPr>
              <w:t>theory</w:t>
            </w:r>
            <w:proofErr w:type="gramEnd"/>
            <w:r w:rsidRPr="00D13848">
              <w:rPr>
                <w:rFonts w:ascii="Calibri" w:hAnsi="Calibri" w:cs="Calibri"/>
                <w:color w:val="000000"/>
                <w:sz w:val="21"/>
                <w:szCs w:val="21"/>
              </w:rPr>
              <w:t xml:space="preserve"> and skills to the world around them. Students will grow as independent thinkers and as informed and engaged citizens, who understand the role and importance of geography as one of the key disciplines relevant to understanding the world’s changing peoples, </w:t>
            </w:r>
            <w:proofErr w:type="gramStart"/>
            <w:r w:rsidRPr="00D13848">
              <w:rPr>
                <w:rFonts w:ascii="Calibri" w:hAnsi="Calibri" w:cs="Calibri"/>
                <w:color w:val="000000"/>
                <w:sz w:val="21"/>
                <w:szCs w:val="21"/>
              </w:rPr>
              <w:t>places</w:t>
            </w:r>
            <w:proofErr w:type="gramEnd"/>
            <w:r w:rsidRPr="00D13848">
              <w:rPr>
                <w:rFonts w:ascii="Calibri" w:hAnsi="Calibri" w:cs="Calibri"/>
                <w:color w:val="000000"/>
                <w:sz w:val="21"/>
                <w:szCs w:val="21"/>
              </w:rPr>
              <w:t xml:space="preserve"> and environments. Students spend a compulsory one week at the field studies centre in North Wales to collect primary data for their </w:t>
            </w:r>
            <w:proofErr w:type="gramStart"/>
            <w:r w:rsidRPr="00D13848">
              <w:rPr>
                <w:rFonts w:ascii="Calibri" w:hAnsi="Calibri" w:cs="Calibri"/>
                <w:color w:val="000000"/>
                <w:sz w:val="21"/>
                <w:szCs w:val="21"/>
              </w:rPr>
              <w:t>Non Examined</w:t>
            </w:r>
            <w:proofErr w:type="gramEnd"/>
            <w:r w:rsidRPr="00D13848">
              <w:rPr>
                <w:rFonts w:ascii="Calibri" w:hAnsi="Calibri" w:cs="Calibri"/>
                <w:color w:val="000000"/>
                <w:sz w:val="21"/>
                <w:szCs w:val="21"/>
              </w:rPr>
              <w:t xml:space="preserve"> Assessment.</w:t>
            </w:r>
          </w:p>
        </w:tc>
      </w:tr>
      <w:tr w:rsidR="00B659A5" w:rsidRPr="00D13848" w14:paraId="77DAC968"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4EB0990" w14:textId="77777777" w:rsidR="00B659A5" w:rsidRPr="00D13848" w:rsidRDefault="00B659A5" w:rsidP="00406888">
            <w:pPr>
              <w:rPr>
                <w:sz w:val="21"/>
                <w:szCs w:val="21"/>
              </w:rPr>
            </w:pPr>
            <w:r w:rsidRPr="00D13848">
              <w:rPr>
                <w:rFonts w:ascii="Calibri" w:hAnsi="Calibri" w:cs="Calibri"/>
                <w:b/>
                <w:bCs/>
                <w:color w:val="000000"/>
                <w:sz w:val="21"/>
                <w:szCs w:val="21"/>
              </w:rPr>
              <w:t>Course outline including assessment method:</w:t>
            </w:r>
          </w:p>
        </w:tc>
      </w:tr>
      <w:tr w:rsidR="00B659A5" w:rsidRPr="00D13848" w14:paraId="2A44B200"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D815C" w14:textId="77777777" w:rsidR="00B659A5" w:rsidRPr="00D13848" w:rsidRDefault="00B659A5" w:rsidP="00406888">
            <w:pPr>
              <w:rPr>
                <w:sz w:val="21"/>
                <w:szCs w:val="21"/>
              </w:rPr>
            </w:pPr>
            <w:r w:rsidRPr="00D13848">
              <w:rPr>
                <w:rFonts w:ascii="Calibri" w:hAnsi="Calibri" w:cs="Calibri"/>
                <w:color w:val="000000"/>
                <w:sz w:val="21"/>
                <w:szCs w:val="21"/>
              </w:rPr>
              <w:t>These qualifications are linear. Students will sit all the A-level examinations at the end of their A-level course.  Students will sit 3 x 2-hour 15 minutes examinations at the end of the course.</w:t>
            </w:r>
          </w:p>
          <w:p w14:paraId="47087386" w14:textId="77777777" w:rsidR="00B659A5" w:rsidRPr="00D13848" w:rsidRDefault="00B659A5" w:rsidP="00406888">
            <w:pPr>
              <w:rPr>
                <w:sz w:val="21"/>
                <w:szCs w:val="21"/>
              </w:rPr>
            </w:pPr>
            <w:r w:rsidRPr="00D13848">
              <w:rPr>
                <w:rFonts w:ascii="Calibri" w:hAnsi="Calibri" w:cs="Calibri"/>
                <w:color w:val="000000"/>
                <w:sz w:val="21"/>
                <w:szCs w:val="21"/>
              </w:rPr>
              <w:t>Paper 1 105 marks. Paper 2 105 marks Paper 3 70 marks. Paper 4 NEA Individual Investigation coursework. Total 350.</w:t>
            </w:r>
          </w:p>
        </w:tc>
      </w:tr>
      <w:tr w:rsidR="00B659A5" w:rsidRPr="00D13848" w14:paraId="14F0F5AC" w14:textId="77777777" w:rsidTr="00406888">
        <w:trPr>
          <w:trHeight w:val="243"/>
        </w:trPr>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86D6711" w14:textId="77777777" w:rsidR="00B659A5" w:rsidRPr="00D13848" w:rsidRDefault="00B659A5" w:rsidP="00406888">
            <w:pPr>
              <w:jc w:val="center"/>
              <w:rPr>
                <w:sz w:val="21"/>
                <w:szCs w:val="21"/>
              </w:rPr>
            </w:pPr>
            <w:r w:rsidRPr="00D13848">
              <w:rPr>
                <w:rFonts w:ascii="Calibri" w:hAnsi="Calibri" w:cs="Calibri"/>
                <w:b/>
                <w:bCs/>
                <w:color w:val="000000"/>
                <w:sz w:val="21"/>
                <w:szCs w:val="21"/>
              </w:rPr>
              <w:t>Year 12 Contents:</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817D271" w14:textId="77777777" w:rsidR="00B659A5" w:rsidRPr="00D13848" w:rsidRDefault="00B659A5" w:rsidP="00406888">
            <w:pPr>
              <w:jc w:val="center"/>
              <w:rPr>
                <w:sz w:val="21"/>
                <w:szCs w:val="21"/>
              </w:rPr>
            </w:pPr>
            <w:r w:rsidRPr="00D13848">
              <w:rPr>
                <w:rFonts w:ascii="Calibri" w:hAnsi="Calibri" w:cs="Calibri"/>
                <w:b/>
                <w:bCs/>
                <w:color w:val="000000"/>
                <w:sz w:val="21"/>
                <w:szCs w:val="21"/>
              </w:rPr>
              <w:t>Year 13 Contents:</w:t>
            </w:r>
          </w:p>
        </w:tc>
      </w:tr>
      <w:tr w:rsidR="00B659A5" w:rsidRPr="00D13848" w14:paraId="0ED97AB1"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D78EF" w14:textId="77777777" w:rsidR="00B659A5" w:rsidRPr="00D13848" w:rsidRDefault="00B659A5" w:rsidP="00406888">
            <w:pPr>
              <w:rPr>
                <w:sz w:val="21"/>
                <w:szCs w:val="21"/>
              </w:rPr>
            </w:pPr>
            <w:r w:rsidRPr="00D13848">
              <w:rPr>
                <w:rFonts w:ascii="Calibri" w:hAnsi="Calibri" w:cs="Calibri"/>
                <w:color w:val="000000"/>
                <w:sz w:val="21"/>
                <w:szCs w:val="21"/>
              </w:rPr>
              <w:t xml:space="preserve">1. Tectonic processes and Hazards. </w:t>
            </w:r>
            <w:r w:rsidRPr="00D13848">
              <w:rPr>
                <w:rFonts w:ascii="Calibri" w:hAnsi="Calibri" w:cs="Calibri"/>
                <w:color w:val="000000"/>
                <w:sz w:val="21"/>
                <w:szCs w:val="21"/>
              </w:rPr>
              <w:tab/>
              <w:t> </w:t>
            </w:r>
          </w:p>
          <w:p w14:paraId="4EE56488" w14:textId="77777777" w:rsidR="00B659A5" w:rsidRPr="00D13848" w:rsidRDefault="00B659A5" w:rsidP="00406888">
            <w:pPr>
              <w:rPr>
                <w:sz w:val="21"/>
                <w:szCs w:val="21"/>
              </w:rPr>
            </w:pPr>
            <w:r w:rsidRPr="00D13848">
              <w:rPr>
                <w:rFonts w:ascii="Calibri" w:hAnsi="Calibri" w:cs="Calibri"/>
                <w:color w:val="000000"/>
                <w:sz w:val="21"/>
                <w:szCs w:val="21"/>
              </w:rPr>
              <w:t>2. Coastal landscape and change.  </w:t>
            </w:r>
          </w:p>
          <w:p w14:paraId="514E8B0C" w14:textId="77777777" w:rsidR="00B659A5" w:rsidRPr="00D13848" w:rsidRDefault="00B659A5" w:rsidP="00406888">
            <w:pPr>
              <w:rPr>
                <w:sz w:val="21"/>
                <w:szCs w:val="21"/>
              </w:rPr>
            </w:pPr>
            <w:r w:rsidRPr="00D13848">
              <w:rPr>
                <w:rFonts w:ascii="Calibri" w:hAnsi="Calibri" w:cs="Calibri"/>
                <w:color w:val="000000"/>
                <w:sz w:val="21"/>
                <w:szCs w:val="21"/>
              </w:rPr>
              <w:t>3. Water cycle and water insecurity.</w:t>
            </w:r>
          </w:p>
          <w:p w14:paraId="4D393CCD" w14:textId="77777777" w:rsidR="00B659A5" w:rsidRPr="00D13848" w:rsidRDefault="00B659A5" w:rsidP="00406888">
            <w:pPr>
              <w:rPr>
                <w:sz w:val="21"/>
                <w:szCs w:val="21"/>
              </w:rPr>
            </w:pPr>
            <w:r w:rsidRPr="00D13848">
              <w:rPr>
                <w:rFonts w:ascii="Calibri" w:hAnsi="Calibri" w:cs="Calibri"/>
                <w:color w:val="000000"/>
                <w:sz w:val="21"/>
                <w:szCs w:val="21"/>
              </w:rPr>
              <w:t>4. The carbon cycle and energy security.  </w:t>
            </w:r>
          </w:p>
          <w:p w14:paraId="27DE5E77" w14:textId="77777777" w:rsidR="00B659A5" w:rsidRPr="00D13848" w:rsidRDefault="00B659A5" w:rsidP="00406888">
            <w:pPr>
              <w:rPr>
                <w:sz w:val="21"/>
                <w:szCs w:val="21"/>
              </w:rPr>
            </w:pPr>
            <w:r w:rsidRPr="00D13848">
              <w:rPr>
                <w:rFonts w:ascii="Calibri" w:hAnsi="Calibri" w:cs="Calibri"/>
                <w:color w:val="000000"/>
                <w:sz w:val="21"/>
                <w:szCs w:val="21"/>
              </w:rPr>
              <w:t>5. Regenerating places.         </w:t>
            </w:r>
          </w:p>
          <w:p w14:paraId="18DAB47A" w14:textId="77777777" w:rsidR="00B659A5" w:rsidRPr="00D13848" w:rsidRDefault="00B659A5" w:rsidP="00406888">
            <w:pPr>
              <w:rPr>
                <w:sz w:val="21"/>
                <w:szCs w:val="21"/>
              </w:rPr>
            </w:pPr>
            <w:r w:rsidRPr="00D13848">
              <w:rPr>
                <w:rFonts w:ascii="Calibri" w:hAnsi="Calibri" w:cs="Calibri"/>
                <w:color w:val="000000"/>
                <w:sz w:val="21"/>
                <w:szCs w:val="21"/>
              </w:rPr>
              <w:t xml:space="preserve">6. NEA.                             </w:t>
            </w:r>
            <w:r w:rsidRPr="00D13848">
              <w:rPr>
                <w:rFonts w:ascii="Calibri" w:hAnsi="Calibri" w:cs="Calibri"/>
                <w:color w:val="000000"/>
                <w:sz w:val="21"/>
                <w:szCs w:val="21"/>
              </w:rPr>
              <w:tab/>
            </w:r>
          </w:p>
          <w:p w14:paraId="194A7D78" w14:textId="77777777" w:rsidR="00B659A5" w:rsidRPr="00D13848" w:rsidRDefault="00B659A5" w:rsidP="00406888">
            <w:pPr>
              <w:rPr>
                <w:sz w:val="21"/>
                <w:szCs w:val="21"/>
              </w:rPr>
            </w:pPr>
            <w:r w:rsidRPr="00D13848">
              <w:rPr>
                <w:rFonts w:ascii="Calibri" w:hAnsi="Calibri" w:cs="Calibri"/>
                <w:color w:val="000000"/>
                <w:sz w:val="21"/>
                <w:szCs w:val="21"/>
              </w:rPr>
              <w:tab/>
            </w:r>
          </w:p>
          <w:p w14:paraId="59BC3391" w14:textId="77777777" w:rsidR="00B659A5" w:rsidRPr="00D13848" w:rsidRDefault="00B659A5" w:rsidP="00406888">
            <w:pPr>
              <w:rPr>
                <w:sz w:val="21"/>
                <w:szCs w:val="21"/>
              </w:rPr>
            </w:pP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32CC0" w14:textId="77777777" w:rsidR="00B659A5" w:rsidRPr="00D13848" w:rsidRDefault="00B659A5" w:rsidP="00B659A5">
            <w:pPr>
              <w:numPr>
                <w:ilvl w:val="0"/>
                <w:numId w:val="1"/>
              </w:numPr>
              <w:textAlignment w:val="baseline"/>
              <w:rPr>
                <w:rFonts w:ascii="Calibri" w:hAnsi="Calibri" w:cs="Calibri"/>
                <w:color w:val="000000"/>
                <w:sz w:val="21"/>
                <w:szCs w:val="21"/>
              </w:rPr>
            </w:pPr>
            <w:r w:rsidRPr="00D13848">
              <w:rPr>
                <w:rFonts w:ascii="Calibri" w:hAnsi="Calibri" w:cs="Calibri"/>
                <w:color w:val="000000"/>
                <w:sz w:val="21"/>
                <w:szCs w:val="21"/>
              </w:rPr>
              <w:t>Globalisation</w:t>
            </w:r>
          </w:p>
          <w:p w14:paraId="0EA88AE2" w14:textId="77777777" w:rsidR="00B659A5" w:rsidRPr="00D13848" w:rsidRDefault="00B659A5" w:rsidP="00B659A5">
            <w:pPr>
              <w:numPr>
                <w:ilvl w:val="0"/>
                <w:numId w:val="1"/>
              </w:numPr>
              <w:textAlignment w:val="baseline"/>
              <w:rPr>
                <w:rFonts w:ascii="Calibri" w:hAnsi="Calibri" w:cs="Calibri"/>
                <w:color w:val="000000"/>
                <w:sz w:val="21"/>
                <w:szCs w:val="21"/>
              </w:rPr>
            </w:pPr>
            <w:r w:rsidRPr="00D13848">
              <w:rPr>
                <w:rFonts w:ascii="Calibri" w:hAnsi="Calibri" w:cs="Calibri"/>
                <w:color w:val="000000"/>
                <w:sz w:val="21"/>
                <w:szCs w:val="21"/>
              </w:rPr>
              <w:t>Superpowers</w:t>
            </w:r>
          </w:p>
          <w:p w14:paraId="72E4BE5D" w14:textId="77777777" w:rsidR="00B659A5" w:rsidRPr="00D13848" w:rsidRDefault="00B659A5" w:rsidP="00B659A5">
            <w:pPr>
              <w:numPr>
                <w:ilvl w:val="0"/>
                <w:numId w:val="1"/>
              </w:numPr>
              <w:textAlignment w:val="baseline"/>
              <w:rPr>
                <w:rFonts w:ascii="Calibri" w:hAnsi="Calibri" w:cs="Calibri"/>
                <w:color w:val="000000"/>
                <w:sz w:val="21"/>
                <w:szCs w:val="21"/>
              </w:rPr>
            </w:pPr>
            <w:r w:rsidRPr="00D13848">
              <w:rPr>
                <w:rFonts w:ascii="Calibri" w:hAnsi="Calibri" w:cs="Calibri"/>
                <w:color w:val="000000"/>
                <w:sz w:val="21"/>
                <w:szCs w:val="21"/>
              </w:rPr>
              <w:t xml:space="preserve">Health, Human </w:t>
            </w:r>
            <w:proofErr w:type="gramStart"/>
            <w:r w:rsidRPr="00D13848">
              <w:rPr>
                <w:rFonts w:ascii="Calibri" w:hAnsi="Calibri" w:cs="Calibri"/>
                <w:color w:val="000000"/>
                <w:sz w:val="21"/>
                <w:szCs w:val="21"/>
              </w:rPr>
              <w:t>Rights</w:t>
            </w:r>
            <w:proofErr w:type="gramEnd"/>
            <w:r w:rsidRPr="00D13848">
              <w:rPr>
                <w:rFonts w:ascii="Calibri" w:hAnsi="Calibri" w:cs="Calibri"/>
                <w:color w:val="000000"/>
                <w:sz w:val="21"/>
                <w:szCs w:val="21"/>
              </w:rPr>
              <w:t xml:space="preserve"> and Intervention.</w:t>
            </w:r>
          </w:p>
          <w:p w14:paraId="4C67F3D0" w14:textId="77777777" w:rsidR="00B659A5" w:rsidRPr="00D13848" w:rsidRDefault="00B659A5" w:rsidP="00B659A5">
            <w:pPr>
              <w:numPr>
                <w:ilvl w:val="0"/>
                <w:numId w:val="1"/>
              </w:numPr>
              <w:textAlignment w:val="baseline"/>
              <w:rPr>
                <w:rFonts w:ascii="Calibri" w:hAnsi="Calibri" w:cs="Calibri"/>
                <w:color w:val="000000"/>
                <w:sz w:val="21"/>
                <w:szCs w:val="21"/>
              </w:rPr>
            </w:pPr>
            <w:r w:rsidRPr="00D13848">
              <w:rPr>
                <w:rFonts w:ascii="Calibri" w:hAnsi="Calibri" w:cs="Calibri"/>
                <w:color w:val="000000"/>
                <w:sz w:val="21"/>
                <w:szCs w:val="21"/>
              </w:rPr>
              <w:t>Issues Analysis using unseen resource booklet. </w:t>
            </w:r>
          </w:p>
          <w:p w14:paraId="4B016055" w14:textId="77777777" w:rsidR="00B659A5" w:rsidRPr="00D13848" w:rsidRDefault="00B659A5" w:rsidP="00B659A5">
            <w:pPr>
              <w:numPr>
                <w:ilvl w:val="0"/>
                <w:numId w:val="1"/>
              </w:numPr>
              <w:textAlignment w:val="baseline"/>
              <w:rPr>
                <w:rFonts w:ascii="Calibri" w:hAnsi="Calibri" w:cs="Calibri"/>
                <w:color w:val="000000"/>
                <w:sz w:val="21"/>
                <w:szCs w:val="21"/>
              </w:rPr>
            </w:pPr>
            <w:r w:rsidRPr="00D13848">
              <w:rPr>
                <w:rFonts w:ascii="Calibri" w:hAnsi="Calibri" w:cs="Calibri"/>
                <w:color w:val="000000"/>
                <w:sz w:val="21"/>
                <w:szCs w:val="21"/>
              </w:rPr>
              <w:t>Reteach and examination preparation.</w:t>
            </w:r>
          </w:p>
        </w:tc>
      </w:tr>
      <w:tr w:rsidR="00B659A5" w:rsidRPr="00D13848" w14:paraId="2DA0E7F1"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8449BA9" w14:textId="77777777" w:rsidR="00B659A5" w:rsidRPr="00D13848" w:rsidRDefault="00B659A5" w:rsidP="00406888">
            <w:pPr>
              <w:rPr>
                <w:sz w:val="21"/>
                <w:szCs w:val="21"/>
              </w:rPr>
            </w:pPr>
            <w:r w:rsidRPr="00D13848">
              <w:rPr>
                <w:rFonts w:ascii="Calibri" w:hAnsi="Calibri" w:cs="Calibri"/>
                <w:b/>
                <w:bCs/>
                <w:color w:val="000000"/>
                <w:sz w:val="21"/>
                <w:szCs w:val="21"/>
              </w:rPr>
              <w:t>Resources and Facilities at TKAW:</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B14878D" w14:textId="77777777" w:rsidR="00B659A5" w:rsidRPr="00D13848" w:rsidRDefault="00B659A5" w:rsidP="00406888">
            <w:pPr>
              <w:jc w:val="center"/>
              <w:rPr>
                <w:sz w:val="21"/>
                <w:szCs w:val="21"/>
              </w:rPr>
            </w:pPr>
            <w:r w:rsidRPr="00D13848">
              <w:rPr>
                <w:rFonts w:ascii="Calibri" w:hAnsi="Calibri" w:cs="Calibri"/>
                <w:b/>
                <w:bCs/>
                <w:color w:val="000000"/>
                <w:sz w:val="21"/>
                <w:szCs w:val="21"/>
              </w:rPr>
              <w:t>Careers and Progression:</w:t>
            </w:r>
          </w:p>
        </w:tc>
      </w:tr>
      <w:tr w:rsidR="00B659A5" w:rsidRPr="00D13848" w14:paraId="0BA87F6D"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ED97A" w14:textId="77777777" w:rsidR="00B659A5" w:rsidRPr="00D13848" w:rsidRDefault="00B659A5" w:rsidP="00406888">
            <w:pPr>
              <w:rPr>
                <w:sz w:val="21"/>
                <w:szCs w:val="21"/>
              </w:rPr>
            </w:pPr>
            <w:r w:rsidRPr="00D13848">
              <w:rPr>
                <w:rFonts w:ascii="Calibri" w:hAnsi="Calibri" w:cs="Calibri"/>
                <w:color w:val="000000"/>
                <w:sz w:val="21"/>
                <w:szCs w:val="21"/>
              </w:rPr>
              <w:t xml:space="preserve">The Geography Department at The Khalsa Academy Wolverhampton is well resourced with textbooks across a wide range of topics. Each section of work has a series of dedicated resources which are made available on Google classroom. In addition, the school provides access to the </w:t>
            </w:r>
            <w:proofErr w:type="gramStart"/>
            <w:r w:rsidRPr="00D13848">
              <w:rPr>
                <w:rFonts w:ascii="Calibri" w:hAnsi="Calibri" w:cs="Calibri"/>
                <w:color w:val="000000"/>
                <w:sz w:val="21"/>
                <w:szCs w:val="21"/>
              </w:rPr>
              <w:t>Financial</w:t>
            </w:r>
            <w:proofErr w:type="gramEnd"/>
            <w:r w:rsidRPr="00D13848">
              <w:rPr>
                <w:rFonts w:ascii="Calibri" w:hAnsi="Calibri" w:cs="Calibri"/>
                <w:color w:val="000000"/>
                <w:sz w:val="21"/>
                <w:szCs w:val="21"/>
              </w:rPr>
              <w:t xml:space="preserve"> times to facilitate wider reading. Students get access to Oxford University lectures which are uploaded onto google classroom. Dedicated Edexcel A level website with past papers/examiners reports/mark schemes.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9D764" w14:textId="77777777" w:rsidR="00B659A5" w:rsidRPr="00D13848" w:rsidRDefault="00B659A5" w:rsidP="00406888">
            <w:pPr>
              <w:rPr>
                <w:sz w:val="21"/>
                <w:szCs w:val="21"/>
              </w:rPr>
            </w:pPr>
            <w:r w:rsidRPr="00D13848">
              <w:rPr>
                <w:rFonts w:ascii="Calibri" w:hAnsi="Calibri" w:cs="Calibri"/>
                <w:color w:val="000000"/>
                <w:sz w:val="21"/>
                <w:szCs w:val="21"/>
              </w:rPr>
              <w:t>Many students who study the A-level geography consider a career in the environmental sciences, architecture, education, renewable energy sectors, and sustainability.</w:t>
            </w:r>
          </w:p>
          <w:p w14:paraId="1868E867" w14:textId="77777777" w:rsidR="00B659A5" w:rsidRPr="00D13848" w:rsidRDefault="00B659A5" w:rsidP="00406888">
            <w:pPr>
              <w:rPr>
                <w:sz w:val="21"/>
                <w:szCs w:val="21"/>
              </w:rPr>
            </w:pPr>
          </w:p>
        </w:tc>
      </w:tr>
      <w:tr w:rsidR="00B659A5" w:rsidRPr="00D13848" w14:paraId="1533E1B8"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A2D416D" w14:textId="77777777" w:rsidR="00B659A5" w:rsidRPr="00D13848" w:rsidRDefault="00B659A5" w:rsidP="00406888">
            <w:pPr>
              <w:rPr>
                <w:sz w:val="21"/>
                <w:szCs w:val="21"/>
              </w:rPr>
            </w:pPr>
            <w:r w:rsidRPr="00D13848">
              <w:rPr>
                <w:rFonts w:ascii="Calibri" w:hAnsi="Calibri" w:cs="Calibri"/>
                <w:b/>
                <w:bCs/>
                <w:color w:val="000000"/>
                <w:sz w:val="21"/>
                <w:szCs w:val="21"/>
              </w:rPr>
              <w:t>Entry Requirements:</w:t>
            </w:r>
          </w:p>
        </w:tc>
      </w:tr>
      <w:tr w:rsidR="00B659A5" w:rsidRPr="00D13848" w14:paraId="471C39C2"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711A3" w14:textId="77777777" w:rsidR="00B659A5" w:rsidRPr="00D13848" w:rsidRDefault="00B659A5" w:rsidP="00406888">
            <w:pPr>
              <w:rPr>
                <w:sz w:val="21"/>
                <w:szCs w:val="21"/>
              </w:rPr>
            </w:pPr>
            <w:r w:rsidRPr="00D13848">
              <w:rPr>
                <w:rFonts w:ascii="Calibri" w:hAnsi="Calibri" w:cs="Calibri"/>
                <w:color w:val="000000"/>
                <w:sz w:val="21"/>
                <w:szCs w:val="21"/>
              </w:rPr>
              <w:t>All students must have at least a grade 5 in GCSE Geography and grades 5 in English and Maths.</w:t>
            </w:r>
          </w:p>
        </w:tc>
      </w:tr>
      <w:tr w:rsidR="00B659A5" w:rsidRPr="00D13848" w14:paraId="674E49EE"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0E0B361" w14:textId="77777777" w:rsidR="00B659A5" w:rsidRPr="00D13848" w:rsidRDefault="00B659A5" w:rsidP="00406888">
            <w:pPr>
              <w:rPr>
                <w:rFonts w:ascii="Calibri" w:hAnsi="Calibri" w:cs="Calibri"/>
                <w:color w:val="000000"/>
                <w:sz w:val="21"/>
                <w:szCs w:val="21"/>
              </w:rPr>
            </w:pPr>
            <w:r w:rsidRPr="00D13848">
              <w:rPr>
                <w:rFonts w:ascii="Calibri" w:hAnsi="Calibri" w:cs="Calibri"/>
                <w:color w:val="000000"/>
                <w:sz w:val="21"/>
                <w:szCs w:val="21"/>
              </w:rPr>
              <w:t>Who to contact:</w:t>
            </w:r>
          </w:p>
        </w:tc>
      </w:tr>
      <w:tr w:rsidR="00B659A5" w:rsidRPr="00D13848" w14:paraId="752E8700"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72A6B" w14:textId="77777777" w:rsidR="00B659A5" w:rsidRPr="00D13848" w:rsidRDefault="00B659A5" w:rsidP="00406888">
            <w:pPr>
              <w:rPr>
                <w:rFonts w:ascii="Calibri" w:hAnsi="Calibri" w:cs="Calibri"/>
                <w:color w:val="000000"/>
                <w:sz w:val="21"/>
                <w:szCs w:val="21"/>
              </w:rPr>
            </w:pPr>
            <w:r w:rsidRPr="00D13848">
              <w:rPr>
                <w:rFonts w:ascii="Calibri" w:hAnsi="Calibri" w:cs="Calibri"/>
                <w:color w:val="000000"/>
                <w:sz w:val="21"/>
                <w:szCs w:val="21"/>
              </w:rPr>
              <w:t>M</w:t>
            </w:r>
            <w:r w:rsidRPr="00D13848">
              <w:rPr>
                <w:color w:val="000000"/>
                <w:sz w:val="21"/>
                <w:szCs w:val="21"/>
              </w:rPr>
              <w:t>r N Winfield</w:t>
            </w:r>
            <w:r w:rsidRPr="00D13848">
              <w:rPr>
                <w:rFonts w:ascii="Calibri" w:hAnsi="Calibri" w:cs="Calibri"/>
                <w:color w:val="000000"/>
                <w:sz w:val="21"/>
                <w:szCs w:val="21"/>
              </w:rPr>
              <w:t xml:space="preserve"> – </w:t>
            </w:r>
            <w:hyperlink r:id="rId5" w:history="1">
              <w:r w:rsidRPr="00D13848">
                <w:rPr>
                  <w:rStyle w:val="Hyperlink"/>
                  <w:rFonts w:ascii="Calibri" w:eastAsiaTheme="majorEastAsia" w:hAnsi="Calibri" w:cs="Calibri"/>
                  <w:sz w:val="21"/>
                  <w:szCs w:val="21"/>
                </w:rPr>
                <w:t>n</w:t>
              </w:r>
              <w:r w:rsidRPr="00D13848">
                <w:rPr>
                  <w:rStyle w:val="Hyperlink"/>
                  <w:rFonts w:eastAsiaTheme="majorEastAsia"/>
                  <w:sz w:val="21"/>
                  <w:szCs w:val="21"/>
                </w:rPr>
                <w:t>.winfield</w:t>
              </w:r>
              <w:r w:rsidRPr="00D13848">
                <w:rPr>
                  <w:rStyle w:val="Hyperlink"/>
                  <w:rFonts w:ascii="Calibri" w:eastAsiaTheme="majorEastAsia" w:hAnsi="Calibri" w:cs="Calibri"/>
                  <w:sz w:val="21"/>
                  <w:szCs w:val="21"/>
                </w:rPr>
                <w:t>@tkaw.org</w:t>
              </w:r>
            </w:hyperlink>
            <w:r w:rsidRPr="00D13848">
              <w:rPr>
                <w:rFonts w:ascii="Calibri" w:hAnsi="Calibri" w:cs="Calibri"/>
                <w:color w:val="000000"/>
                <w:sz w:val="21"/>
                <w:szCs w:val="21"/>
              </w:rPr>
              <w:t xml:space="preserve">  </w:t>
            </w:r>
          </w:p>
          <w:p w14:paraId="13A3277C" w14:textId="77777777" w:rsidR="00B659A5" w:rsidRPr="00D13848" w:rsidRDefault="00B659A5" w:rsidP="00406888">
            <w:pPr>
              <w:rPr>
                <w:rFonts w:ascii="Calibri" w:hAnsi="Calibri" w:cs="Calibri"/>
                <w:color w:val="000000"/>
                <w:sz w:val="21"/>
                <w:szCs w:val="21"/>
              </w:rPr>
            </w:pP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B659A5"/>
    <w:rsid w:val="00EC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winfield@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2</cp:revision>
  <dcterms:created xsi:type="dcterms:W3CDTF">2024-10-14T13:42:00Z</dcterms:created>
  <dcterms:modified xsi:type="dcterms:W3CDTF">2024-10-14T13:42:00Z</dcterms:modified>
</cp:coreProperties>
</file>