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Date: 10th July 2025</w:t>
      </w:r>
      <w:r w:rsidDel="00000000" w:rsidR="00000000" w:rsidRPr="00000000">
        <w:rPr>
          <w:rtl w:val="0"/>
        </w:rPr>
      </w:r>
    </w:p>
    <w:p w:rsidR="00000000" w:rsidDel="00000000" w:rsidP="00000000" w:rsidRDefault="00000000" w:rsidRPr="00000000" w14:paraId="00000002">
      <w:pPr>
        <w:spacing w:after="240" w:befor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Dear parents and carers,</w:t>
      </w:r>
    </w:p>
    <w:p w:rsidR="00000000" w:rsidDel="00000000" w:rsidP="00000000" w:rsidRDefault="00000000" w:rsidRPr="00000000" w14:paraId="00000003">
      <w:pPr>
        <w:spacing w:after="240" w:befor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 were thrilled to welcome you and your children on our Induction Day and Induction Evening last week and we look forward to completing our Step Up To Secondary Evenings.</w:t>
      </w:r>
    </w:p>
    <w:p w:rsidR="00000000" w:rsidDel="00000000" w:rsidP="00000000" w:rsidRDefault="00000000" w:rsidRPr="00000000" w14:paraId="00000004">
      <w:pPr>
        <w:spacing w:after="240" w:befor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Below contains some important reminders for you prior to your child starting with us in September, as well as some information about your child’s first week at TKS.   </w:t>
      </w:r>
    </w:p>
    <w:p w:rsidR="00000000" w:rsidDel="00000000" w:rsidP="00000000" w:rsidRDefault="00000000" w:rsidRPr="00000000" w14:paraId="00000005">
      <w:pPr>
        <w:rPr>
          <w:rFonts w:ascii="Century Gothic" w:cs="Century Gothic" w:eastAsia="Century Gothic" w:hAnsi="Century Gothic"/>
          <w:sz w:val="20"/>
          <w:szCs w:val="20"/>
        </w:rPr>
      </w:pPr>
      <w:r w:rsidDel="00000000" w:rsidR="00000000" w:rsidRPr="00000000">
        <w:rPr>
          <w:rtl w:val="0"/>
        </w:rPr>
      </w:r>
    </w:p>
    <w:tbl>
      <w:tblPr>
        <w:tblStyle w:val="Table1"/>
        <w:tblW w:w="11400.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9135"/>
        <w:tblGridChange w:id="0">
          <w:tblGrid>
            <w:gridCol w:w="2265"/>
            <w:gridCol w:w="9135"/>
          </w:tblGrid>
        </w:tblGridChange>
      </w:tblGrid>
      <w:tr>
        <w:trPr>
          <w:cantSplit w:val="0"/>
          <w:trHeight w:val="2734.55078125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114300" distT="114300" distL="114300" distR="114300">
                  <wp:extent cx="1295400" cy="1168400"/>
                  <wp:effectExtent b="0" l="0" r="0" t="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95400" cy="1168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PARENT PAY - ACTION REQUIRED PRIOR TO SEPTEMBER</w:t>
            </w:r>
          </w:p>
          <w:p w:rsidR="00000000" w:rsidDel="00000000" w:rsidP="00000000" w:rsidRDefault="00000000" w:rsidRPr="00000000" w14:paraId="00000008">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 your ‘Parent Pack’ received on Induction Evening on 7th July, you received a parent pay activation letter. Please ensure that you have signed up for parent pay, activated your account and topped the account up with money </w:t>
            </w:r>
            <w:r w:rsidDel="00000000" w:rsidR="00000000" w:rsidRPr="00000000">
              <w:rPr>
                <w:rFonts w:ascii="Century Gothic" w:cs="Century Gothic" w:eastAsia="Century Gothic" w:hAnsi="Century Gothic"/>
                <w:b w:val="1"/>
                <w:sz w:val="20"/>
                <w:szCs w:val="20"/>
                <w:rtl w:val="0"/>
              </w:rPr>
              <w:t xml:space="preserve">prior to September</w:t>
            </w:r>
            <w:r w:rsidDel="00000000" w:rsidR="00000000" w:rsidRPr="00000000">
              <w:rPr>
                <w:rFonts w:ascii="Century Gothic" w:cs="Century Gothic" w:eastAsia="Century Gothic" w:hAnsi="Century Gothic"/>
                <w:sz w:val="20"/>
                <w:szCs w:val="20"/>
                <w:rtl w:val="0"/>
              </w:rPr>
              <w:t xml:space="preserve"> so that your child can access our canteen for food/drink from their first day in September. </w:t>
            </w:r>
          </w:p>
          <w:p w:rsidR="00000000" w:rsidDel="00000000" w:rsidP="00000000" w:rsidRDefault="00000000" w:rsidRPr="00000000" w14:paraId="00000009">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If you are unable to do so, your child will need to bring a packed lunch to school. We would encourage you to sign up, activate and add money to the account sooner so that if you are facing any issues, you can contact us so we can help you before our end of term on Friday 18th July. </w:t>
            </w:r>
          </w:p>
          <w:p w:rsidR="00000000" w:rsidDel="00000000" w:rsidP="00000000" w:rsidRDefault="00000000" w:rsidRPr="00000000" w14:paraId="0000000B">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C">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If you did not attend our Induction Evening</w:t>
            </w:r>
            <w:r w:rsidDel="00000000" w:rsidR="00000000" w:rsidRPr="00000000">
              <w:rPr>
                <w:rFonts w:ascii="Century Gothic" w:cs="Century Gothic" w:eastAsia="Century Gothic" w:hAnsi="Century Gothic"/>
                <w:sz w:val="20"/>
                <w:szCs w:val="20"/>
                <w:rtl w:val="0"/>
              </w:rPr>
              <w:t xml:space="preserve"> on 7th July, </w:t>
            </w:r>
            <w:r w:rsidDel="00000000" w:rsidR="00000000" w:rsidRPr="00000000">
              <w:rPr>
                <w:rFonts w:ascii="Century Gothic" w:cs="Century Gothic" w:eastAsia="Century Gothic" w:hAnsi="Century Gothic"/>
                <w:b w:val="1"/>
                <w:sz w:val="20"/>
                <w:szCs w:val="20"/>
                <w:rtl w:val="0"/>
              </w:rPr>
              <w:t xml:space="preserve">your child can collect your parent pack at our Step Up To Secondary Evening</w:t>
            </w:r>
            <w:r w:rsidDel="00000000" w:rsidR="00000000" w:rsidRPr="00000000">
              <w:rPr>
                <w:rFonts w:ascii="Century Gothic" w:cs="Century Gothic" w:eastAsia="Century Gothic" w:hAnsi="Century Gothic"/>
                <w:sz w:val="20"/>
                <w:szCs w:val="20"/>
                <w:rtl w:val="0"/>
              </w:rPr>
              <w:t xml:space="preserve">. If your child is unable to attend, your pack will be </w:t>
            </w:r>
            <w:r w:rsidDel="00000000" w:rsidR="00000000" w:rsidRPr="00000000">
              <w:rPr>
                <w:rFonts w:ascii="Century Gothic" w:cs="Century Gothic" w:eastAsia="Century Gothic" w:hAnsi="Century Gothic"/>
                <w:b w:val="1"/>
                <w:sz w:val="20"/>
                <w:szCs w:val="20"/>
                <w:rtl w:val="0"/>
              </w:rPr>
              <w:t xml:space="preserve">available for collection</w:t>
            </w:r>
            <w:r w:rsidDel="00000000" w:rsidR="00000000" w:rsidRPr="00000000">
              <w:rPr>
                <w:rFonts w:ascii="Century Gothic" w:cs="Century Gothic" w:eastAsia="Century Gothic" w:hAnsi="Century Gothic"/>
                <w:sz w:val="20"/>
                <w:szCs w:val="20"/>
                <w:rtl w:val="0"/>
              </w:rPr>
              <w:t xml:space="preserve"> at our </w:t>
            </w:r>
            <w:r w:rsidDel="00000000" w:rsidR="00000000" w:rsidRPr="00000000">
              <w:rPr>
                <w:rFonts w:ascii="Century Gothic" w:cs="Century Gothic" w:eastAsia="Century Gothic" w:hAnsi="Century Gothic"/>
                <w:b w:val="1"/>
                <w:sz w:val="20"/>
                <w:szCs w:val="20"/>
                <w:rtl w:val="0"/>
              </w:rPr>
              <w:t xml:space="preserve">Broadway Campus reception</w:t>
            </w:r>
            <w:r w:rsidDel="00000000" w:rsidR="00000000" w:rsidRPr="00000000">
              <w:rPr>
                <w:rFonts w:ascii="Century Gothic" w:cs="Century Gothic" w:eastAsia="Century Gothic" w:hAnsi="Century Gothic"/>
                <w:sz w:val="20"/>
                <w:szCs w:val="20"/>
                <w:rtl w:val="0"/>
              </w:rPr>
              <w:t xml:space="preserve"> from </w:t>
            </w:r>
            <w:r w:rsidDel="00000000" w:rsidR="00000000" w:rsidRPr="00000000">
              <w:rPr>
                <w:rFonts w:ascii="Century Gothic" w:cs="Century Gothic" w:eastAsia="Century Gothic" w:hAnsi="Century Gothic"/>
                <w:b w:val="1"/>
                <w:sz w:val="20"/>
                <w:szCs w:val="20"/>
                <w:rtl w:val="0"/>
              </w:rPr>
              <w:t xml:space="preserve">8.15-4.00pm until Wednesday 16th July</w:t>
            </w:r>
            <w:r w:rsidDel="00000000" w:rsidR="00000000" w:rsidRPr="00000000">
              <w:rPr>
                <w:rFonts w:ascii="Century Gothic" w:cs="Century Gothic" w:eastAsia="Century Gothic" w:hAnsi="Century Gothic"/>
                <w:sz w:val="20"/>
                <w:szCs w:val="20"/>
                <w:rtl w:val="0"/>
              </w:rPr>
              <w:t xml:space="preserve">. You will need to collect this pack ahead of September.  </w:t>
            </w:r>
          </w:p>
        </w:tc>
      </w:tr>
      <w:tr>
        <w:trPr>
          <w:cantSplit w:val="0"/>
          <w:trHeight w:val="2734.55078125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114300" distT="114300" distL="114300" distR="114300">
                  <wp:extent cx="1295400" cy="1295400"/>
                  <wp:effectExtent b="0" l="0" r="0" t="0"/>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95400" cy="1295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BIOMETRICS</w:t>
            </w:r>
          </w:p>
          <w:p w:rsidR="00000000" w:rsidDel="00000000" w:rsidP="00000000" w:rsidRDefault="00000000" w:rsidRPr="00000000" w14:paraId="0000000F">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When you completed your admissions form, you were asked if you do/do not give consent and permission for your child’s biometrics data to be used for purchasing food in the canteen. Following guidance from the Information Commissioner’s Office (ICO), and further to the protection of Freedoms Act 2012, your child has the right to give their own consent for the use of their biometric data. </w:t>
            </w:r>
          </w:p>
          <w:p w:rsidR="00000000" w:rsidDel="00000000" w:rsidP="00000000" w:rsidRDefault="00000000" w:rsidRPr="00000000" w14:paraId="00000010">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1">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Therefore, on the first day of September, we will ask your child whether they agree to the use of their biometric data for this purpose. Please note:</w:t>
            </w:r>
          </w:p>
          <w:p w:rsidR="00000000" w:rsidDel="00000000" w:rsidP="00000000" w:rsidRDefault="00000000" w:rsidRPr="00000000" w14:paraId="00000012">
            <w:pPr>
              <w:widowControl w:val="0"/>
              <w:numPr>
                <w:ilvl w:val="0"/>
                <w:numId w:val="1"/>
              </w:numPr>
              <w:spacing w:after="0" w:afterAutospacing="0" w:before="200" w:lineRule="auto"/>
              <w:ind w:left="94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If your child objects to the use of their biometric data, the school will not process or continue to process their biometric information, even if parental consent has been given.</w:t>
            </w:r>
          </w:p>
          <w:p w:rsidR="00000000" w:rsidDel="00000000" w:rsidP="00000000" w:rsidRDefault="00000000" w:rsidRPr="00000000" w14:paraId="00000013">
            <w:pPr>
              <w:widowControl w:val="0"/>
              <w:numPr>
                <w:ilvl w:val="0"/>
                <w:numId w:val="1"/>
              </w:numPr>
              <w:spacing w:after="0" w:afterAutospacing="0" w:before="0" w:beforeAutospacing="0" w:lineRule="auto"/>
              <w:ind w:left="94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The biometric data will be collected and stored securely by the school.</w:t>
            </w:r>
          </w:p>
          <w:p w:rsidR="00000000" w:rsidDel="00000000" w:rsidP="00000000" w:rsidRDefault="00000000" w:rsidRPr="00000000" w14:paraId="00000014">
            <w:pPr>
              <w:widowControl w:val="0"/>
              <w:numPr>
                <w:ilvl w:val="0"/>
                <w:numId w:val="1"/>
              </w:numPr>
              <w:spacing w:after="200" w:before="0" w:beforeAutospacing="0" w:lineRule="auto"/>
              <w:ind w:left="94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sz w:val="20"/>
                <w:szCs w:val="20"/>
                <w:rtl w:val="0"/>
              </w:rPr>
              <w:t xml:space="preserve">If your child does not consent, reasonable alternatives will be provided so they can access the same facilities without using biometric data.</w:t>
            </w:r>
          </w:p>
          <w:p w:rsidR="00000000" w:rsidDel="00000000" w:rsidP="00000000" w:rsidRDefault="00000000" w:rsidRPr="00000000" w14:paraId="00000015">
            <w:pPr>
              <w:widowControl w:val="0"/>
              <w:spacing w:after="200" w:before="20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 your ‘Parent Pack’ collected at Induction Evening, you were provided with</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sz w:val="20"/>
                <w:szCs w:val="20"/>
                <w:rtl w:val="0"/>
              </w:rPr>
              <w:t xml:space="preserve">our Biometrics Information Sheet which explains fully why we are asking for this information. We would encourage you to have a conversation with your child prior to September.</w:t>
            </w:r>
          </w:p>
          <w:p w:rsidR="00000000" w:rsidDel="00000000" w:rsidP="00000000" w:rsidRDefault="00000000" w:rsidRPr="00000000" w14:paraId="00000016">
            <w:pPr>
              <w:widowControl w:val="0"/>
              <w:spacing w:after="200" w:before="20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If you have any questions or concerns, please do not hesitate to contact us by Friday 18th July. </w:t>
            </w:r>
            <w:r w:rsidDel="00000000" w:rsidR="00000000" w:rsidRPr="00000000">
              <w:rPr>
                <w:rtl w:val="0"/>
              </w:rPr>
            </w:r>
          </w:p>
        </w:tc>
      </w:tr>
      <w:tr>
        <w:trPr>
          <w:cantSplit w:val="0"/>
          <w:trHeight w:val="2734.55078125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114300" distT="114300" distL="114300" distR="114300">
                  <wp:extent cx="1295400" cy="13081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95400" cy="1308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SEPTEMBER ESSENTIALS</w:t>
            </w:r>
          </w:p>
          <w:p w:rsidR="00000000" w:rsidDel="00000000" w:rsidP="00000000" w:rsidRDefault="00000000" w:rsidRPr="00000000" w14:paraId="00000019">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polite reminder that details on our uniform and equipment can be found in the transition booklet that was sent to you in June.</w:t>
            </w:r>
          </w:p>
          <w:p w:rsidR="00000000" w:rsidDel="00000000" w:rsidP="00000000" w:rsidRDefault="00000000" w:rsidRPr="00000000" w14:paraId="0000001A">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Year 7 coloured tie is Silver.</w:t>
            </w:r>
          </w:p>
          <w:p w:rsidR="00000000" w:rsidDel="00000000" w:rsidP="00000000" w:rsidRDefault="00000000" w:rsidRPr="00000000" w14:paraId="0000001B">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C">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Minimum equipment expectations: </w:t>
            </w:r>
          </w:p>
          <w:p w:rsidR="00000000" w:rsidDel="00000000" w:rsidP="00000000" w:rsidRDefault="00000000" w:rsidRPr="00000000" w14:paraId="0000001D">
            <w:pPr>
              <w:widowControl w:val="0"/>
              <w:numPr>
                <w:ilvl w:val="0"/>
                <w:numId w:val="4"/>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School Handbook (your child will receive this on their first day of September) </w:t>
            </w:r>
          </w:p>
          <w:p w:rsidR="00000000" w:rsidDel="00000000" w:rsidP="00000000" w:rsidRDefault="00000000" w:rsidRPr="00000000" w14:paraId="0000001E">
            <w:pPr>
              <w:widowControl w:val="0"/>
              <w:numPr>
                <w:ilvl w:val="0"/>
                <w:numId w:val="4"/>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 two strap bag (ideally a rucksack)</w:t>
            </w:r>
          </w:p>
          <w:p w:rsidR="00000000" w:rsidDel="00000000" w:rsidP="00000000" w:rsidRDefault="00000000" w:rsidRPr="00000000" w14:paraId="0000001F">
            <w:pPr>
              <w:widowControl w:val="0"/>
              <w:numPr>
                <w:ilvl w:val="0"/>
                <w:numId w:val="4"/>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 clear pencil case</w:t>
            </w:r>
          </w:p>
          <w:p w:rsidR="00000000" w:rsidDel="00000000" w:rsidP="00000000" w:rsidRDefault="00000000" w:rsidRPr="00000000" w14:paraId="00000020">
            <w:pPr>
              <w:widowControl w:val="0"/>
              <w:numPr>
                <w:ilvl w:val="0"/>
                <w:numId w:val="4"/>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 black pen</w:t>
            </w:r>
          </w:p>
          <w:p w:rsidR="00000000" w:rsidDel="00000000" w:rsidP="00000000" w:rsidRDefault="00000000" w:rsidRPr="00000000" w14:paraId="00000021">
            <w:pPr>
              <w:widowControl w:val="0"/>
              <w:numPr>
                <w:ilvl w:val="0"/>
                <w:numId w:val="4"/>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 pencil</w:t>
            </w:r>
          </w:p>
          <w:p w:rsidR="00000000" w:rsidDel="00000000" w:rsidP="00000000" w:rsidRDefault="00000000" w:rsidRPr="00000000" w14:paraId="00000022">
            <w:pPr>
              <w:widowControl w:val="0"/>
              <w:numPr>
                <w:ilvl w:val="0"/>
                <w:numId w:val="4"/>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 ruler</w:t>
            </w:r>
          </w:p>
          <w:p w:rsidR="00000000" w:rsidDel="00000000" w:rsidP="00000000" w:rsidRDefault="00000000" w:rsidRPr="00000000" w14:paraId="00000023">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4">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Optional additional equipment that will aid learning: </w:t>
            </w:r>
          </w:p>
          <w:p w:rsidR="00000000" w:rsidDel="00000000" w:rsidP="00000000" w:rsidRDefault="00000000" w:rsidRPr="00000000" w14:paraId="00000025">
            <w:pPr>
              <w:widowControl w:val="0"/>
              <w:numPr>
                <w:ilvl w:val="0"/>
                <w:numId w:val="2"/>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 rubber</w:t>
            </w:r>
          </w:p>
          <w:p w:rsidR="00000000" w:rsidDel="00000000" w:rsidP="00000000" w:rsidRDefault="00000000" w:rsidRPr="00000000" w14:paraId="00000026">
            <w:pPr>
              <w:widowControl w:val="0"/>
              <w:numPr>
                <w:ilvl w:val="0"/>
                <w:numId w:val="2"/>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 pencil sharpener</w:t>
            </w:r>
          </w:p>
          <w:p w:rsidR="00000000" w:rsidDel="00000000" w:rsidP="00000000" w:rsidRDefault="00000000" w:rsidRPr="00000000" w14:paraId="00000027">
            <w:pPr>
              <w:widowControl w:val="0"/>
              <w:numPr>
                <w:ilvl w:val="0"/>
                <w:numId w:val="2"/>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 glue stick</w:t>
            </w:r>
          </w:p>
          <w:p w:rsidR="00000000" w:rsidDel="00000000" w:rsidP="00000000" w:rsidRDefault="00000000" w:rsidRPr="00000000" w14:paraId="00000028">
            <w:pPr>
              <w:widowControl w:val="0"/>
              <w:numPr>
                <w:ilvl w:val="0"/>
                <w:numId w:val="2"/>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 protractor</w:t>
            </w:r>
          </w:p>
          <w:p w:rsidR="00000000" w:rsidDel="00000000" w:rsidP="00000000" w:rsidRDefault="00000000" w:rsidRPr="00000000" w14:paraId="00000029">
            <w:pPr>
              <w:widowControl w:val="0"/>
              <w:numPr>
                <w:ilvl w:val="0"/>
                <w:numId w:val="2"/>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 scientific calculator</w:t>
            </w:r>
          </w:p>
          <w:p w:rsidR="00000000" w:rsidDel="00000000" w:rsidP="00000000" w:rsidRDefault="00000000" w:rsidRPr="00000000" w14:paraId="0000002A">
            <w:pPr>
              <w:widowControl w:val="0"/>
              <w:numPr>
                <w:ilvl w:val="0"/>
                <w:numId w:val="2"/>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Highlighter pens</w:t>
            </w:r>
          </w:p>
          <w:p w:rsidR="00000000" w:rsidDel="00000000" w:rsidP="00000000" w:rsidRDefault="00000000" w:rsidRPr="00000000" w14:paraId="0000002B">
            <w:pPr>
              <w:widowControl w:val="0"/>
              <w:numPr>
                <w:ilvl w:val="0"/>
                <w:numId w:val="2"/>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Coloured pencils</w:t>
            </w:r>
          </w:p>
        </w:tc>
      </w:tr>
      <w:tr>
        <w:trPr>
          <w:cantSplit w:val="0"/>
          <w:trHeight w:val="2734.55078125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114300" distT="114300" distL="114300" distR="114300">
                  <wp:extent cx="1295400" cy="1104900"/>
                  <wp:effectExtent b="0" l="0" r="0" t="0"/>
                  <wp:docPr id="2" name="image8.jpg"/>
                  <a:graphic>
                    <a:graphicData uri="http://schemas.openxmlformats.org/drawingml/2006/picture">
                      <pic:pic>
                        <pic:nvPicPr>
                          <pic:cNvPr id="0" name="image8.jpg"/>
                          <pic:cNvPicPr preferRelativeResize="0"/>
                        </pic:nvPicPr>
                        <pic:blipFill>
                          <a:blip r:embed="rId9"/>
                          <a:srcRect b="0" l="0" r="0" t="0"/>
                          <a:stretch>
                            <a:fillRect/>
                          </a:stretch>
                        </pic:blipFill>
                        <pic:spPr>
                          <a:xfrm>
                            <a:off x="0" y="0"/>
                            <a:ext cx="12954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E">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F">
            <w:pPr>
              <w:widowControl w:val="0"/>
              <w:rPr>
                <w:rFonts w:ascii="Century Gothic" w:cs="Century Gothic" w:eastAsia="Century Gothic" w:hAnsi="Century Gothic"/>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‘KICKSTART TO KINGSWAY’</w:t>
            </w:r>
          </w:p>
          <w:p w:rsidR="00000000" w:rsidDel="00000000" w:rsidP="00000000" w:rsidRDefault="00000000" w:rsidRPr="00000000" w14:paraId="00000031">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 are excited that your child will begin their first day of school with us on </w:t>
            </w:r>
            <w:r w:rsidDel="00000000" w:rsidR="00000000" w:rsidRPr="00000000">
              <w:rPr>
                <w:rFonts w:ascii="Century Gothic" w:cs="Century Gothic" w:eastAsia="Century Gothic" w:hAnsi="Century Gothic"/>
                <w:b w:val="1"/>
                <w:sz w:val="20"/>
                <w:szCs w:val="20"/>
                <w:rtl w:val="0"/>
              </w:rPr>
              <w:t xml:space="preserve">Tuesday 2nd September. </w:t>
            </w:r>
            <w:r w:rsidDel="00000000" w:rsidR="00000000" w:rsidRPr="00000000">
              <w:rPr>
                <w:rFonts w:ascii="Century Gothic" w:cs="Century Gothic" w:eastAsia="Century Gothic" w:hAnsi="Century Gothic"/>
                <w:sz w:val="20"/>
                <w:szCs w:val="20"/>
                <w:rtl w:val="0"/>
              </w:rPr>
              <w:t xml:space="preserve">Students are invited to arrive at our Broadway campus from </w:t>
            </w:r>
            <w:r w:rsidDel="00000000" w:rsidR="00000000" w:rsidRPr="00000000">
              <w:rPr>
                <w:rFonts w:ascii="Century Gothic" w:cs="Century Gothic" w:eastAsia="Century Gothic" w:hAnsi="Century Gothic"/>
                <w:b w:val="1"/>
                <w:sz w:val="20"/>
                <w:szCs w:val="20"/>
                <w:rtl w:val="0"/>
              </w:rPr>
              <w:t xml:space="preserve">8am</w:t>
            </w:r>
            <w:r w:rsidDel="00000000" w:rsidR="00000000" w:rsidRPr="00000000">
              <w:rPr>
                <w:rFonts w:ascii="Century Gothic" w:cs="Century Gothic" w:eastAsia="Century Gothic" w:hAnsi="Century Gothic"/>
                <w:sz w:val="20"/>
                <w:szCs w:val="20"/>
                <w:rtl w:val="0"/>
              </w:rPr>
              <w:t xml:space="preserve"> via the ‘green gates’ on </w:t>
            </w:r>
            <w:r w:rsidDel="00000000" w:rsidR="00000000" w:rsidRPr="00000000">
              <w:rPr>
                <w:rFonts w:ascii="Century Gothic" w:cs="Century Gothic" w:eastAsia="Century Gothic" w:hAnsi="Century Gothic"/>
                <w:b w:val="1"/>
                <w:sz w:val="20"/>
                <w:szCs w:val="20"/>
                <w:rtl w:val="0"/>
              </w:rPr>
              <w:t xml:space="preserve">Broadway road </w:t>
            </w:r>
            <w:r w:rsidDel="00000000" w:rsidR="00000000" w:rsidRPr="00000000">
              <w:rPr>
                <w:rFonts w:ascii="Century Gothic" w:cs="Century Gothic" w:eastAsia="Century Gothic" w:hAnsi="Century Gothic"/>
                <w:sz w:val="20"/>
                <w:szCs w:val="20"/>
                <w:rtl w:val="0"/>
              </w:rPr>
              <w:t xml:space="preserve">for our school day to begin at </w:t>
            </w:r>
            <w:r w:rsidDel="00000000" w:rsidR="00000000" w:rsidRPr="00000000">
              <w:rPr>
                <w:rFonts w:ascii="Century Gothic" w:cs="Century Gothic" w:eastAsia="Century Gothic" w:hAnsi="Century Gothic"/>
                <w:b w:val="1"/>
                <w:sz w:val="20"/>
                <w:szCs w:val="20"/>
                <w:rtl w:val="0"/>
              </w:rPr>
              <w:t xml:space="preserve">8.30am. </w:t>
            </w:r>
            <w:r w:rsidDel="00000000" w:rsidR="00000000" w:rsidRPr="00000000">
              <w:rPr>
                <w:rFonts w:ascii="Century Gothic" w:cs="Century Gothic" w:eastAsia="Century Gothic" w:hAnsi="Century Gothic"/>
                <w:sz w:val="20"/>
                <w:szCs w:val="20"/>
                <w:rtl w:val="0"/>
              </w:rPr>
              <w:t xml:space="preserve">Please note that this is a different entrance to the one students arrived at on Induction Day and now becomes their regular entrance point. This is a busy entrance point with limited parking around our school campus so please take care from dropping off your child. For this first day, our new Year 7s are the only year group on the campus to further support their transition to TKS. </w:t>
            </w:r>
          </w:p>
          <w:p w:rsidR="00000000" w:rsidDel="00000000" w:rsidP="00000000" w:rsidRDefault="00000000" w:rsidRPr="00000000" w14:paraId="00000032">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Students will be greeted by Senior Leaders and their Heads of Year, Ms Jessop and Mr Routley. Students will then meet their form tutors in our morning line up routine, where ‘ready to learn’ checks will take place. </w:t>
            </w:r>
          </w:p>
          <w:p w:rsidR="00000000" w:rsidDel="00000000" w:rsidP="00000000" w:rsidRDefault="00000000" w:rsidRPr="00000000" w14:paraId="00000033">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4">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first day will involve:</w:t>
            </w:r>
          </w:p>
          <w:p w:rsidR="00000000" w:rsidDel="00000000" w:rsidP="00000000" w:rsidRDefault="00000000" w:rsidRPr="00000000" w14:paraId="00000035">
            <w:pPr>
              <w:widowControl w:val="0"/>
              <w:numPr>
                <w:ilvl w:val="0"/>
                <w:numId w:val="3"/>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 welcome assembly</w:t>
            </w:r>
          </w:p>
          <w:p w:rsidR="00000000" w:rsidDel="00000000" w:rsidP="00000000" w:rsidRDefault="00000000" w:rsidRPr="00000000" w14:paraId="00000036">
            <w:pPr>
              <w:widowControl w:val="0"/>
              <w:numPr>
                <w:ilvl w:val="0"/>
                <w:numId w:val="3"/>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Periods 1 and 2 spent with their form tutors where students receive their handbook (formerly known as a planner) and their timetable, as well as engaging in some further transition activities to support their confidence and build connections</w:t>
            </w:r>
          </w:p>
          <w:p w:rsidR="00000000" w:rsidDel="00000000" w:rsidP="00000000" w:rsidRDefault="00000000" w:rsidRPr="00000000" w14:paraId="00000037">
            <w:pPr>
              <w:widowControl w:val="0"/>
              <w:numPr>
                <w:ilvl w:val="0"/>
                <w:numId w:val="3"/>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Periods 3, 4 and 5 spent following their curriculum timetable</w:t>
            </w:r>
          </w:p>
          <w:p w:rsidR="00000000" w:rsidDel="00000000" w:rsidP="00000000" w:rsidRDefault="00000000" w:rsidRPr="00000000" w14:paraId="00000038">
            <w:pPr>
              <w:widowControl w:val="0"/>
              <w:ind w:left="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9">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For your child’s second day of TKS on </w:t>
            </w:r>
            <w:r w:rsidDel="00000000" w:rsidR="00000000" w:rsidRPr="00000000">
              <w:rPr>
                <w:rFonts w:ascii="Century Gothic" w:cs="Century Gothic" w:eastAsia="Century Gothic" w:hAnsi="Century Gothic"/>
                <w:b w:val="1"/>
                <w:sz w:val="20"/>
                <w:szCs w:val="20"/>
                <w:rtl w:val="0"/>
              </w:rPr>
              <w:t xml:space="preserve">Wednesday 3rd September, </w:t>
            </w:r>
            <w:r w:rsidDel="00000000" w:rsidR="00000000" w:rsidRPr="00000000">
              <w:rPr>
                <w:rFonts w:ascii="Century Gothic" w:cs="Century Gothic" w:eastAsia="Century Gothic" w:hAnsi="Century Gothic"/>
                <w:sz w:val="20"/>
                <w:szCs w:val="20"/>
                <w:rtl w:val="0"/>
              </w:rPr>
              <w:t xml:space="preserve">students are invited to arrive again at our Broadway campus from </w:t>
            </w:r>
            <w:r w:rsidDel="00000000" w:rsidR="00000000" w:rsidRPr="00000000">
              <w:rPr>
                <w:rFonts w:ascii="Century Gothic" w:cs="Century Gothic" w:eastAsia="Century Gothic" w:hAnsi="Century Gothic"/>
                <w:b w:val="1"/>
                <w:sz w:val="20"/>
                <w:szCs w:val="20"/>
                <w:rtl w:val="0"/>
              </w:rPr>
              <w:t xml:space="preserve">8am </w:t>
            </w:r>
            <w:r w:rsidDel="00000000" w:rsidR="00000000" w:rsidRPr="00000000">
              <w:rPr>
                <w:rFonts w:ascii="Century Gothic" w:cs="Century Gothic" w:eastAsia="Century Gothic" w:hAnsi="Century Gothic"/>
                <w:sz w:val="20"/>
                <w:szCs w:val="20"/>
                <w:rtl w:val="0"/>
              </w:rPr>
              <w:t xml:space="preserve">via the ‘green gates’ for our school day to begin at </w:t>
            </w:r>
            <w:r w:rsidDel="00000000" w:rsidR="00000000" w:rsidRPr="00000000">
              <w:rPr>
                <w:rFonts w:ascii="Century Gothic" w:cs="Century Gothic" w:eastAsia="Century Gothic" w:hAnsi="Century Gothic"/>
                <w:b w:val="1"/>
                <w:sz w:val="20"/>
                <w:szCs w:val="20"/>
                <w:rtl w:val="0"/>
              </w:rPr>
              <w:t xml:space="preserve">8.30am. </w:t>
            </w:r>
            <w:r w:rsidDel="00000000" w:rsidR="00000000" w:rsidRPr="00000000">
              <w:rPr>
                <w:rFonts w:ascii="Century Gothic" w:cs="Century Gothic" w:eastAsia="Century Gothic" w:hAnsi="Century Gothic"/>
                <w:sz w:val="20"/>
                <w:szCs w:val="20"/>
                <w:rtl w:val="0"/>
              </w:rPr>
              <w:t xml:space="preserve">All year groups will be in school on this day so please note that the roads and drop off points will be busier. </w:t>
            </w:r>
          </w:p>
          <w:p w:rsidR="00000000" w:rsidDel="00000000" w:rsidP="00000000" w:rsidRDefault="00000000" w:rsidRPr="00000000" w14:paraId="0000003A">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B">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second day will involve:</w:t>
            </w:r>
          </w:p>
          <w:p w:rsidR="00000000" w:rsidDel="00000000" w:rsidP="00000000" w:rsidRDefault="00000000" w:rsidRPr="00000000" w14:paraId="0000003C">
            <w:pPr>
              <w:widowControl w:val="0"/>
              <w:numPr>
                <w:ilvl w:val="0"/>
                <w:numId w:val="5"/>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Form time with form tutors to begin our form time curriculum and routine</w:t>
            </w:r>
          </w:p>
          <w:p w:rsidR="00000000" w:rsidDel="00000000" w:rsidP="00000000" w:rsidRDefault="00000000" w:rsidRPr="00000000" w14:paraId="0000003D">
            <w:pPr>
              <w:widowControl w:val="0"/>
              <w:numPr>
                <w:ilvl w:val="0"/>
                <w:numId w:val="5"/>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Periods 1 and 2 with form tutors to engage in further transition activities and begin creating a sense of school community with our House System</w:t>
            </w:r>
          </w:p>
          <w:p w:rsidR="00000000" w:rsidDel="00000000" w:rsidP="00000000" w:rsidRDefault="00000000" w:rsidRPr="00000000" w14:paraId="0000003E">
            <w:pPr>
              <w:widowControl w:val="0"/>
              <w:numPr>
                <w:ilvl w:val="0"/>
                <w:numId w:val="5"/>
              </w:numPr>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Periods 3, 4 and 5 spent following their curriculum timetable</w:t>
            </w:r>
          </w:p>
          <w:p w:rsidR="00000000" w:rsidDel="00000000" w:rsidP="00000000" w:rsidRDefault="00000000" w:rsidRPr="00000000" w14:paraId="0000003F">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0">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From </w:t>
            </w:r>
            <w:r w:rsidDel="00000000" w:rsidR="00000000" w:rsidRPr="00000000">
              <w:rPr>
                <w:rFonts w:ascii="Century Gothic" w:cs="Century Gothic" w:eastAsia="Century Gothic" w:hAnsi="Century Gothic"/>
                <w:b w:val="1"/>
                <w:sz w:val="20"/>
                <w:szCs w:val="20"/>
                <w:rtl w:val="0"/>
              </w:rPr>
              <w:t xml:space="preserve">Thursday 4th September, </w:t>
            </w:r>
            <w:r w:rsidDel="00000000" w:rsidR="00000000" w:rsidRPr="00000000">
              <w:rPr>
                <w:rFonts w:ascii="Century Gothic" w:cs="Century Gothic" w:eastAsia="Century Gothic" w:hAnsi="Century Gothic"/>
                <w:sz w:val="20"/>
                <w:szCs w:val="20"/>
                <w:rtl w:val="0"/>
              </w:rPr>
              <w:t xml:space="preserve">students will follow their curriculum timetable in full. </w:t>
            </w:r>
            <w:r w:rsidDel="00000000" w:rsidR="00000000" w:rsidRPr="00000000">
              <w:rPr>
                <w:rtl w:val="0"/>
              </w:rPr>
            </w:r>
          </w:p>
        </w:tc>
      </w:tr>
    </w:tbl>
    <w:p w:rsidR="00000000" w:rsidDel="00000000" w:rsidP="00000000" w:rsidRDefault="00000000" w:rsidRPr="00000000" w14:paraId="00000041">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2">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If you have any queries in the meantime, please do not hesitate to contact us through our transition email: </w:t>
      </w:r>
      <w:hyperlink r:id="rId10">
        <w:r w:rsidDel="00000000" w:rsidR="00000000" w:rsidRPr="00000000">
          <w:rPr>
            <w:rFonts w:ascii="Century Gothic" w:cs="Century Gothic" w:eastAsia="Century Gothic" w:hAnsi="Century Gothic"/>
            <w:color w:val="1155cc"/>
            <w:sz w:val="20"/>
            <w:szCs w:val="20"/>
            <w:u w:val="single"/>
            <w:rtl w:val="0"/>
          </w:rPr>
          <w:t xml:space="preserve">transition@kingsway.stockport.sch.uk</w:t>
        </w:r>
      </w:hyperlink>
      <w:r w:rsidDel="00000000" w:rsidR="00000000" w:rsidRPr="00000000">
        <w:rPr>
          <w:rFonts w:ascii="Century Gothic" w:cs="Century Gothic" w:eastAsia="Century Gothic" w:hAnsi="Century Gothic"/>
          <w:sz w:val="20"/>
          <w:szCs w:val="20"/>
          <w:rtl w:val="0"/>
        </w:rPr>
        <w:t xml:space="preserve">. Our academic school year ends on Friday 18th July and any queries sent after this date will be picked up and responded to in September. Thank you for your understanding here. </w:t>
      </w:r>
    </w:p>
    <w:p w:rsidR="00000000" w:rsidDel="00000000" w:rsidP="00000000" w:rsidRDefault="00000000" w:rsidRPr="00000000" w14:paraId="00000043">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Yours Faithfully,</w:t>
      </w:r>
    </w:p>
    <w:p w:rsidR="00000000" w:rsidDel="00000000" w:rsidP="00000000" w:rsidRDefault="00000000" w:rsidRPr="00000000" w14:paraId="00000044">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114300" distT="114300" distL="114300" distR="114300">
            <wp:extent cx="1835512" cy="630219"/>
            <wp:effectExtent b="0" l="0" r="0" t="0"/>
            <wp:docPr id="9" name="image9.jpg"/>
            <a:graphic>
              <a:graphicData uri="http://schemas.openxmlformats.org/drawingml/2006/picture">
                <pic:pic>
                  <pic:nvPicPr>
                    <pic:cNvPr id="0" name="image9.jpg"/>
                    <pic:cNvPicPr preferRelativeResize="0"/>
                  </pic:nvPicPr>
                  <pic:blipFill>
                    <a:blip r:embed="rId11"/>
                    <a:srcRect b="0" l="0" r="0" t="0"/>
                    <a:stretch>
                      <a:fillRect/>
                    </a:stretch>
                  </pic:blipFill>
                  <pic:spPr>
                    <a:xfrm>
                      <a:off x="0" y="0"/>
                      <a:ext cx="1835512" cy="630219"/>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Mrs A. Fowler,</w:t>
      </w:r>
    </w:p>
    <w:p w:rsidR="00000000" w:rsidDel="00000000" w:rsidP="00000000" w:rsidRDefault="00000000" w:rsidRPr="00000000" w14:paraId="00000046">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Headteacher</w:t>
      </w:r>
    </w:p>
    <w:sectPr>
      <w:headerReference r:id="rId12" w:type="default"/>
      <w:headerReference r:id="rId13" w:type="first"/>
      <w:footerReference r:id="rId14" w:type="default"/>
      <w:footerReference r:id="rId15" w:type="first"/>
      <w:pgSz w:h="16840" w:w="11900" w:orient="portrait"/>
      <w:pgMar w:bottom="851" w:top="567" w:left="566.9291338582677" w:right="851" w:header="708.6614173228347" w:footer="708.66141732283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drawing>
        <wp:inline distB="114300" distT="114300" distL="114300" distR="114300">
          <wp:extent cx="6659615" cy="685800"/>
          <wp:effectExtent b="0" l="0" r="0" t="0"/>
          <wp:docPr id="5" name="image5.jpg"/>
          <a:graphic>
            <a:graphicData uri="http://schemas.openxmlformats.org/drawingml/2006/picture">
              <pic:pic>
                <pic:nvPicPr>
                  <pic:cNvPr id="0" name="image5.jpg"/>
                  <pic:cNvPicPr preferRelativeResize="0"/>
                </pic:nvPicPr>
                <pic:blipFill>
                  <a:blip r:embed="rId1"/>
                  <a:srcRect b="0" l="213" r="213" t="0"/>
                  <a:stretch>
                    <a:fillRect/>
                  </a:stretch>
                </pic:blipFill>
                <pic:spPr>
                  <a:xfrm>
                    <a:off x="0" y="0"/>
                    <a:ext cx="6659615" cy="6858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drawing>
        <wp:inline distB="114300" distT="114300" distL="114300" distR="114300">
          <wp:extent cx="6659615" cy="685800"/>
          <wp:effectExtent b="0" l="0" r="0" t="0"/>
          <wp:docPr id="4" name="image4.jpg"/>
          <a:graphic>
            <a:graphicData uri="http://schemas.openxmlformats.org/drawingml/2006/picture">
              <pic:pic>
                <pic:nvPicPr>
                  <pic:cNvPr id="0" name="image4.jpg"/>
                  <pic:cNvPicPr preferRelativeResize="0"/>
                </pic:nvPicPr>
                <pic:blipFill>
                  <a:blip r:embed="rId1"/>
                  <a:srcRect b="0" l="213" r="213" t="0"/>
                  <a:stretch>
                    <a:fillRect/>
                  </a:stretch>
                </pic:blipFill>
                <pic:spPr>
                  <a:xfrm>
                    <a:off x="0" y="0"/>
                    <a:ext cx="6659615" cy="685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jc w:val="right"/>
      <w:rPr/>
    </w:pPr>
    <w:r w:rsidDel="00000000" w:rsidR="00000000" w:rsidRPr="00000000">
      <w:rPr/>
      <w:drawing>
        <wp:inline distB="114300" distT="114300" distL="114300" distR="114300">
          <wp:extent cx="1980000" cy="1801800"/>
          <wp:effectExtent b="0" l="0" r="0" t="0"/>
          <wp:docPr id="7" name="image7.jpg"/>
          <a:graphic>
            <a:graphicData uri="http://schemas.openxmlformats.org/drawingml/2006/picture">
              <pic:pic>
                <pic:nvPicPr>
                  <pic:cNvPr id="0" name="image7.jpg"/>
                  <pic:cNvPicPr preferRelativeResize="0"/>
                </pic:nvPicPr>
                <pic:blipFill>
                  <a:blip r:embed="rId1"/>
                  <a:srcRect b="0" l="42" r="42" t="0"/>
                  <a:stretch>
                    <a:fillRect/>
                  </a:stretch>
                </pic:blipFill>
                <pic:spPr>
                  <a:xfrm>
                    <a:off x="0" y="0"/>
                    <a:ext cx="1980000" cy="1801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jc w:val="right"/>
      <w:rPr/>
    </w:pPr>
    <w:r w:rsidDel="00000000" w:rsidR="00000000" w:rsidRPr="00000000">
      <w:rPr/>
      <w:drawing>
        <wp:inline distB="114300" distT="114300" distL="114300" distR="114300">
          <wp:extent cx="1980000" cy="1801800"/>
          <wp:effectExtent b="0" l="0" r="0" t="0"/>
          <wp:docPr id="1" name="image6.jpg"/>
          <a:graphic>
            <a:graphicData uri="http://schemas.openxmlformats.org/drawingml/2006/picture">
              <pic:pic>
                <pic:nvPicPr>
                  <pic:cNvPr id="0" name="image6.jpg"/>
                  <pic:cNvPicPr preferRelativeResize="0"/>
                </pic:nvPicPr>
                <pic:blipFill>
                  <a:blip r:embed="rId1"/>
                  <a:srcRect b="0" l="42" r="42" t="0"/>
                  <a:stretch>
                    <a:fillRect/>
                  </a:stretch>
                </pic:blipFill>
                <pic:spPr>
                  <a:xfrm>
                    <a:off x="0" y="0"/>
                    <a:ext cx="1980000" cy="1801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jpg"/><Relationship Id="rId10" Type="http://schemas.openxmlformats.org/officeDocument/2006/relationships/hyperlink" Target="mailto:transition@kingsway.stockport.sch.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jp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